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46" w:rsidRPr="00C032B6" w:rsidRDefault="00B909A2" w:rsidP="00C032B6">
      <w:pPr>
        <w:pStyle w:val="NormalWeb"/>
        <w:spacing w:after="0"/>
        <w:ind w:left="-284"/>
        <w:jc w:val="both"/>
        <w:textAlignment w:val="baseline"/>
        <w:rPr>
          <w:b/>
          <w:bCs/>
          <w:color w:val="000000"/>
          <w:kern w:val="24"/>
        </w:rPr>
      </w:pPr>
      <w:r w:rsidRPr="00C032B6">
        <w:rPr>
          <w:b/>
          <w:bCs/>
          <w:noProof/>
          <w:color w:val="000000"/>
          <w:kern w:val="24"/>
          <w:lang w:val="bg-BG"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5676265</wp:posOffset>
            </wp:positionH>
            <wp:positionV relativeFrom="paragraph">
              <wp:posOffset>-247015</wp:posOffset>
            </wp:positionV>
            <wp:extent cx="1583690" cy="1384935"/>
            <wp:effectExtent l="0" t="0" r="0" b="5715"/>
            <wp:wrapNone/>
            <wp:docPr id="2" name="Picture 2" descr="logo-bg-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g-ce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2B6">
        <w:rPr>
          <w:noProof/>
          <w:lang w:val="bg-BG"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-9525</wp:posOffset>
            </wp:positionV>
            <wp:extent cx="932815" cy="640080"/>
            <wp:effectExtent l="0" t="0" r="635" b="7620"/>
            <wp:wrapThrough wrapText="bothSides">
              <wp:wrapPolygon edited="0">
                <wp:start x="0" y="0"/>
                <wp:lineTo x="0" y="21214"/>
                <wp:lineTo x="21174" y="21214"/>
                <wp:lineTo x="211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346" w:rsidRPr="00C032B6">
        <w:rPr>
          <w:b/>
          <w:bCs/>
          <w:color w:val="000000"/>
          <w:kern w:val="24"/>
        </w:rPr>
        <w:t xml:space="preserve"> </w:t>
      </w:r>
    </w:p>
    <w:p w:rsidR="00E31346" w:rsidRPr="00C032B6" w:rsidRDefault="00E31346" w:rsidP="00C032B6">
      <w:pPr>
        <w:pStyle w:val="NormalWeb"/>
        <w:spacing w:after="0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C032B6">
      <w:pPr>
        <w:pStyle w:val="NormalWeb"/>
        <w:spacing w:after="0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C032B6">
      <w:pPr>
        <w:pStyle w:val="NormalWeb"/>
        <w:spacing w:after="0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C032B6">
      <w:pPr>
        <w:pStyle w:val="NormalWeb"/>
        <w:spacing w:after="0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B909A2" w:rsidRDefault="00B909A2" w:rsidP="00937DC8">
      <w:pPr>
        <w:pStyle w:val="NormalWeb"/>
        <w:spacing w:after="0"/>
        <w:ind w:left="-284"/>
        <w:textAlignment w:val="baseline"/>
        <w:rPr>
          <w:b/>
          <w:bCs/>
          <w:color w:val="000000"/>
          <w:kern w:val="24"/>
          <w:sz w:val="20"/>
          <w:szCs w:val="20"/>
        </w:rPr>
      </w:pPr>
      <w:r>
        <w:rPr>
          <w:b/>
          <w:bCs/>
          <w:color w:val="000000"/>
          <w:kern w:val="24"/>
          <w:lang w:val="bg-BG"/>
        </w:rPr>
        <w:t xml:space="preserve">      </w:t>
      </w:r>
      <w:r w:rsidR="00E31346" w:rsidRPr="00B909A2">
        <w:rPr>
          <w:b/>
          <w:bCs/>
          <w:color w:val="000000"/>
          <w:kern w:val="24"/>
          <w:sz w:val="20"/>
          <w:szCs w:val="20"/>
        </w:rPr>
        <w:t>ЕВРОПЕЙСКИ СЪЮЗ</w:t>
      </w:r>
    </w:p>
    <w:p w:rsidR="00937DC8" w:rsidRPr="00B909A2" w:rsidRDefault="00B909A2" w:rsidP="00937DC8">
      <w:pPr>
        <w:pStyle w:val="NormalWeb"/>
        <w:spacing w:after="0"/>
        <w:ind w:left="-284"/>
        <w:textAlignment w:val="baseline"/>
        <w:rPr>
          <w:color w:val="000000"/>
          <w:kern w:val="24"/>
          <w:sz w:val="20"/>
          <w:szCs w:val="20"/>
        </w:rPr>
      </w:pPr>
      <w:r>
        <w:rPr>
          <w:color w:val="000000"/>
          <w:kern w:val="24"/>
          <w:sz w:val="20"/>
          <w:szCs w:val="20"/>
          <w:lang w:val="bg-BG"/>
        </w:rPr>
        <w:t xml:space="preserve">       </w:t>
      </w:r>
      <w:r w:rsidR="00E31346" w:rsidRPr="00B909A2">
        <w:rPr>
          <w:color w:val="000000"/>
          <w:kern w:val="24"/>
          <w:sz w:val="20"/>
          <w:szCs w:val="20"/>
        </w:rPr>
        <w:t>ЕВРОПЕЙСКИ ФОНД</w:t>
      </w:r>
      <w:r w:rsidR="00937DC8" w:rsidRPr="00B909A2">
        <w:rPr>
          <w:color w:val="000000"/>
          <w:kern w:val="24"/>
          <w:sz w:val="20"/>
          <w:szCs w:val="20"/>
          <w:lang w:val="bg-BG"/>
        </w:rPr>
        <w:t xml:space="preserve"> </w:t>
      </w:r>
      <w:r w:rsidR="00E31346" w:rsidRPr="00B909A2">
        <w:rPr>
          <w:color w:val="000000"/>
          <w:kern w:val="24"/>
          <w:sz w:val="20"/>
          <w:szCs w:val="20"/>
          <w:lang w:val="bg-BG"/>
        </w:rPr>
        <w:t>З</w:t>
      </w:r>
      <w:r w:rsidR="00E31346" w:rsidRPr="00B909A2">
        <w:rPr>
          <w:color w:val="000000"/>
          <w:kern w:val="24"/>
          <w:sz w:val="20"/>
          <w:szCs w:val="20"/>
        </w:rPr>
        <w:t xml:space="preserve">А </w:t>
      </w:r>
    </w:p>
    <w:p w:rsidR="00E31346" w:rsidRPr="00B909A2" w:rsidRDefault="00B909A2" w:rsidP="00937DC8">
      <w:pPr>
        <w:pStyle w:val="NormalWeb"/>
        <w:spacing w:after="0"/>
        <w:ind w:left="-284" w:firstLine="284"/>
        <w:textAlignment w:val="baseline"/>
        <w:rPr>
          <w:color w:val="000000"/>
          <w:kern w:val="24"/>
          <w:sz w:val="20"/>
          <w:szCs w:val="20"/>
        </w:rPr>
      </w:pPr>
      <w:r>
        <w:rPr>
          <w:color w:val="000000"/>
          <w:kern w:val="24"/>
          <w:sz w:val="20"/>
          <w:szCs w:val="20"/>
          <w:lang w:val="bg-BG"/>
        </w:rPr>
        <w:t xml:space="preserve">  </w:t>
      </w:r>
      <w:r w:rsidR="00E31346" w:rsidRPr="00B909A2">
        <w:rPr>
          <w:color w:val="000000"/>
          <w:kern w:val="24"/>
          <w:sz w:val="20"/>
          <w:szCs w:val="20"/>
        </w:rPr>
        <w:t>МОРСКО ДЕЛО И РИБАРСТВО</w:t>
      </w:r>
    </w:p>
    <w:p w:rsidR="00E31346" w:rsidRDefault="00E31346" w:rsidP="00C032B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1F144E" w:rsidRPr="00C032B6" w:rsidRDefault="001F144E" w:rsidP="00C032B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0346A8" w:rsidRPr="000D2E14" w:rsidRDefault="00AC2FE7" w:rsidP="00F61F0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Таблица за отразяване на постъпили становища във връзка с провеждането на 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първа</w:t>
      </w:r>
      <w:r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писмена процедура за неприсъствено вземане на решение от членовете на К</w:t>
      </w:r>
      <w:r w:rsidR="00F91362"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омитета за наблюдение</w:t>
      </w:r>
      <w:r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на </w:t>
      </w:r>
      <w:r w:rsidR="00F91362"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Програмата за морско дело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,</w:t>
      </w:r>
      <w:r w:rsidR="00F91362"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рибарство 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 аквакултури </w:t>
      </w:r>
      <w:r w:rsidR="00F91362" w:rsidRPr="000D2E1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(</w:t>
      </w:r>
      <w:r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ПМДР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А</w:t>
      </w:r>
      <w:r w:rsidR="00F91362" w:rsidRPr="000D2E1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) 20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21</w:t>
      </w:r>
      <w:r w:rsidR="00F91362" w:rsidRPr="000D2E1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-202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="00F91362" w:rsidRPr="000D2E1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F91362"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г. </w:t>
      </w:r>
      <w:r w:rsidRPr="00C032B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за 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одобрение на </w:t>
      </w:r>
      <w:r w:rsidR="001F144E" w:rsidRP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Годишен доклад за изпълнение на Програмата за морско дело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и рибарство (ПМДР) 2014-2020</w:t>
      </w:r>
      <w:r w:rsidR="001F144E" w:rsidRP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за 2022 г</w:t>
      </w:r>
      <w:r w:rsidR="00FA462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954A90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проведена в периода </w:t>
      </w:r>
      <w:r w:rsidR="00EF27E7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1F144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9 – 29 май</w:t>
      </w:r>
      <w:r w:rsidR="00954A90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202</w:t>
      </w:r>
      <w:r w:rsidR="00FA462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3</w:t>
      </w:r>
      <w:r w:rsidR="00954A90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</w:t>
      </w:r>
    </w:p>
    <w:p w:rsidR="00E31346" w:rsidRPr="00C032B6" w:rsidRDefault="00E31346" w:rsidP="00C032B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454"/>
        <w:gridCol w:w="6947"/>
        <w:gridCol w:w="3152"/>
      </w:tblGrid>
      <w:tr w:rsidR="00C41D80" w:rsidTr="00C70928">
        <w:tc>
          <w:tcPr>
            <w:tcW w:w="669" w:type="dxa"/>
            <w:shd w:val="clear" w:color="auto" w:fill="BDD6EE" w:themeFill="accent1" w:themeFillTint="66"/>
          </w:tcPr>
          <w:p w:rsidR="00C41D80" w:rsidRPr="00C032B6" w:rsidRDefault="00C41D80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54" w:type="dxa"/>
            <w:shd w:val="clear" w:color="auto" w:fill="BDD6EE" w:themeFill="accent1" w:themeFillTint="66"/>
          </w:tcPr>
          <w:p w:rsidR="00C41D80" w:rsidRPr="00C032B6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ЧЛЕН/ ОРГАНИЗАЦИЯ</w:t>
            </w:r>
          </w:p>
          <w:p w:rsidR="00C41D80" w:rsidRPr="00C032B6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  <w:shd w:val="clear" w:color="auto" w:fill="BDD6EE" w:themeFill="accent1" w:themeFillTint="66"/>
          </w:tcPr>
          <w:p w:rsidR="00C41D80" w:rsidRPr="00C032B6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СТАНОВИЩЕ</w:t>
            </w:r>
          </w:p>
        </w:tc>
        <w:tc>
          <w:tcPr>
            <w:tcW w:w="3152" w:type="dxa"/>
            <w:shd w:val="clear" w:color="auto" w:fill="BDD6EE" w:themeFill="accent1" w:themeFillTint="66"/>
          </w:tcPr>
          <w:p w:rsidR="00C41D80" w:rsidRDefault="00C41D80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46616" w:rsidRDefault="00A46616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СТАНОВИЩЕ НА </w:t>
            </w:r>
          </w:p>
          <w:p w:rsidR="00A46616" w:rsidRPr="00C032B6" w:rsidRDefault="00A46616" w:rsidP="00C4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УО НА ПМДР</w:t>
            </w:r>
          </w:p>
        </w:tc>
      </w:tr>
      <w:tr w:rsidR="00A134EA" w:rsidTr="00C70928">
        <w:tc>
          <w:tcPr>
            <w:tcW w:w="669" w:type="dxa"/>
            <w:vMerge w:val="restart"/>
          </w:tcPr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</w:p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54" w:type="dxa"/>
            <w:vMerge w:val="restart"/>
          </w:tcPr>
          <w:p w:rsidR="00A134EA" w:rsidRPr="00CB29A3" w:rsidRDefault="00A134EA" w:rsidP="00A134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3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Евдокия Кръстева</w:t>
            </w:r>
            <w:r w:rsidR="00CB2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A134EA" w:rsidRPr="00A134EA" w:rsidRDefault="00A134EA" w:rsidP="00A134E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134E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Държавен експерт </w:t>
            </w:r>
          </w:p>
          <w:p w:rsidR="00A134EA" w:rsidRPr="00A134EA" w:rsidRDefault="00A134EA" w:rsidP="00A134E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134E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Централно координационно звено</w:t>
            </w:r>
          </w:p>
          <w:p w:rsidR="00A134EA" w:rsidRPr="00A134EA" w:rsidRDefault="00A134EA" w:rsidP="00A134E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134E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Администрация на Министерския съвет</w:t>
            </w:r>
          </w:p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Навсякъде в доклада изразът „планирани приеми“ следва да се замени с „отворени приеми“, предвид, че докладът отчита изпълнението на програмата през предходната календарна година.</w:t>
            </w:r>
          </w:p>
        </w:tc>
        <w:tc>
          <w:tcPr>
            <w:tcW w:w="3152" w:type="dxa"/>
          </w:tcPr>
          <w:p w:rsidR="00A134EA" w:rsidRPr="005738DB" w:rsidRDefault="005738DB" w:rsidP="005738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Двата израза имат различно значение, поради което 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Навсякъде в доклада изразът „подписани договори“ следва да се замени с израза „сключени договори“, с цел прецизиране на терминологията.</w:t>
            </w:r>
          </w:p>
        </w:tc>
        <w:tc>
          <w:tcPr>
            <w:tcW w:w="3152" w:type="dxa"/>
          </w:tcPr>
          <w:p w:rsidR="00A134EA" w:rsidRPr="005738DB" w:rsidRDefault="005738DB" w:rsidP="00034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 наближаването на крайния срок за изпращане на Годишния доклад до ЕК и предвид, че двата израза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синоними, 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Навсякъде в доклада след цифровото изписване на дадена 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мярка да се добавя и наименованието й.</w:t>
            </w:r>
          </w:p>
        </w:tc>
        <w:tc>
          <w:tcPr>
            <w:tcW w:w="3152" w:type="dxa"/>
          </w:tcPr>
          <w:p w:rsidR="00A134EA" w:rsidRPr="005738DB" w:rsidRDefault="005738DB" w:rsidP="00034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SFC </w:t>
            </w:r>
            <w:r w:rsidR="00034A99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истемата за 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споделено управление на фондовете има 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определе 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лимит 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знаци и не е възможно допълнително добавяне на символи. Мерките са изписани или съгласно съотвения член от регламента или с тяхното наименование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Предлагаме още в самото начало на резюмето на доклада, освен изброените мерки (стр.5), по които са отворени приеми през 2022 година, да се посочи общият брой на отворените приеми по всички мерки.</w:t>
            </w:r>
          </w:p>
        </w:tc>
        <w:tc>
          <w:tcPr>
            <w:tcW w:w="3152" w:type="dxa"/>
          </w:tcPr>
          <w:p w:rsidR="00A134EA" w:rsidRPr="005738DB" w:rsidRDefault="005738DB" w:rsidP="00034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SFC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2014</w:t>
            </w: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истемата за споделено управление на фондовете има лимит на знаци и не е възможно допълнително добавяне на символи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Включването на тези данни би било за сметка на друга съществена информация.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т.2 (стр.6) информацията „За да се подобри усвояването на средства УО по мерки са откривани многократно приеми и са организирани редица информационни събития за бенефициентите.“ следва да се посочи колко приема са били отворени конкретно през отчетната 2022 година, дали те са били съгласно планираните в ИГРП за 2022 или да се реферира към раздела от доклада, където се съдържа такава информация. Информацията, свързана с информационните събития също следва да се допълни с техния брой и целеви групи.</w:t>
            </w:r>
          </w:p>
        </w:tc>
        <w:tc>
          <w:tcPr>
            <w:tcW w:w="3152" w:type="dxa"/>
          </w:tcPr>
          <w:p w:rsidR="00A134EA" w:rsidRPr="00DB0F8D" w:rsidRDefault="005738DB" w:rsidP="0015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доклада в </w:t>
            </w:r>
            <w:r w:rsidR="00DB0F8D"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началото на </w:t>
            </w:r>
            <w:r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глава 2 </w:t>
            </w:r>
            <w:r w:rsidR="00DB0F8D"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посочена информация по отворените приеми. Относно информационните събити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DB0F8D"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посочен по общ текст за цялостното изпълнение на напредъка на Програмата, като </w:t>
            </w:r>
            <w:r w:rsid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конректните дейности за информация и комуникация за 2022 г. в доклада се реферира към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глава 7 със следният текст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0F8D"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Дейностите по информация и комуникация 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по ПМДР са представени в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глава</w:t>
            </w:r>
            <w:r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7.</w:t>
            </w:r>
            <w:r w:rsidR="00DB0F8D" w:rsidRPr="00034A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DB0F8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следващото изречение „Проведени са обучения в областта на…“ да се допълни кои са били целевите групи на тези обучения, в т.ч. дали УО, МЗ или конкретни бенефициенти или да се реферира към раздела от доклада, където подобна информация е представена.</w:t>
            </w:r>
          </w:p>
        </w:tc>
        <w:tc>
          <w:tcPr>
            <w:tcW w:w="3152" w:type="dxa"/>
          </w:tcPr>
          <w:p w:rsidR="00A134EA" w:rsidRPr="00DB0F8D" w:rsidRDefault="00DB0F8D" w:rsidP="0003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0F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SFC – системата за споделено управление на фондовете има лимит на знаци и не е възможно допълнително добавяне на символи. Включването на тези данни би било за сметка на друга съществена информация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т. Изпълнение на ПМДР (стр.7) броят на договорите по приоритети не дава общия брой сключени договори 164, да се провери къде има техническа грешка.</w:t>
            </w:r>
          </w:p>
        </w:tc>
        <w:tc>
          <w:tcPr>
            <w:tcW w:w="3152" w:type="dxa"/>
          </w:tcPr>
          <w:p w:rsidR="00A134EA" w:rsidRPr="000F4DA8" w:rsidRDefault="000F4DA8" w:rsidP="00157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След извършена повторна проверка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Pr="000F4D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роят на сключените договори през 2022 г.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без промяна и </w:t>
            </w:r>
            <w:r w:rsidRPr="000F4D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152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  <w:r w:rsidRPr="000F4D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е посочено в доклада.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В таблицата, отчитаща изпълнението по мерките, в приоритет 1, информацията за мярка 1.3 (стр. 10) следва да се редактира като изпълнението за 2017 бъде заличено, а това за 2022 добавено, вкл. дали е имало прием.  </w:t>
            </w:r>
          </w:p>
        </w:tc>
        <w:tc>
          <w:tcPr>
            <w:tcW w:w="3152" w:type="dxa"/>
          </w:tcPr>
          <w:p w:rsidR="00A134EA" w:rsidRPr="000F4DA8" w:rsidRDefault="000F4DA8" w:rsidP="000F4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F4D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Изпълнението на мярка 1.3 е приключило през 2018 г.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По мерки 1.4 и 1.5 (стр. 10) прием не е имало поради закриването им. Текстът се нуждае от редакция. Посочено е, че бюджетът им е насочен към други мерки, следва да се допълни към кои.</w:t>
            </w:r>
          </w:p>
        </w:tc>
        <w:tc>
          <w:tcPr>
            <w:tcW w:w="3152" w:type="dxa"/>
          </w:tcPr>
          <w:p w:rsidR="00A134EA" w:rsidRDefault="000F4DA8" w:rsidP="00FD0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SFC – системата за споделено управление на фондовете има лимит на знаци и не е възможно допълнително добавяне на символи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Включването на тези данни би било за сметка на друга съществена информация. 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По т.3 финансово изпълнение навсякъде, където са дадени проценти на изпълнение следва да са сравними, т.е. да се изчислява или процент от общия бюджет на програмата или 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процент от общия бюджет на приоритета.</w:t>
            </w:r>
          </w:p>
        </w:tc>
        <w:tc>
          <w:tcPr>
            <w:tcW w:w="3152" w:type="dxa"/>
          </w:tcPr>
          <w:p w:rsidR="00A134EA" w:rsidRPr="00027588" w:rsidRDefault="00C60341" w:rsidP="00C603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Възприетият стандарт за отчитане през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годините е планираните приеми да се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отнасят в процентно отношение към бюджета на програмата, като останалите данни от т. 3. Финансово изпълнение се изчисляват като процент към бюджета на приоритета. </w:t>
            </w:r>
            <w:r w:rsidR="00027588"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Този начин на отчитане 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съгласуван</w:t>
            </w:r>
            <w:r w:rsidR="00027588"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027588"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ЕК.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т.3 финансово изпълнение на приоритет 1 е посочено „Планираните приеми по ПС 1 за 2022 г. са в размер на 4 805 688 лв.“.Следва обаче да се прецизира дали това са обявените през 2022 приеми (виж коментар 1).</w:t>
            </w:r>
          </w:p>
        </w:tc>
        <w:tc>
          <w:tcPr>
            <w:tcW w:w="3152" w:type="dxa"/>
          </w:tcPr>
          <w:p w:rsidR="00A134EA" w:rsidRPr="00027588" w:rsidRDefault="00027588" w:rsidP="0003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Двата израза имат различно значение, поради което предложението не е отразено в текста.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Има разминаване в бюджета по мярка 2.5 на стр.14. на едно място е посочено, че „Бюджетът на мярка 2.5 става 599 971 евро.“, а следващото изречение казва: „Настоящият бюджет по мярката възлиза на 799 961 €“. Да се уточни дали има техническа грешка.</w:t>
            </w:r>
          </w:p>
        </w:tc>
        <w:tc>
          <w:tcPr>
            <w:tcW w:w="3152" w:type="dxa"/>
          </w:tcPr>
          <w:p w:rsidR="00027588" w:rsidRPr="00027588" w:rsidRDefault="00027588" w:rsidP="00027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разминаване в двете цифри, тъй като едната отчита БФП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799 961 €, а друг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ата само приносът на ЕФМДР -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599 971 </w:t>
            </w:r>
            <w:r w:rsidRPr="000275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€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По мярка 2.6 на стр.14 да се посочи размерът на прехвърлените към мярка 5.3 средства.</w:t>
            </w:r>
          </w:p>
        </w:tc>
        <w:tc>
          <w:tcPr>
            <w:tcW w:w="3152" w:type="dxa"/>
          </w:tcPr>
          <w:p w:rsidR="00A134EA" w:rsidRPr="001573EF" w:rsidRDefault="00FD0AB2" w:rsidP="00157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 наличието на символи в </w:t>
            </w:r>
            <w:r w:rsidRPr="001573EF">
              <w:rPr>
                <w:rFonts w:ascii="Times New Roman" w:hAnsi="Times New Roman" w:cs="Times New Roman"/>
                <w:sz w:val="24"/>
                <w:szCs w:val="24"/>
              </w:rPr>
              <w:t xml:space="preserve">SFC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този приоритет е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добавен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размерът на прехвърлените средства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мярка 2.6 към 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мярка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5.3</w:t>
            </w:r>
            <w:r w:rsid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P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По т.3 финансово изпълнение на стр.15 виж коментар 11.</w:t>
            </w:r>
          </w:p>
        </w:tc>
        <w:tc>
          <w:tcPr>
            <w:tcW w:w="3152" w:type="dxa"/>
          </w:tcPr>
          <w:p w:rsidR="00A134EA" w:rsidRPr="001573EF" w:rsidRDefault="00034A99" w:rsidP="0003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Двата израза имат различно значение, поради което 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индикатори за изпълнение на стр.16 виж коментар 2.</w:t>
            </w:r>
          </w:p>
        </w:tc>
        <w:tc>
          <w:tcPr>
            <w:tcW w:w="3152" w:type="dxa"/>
          </w:tcPr>
          <w:p w:rsidR="00A134EA" w:rsidRPr="001573EF" w:rsidRDefault="00034A99" w:rsidP="0003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 наближаването на крайния срок за изпращане на Годишния доклад до ЕК и предвид, че двата израза са синоними, </w:t>
            </w:r>
            <w:r w:rsidRPr="001573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При индикаторите за резултат, ако изразите „мониторингова проверка и отчитане“  и „мониторинг за резултат“ се използват за една и съща дейност, следва да се избере единият израз и навсякъде, по всеки един приоритет, да се използва само него.</w:t>
            </w:r>
          </w:p>
        </w:tc>
        <w:tc>
          <w:tcPr>
            <w:tcW w:w="3152" w:type="dxa"/>
          </w:tcPr>
          <w:p w:rsidR="00A134EA" w:rsidRDefault="00034A99" w:rsidP="00032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 наближаването на крайния срок за изпращане на Годишния доклад до ЕК и предвид, че двата израза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 синоними, 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По т.3 финансово изпълнение на стр.20 виж коментар 11.</w:t>
            </w:r>
          </w:p>
        </w:tc>
        <w:tc>
          <w:tcPr>
            <w:tcW w:w="3152" w:type="dxa"/>
          </w:tcPr>
          <w:p w:rsidR="00A134EA" w:rsidRPr="00A41E0A" w:rsidRDefault="00034A99" w:rsidP="0003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41E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Двата израза имат различно значение, поради което предложението не е отразено в текста.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Pr="00E20D63" w:rsidRDefault="00A134EA" w:rsidP="009B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  <w:r w:rsidRPr="00E20D6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Обръщаме внимание, че в т.7 на стр,74 е посочена ИГРП за 2023, която беше приета и публикувана през 2023, а докладът е за изпълнение на 2022.</w:t>
            </w:r>
          </w:p>
        </w:tc>
        <w:tc>
          <w:tcPr>
            <w:tcW w:w="3152" w:type="dxa"/>
          </w:tcPr>
          <w:p w:rsidR="00A134EA" w:rsidRPr="00793E89" w:rsidRDefault="00034A99" w:rsidP="00034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3E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тази точка от доклада е посочена общата информация, която се публикува в секцията на ПМДРА на Единния портал независимо, че докладът е за 2022 г.  </w:t>
            </w: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Default="00A134EA" w:rsidP="009B2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52" w:type="dxa"/>
          </w:tcPr>
          <w:p w:rsidR="00A134EA" w:rsidRDefault="00A134EA" w:rsidP="00032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A134EA" w:rsidTr="00C70928">
        <w:tc>
          <w:tcPr>
            <w:tcW w:w="669" w:type="dxa"/>
            <w:vMerge/>
          </w:tcPr>
          <w:p w:rsidR="00A134EA" w:rsidRPr="00A134EA" w:rsidRDefault="00A134EA" w:rsidP="00C41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134EA" w:rsidRDefault="00A134EA" w:rsidP="00472CC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47" w:type="dxa"/>
          </w:tcPr>
          <w:p w:rsidR="00A134EA" w:rsidRDefault="00A134EA" w:rsidP="009B2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52" w:type="dxa"/>
          </w:tcPr>
          <w:p w:rsidR="00A134EA" w:rsidRDefault="00A134EA" w:rsidP="00032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31346" w:rsidRPr="00C032B6" w:rsidRDefault="00E31346" w:rsidP="00C032B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31346" w:rsidRPr="00C032B6" w:rsidSect="00E3134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DB" w:rsidRDefault="005738DB" w:rsidP="005738DB">
      <w:pPr>
        <w:spacing w:after="0" w:line="240" w:lineRule="auto"/>
      </w:pPr>
      <w:r>
        <w:separator/>
      </w:r>
    </w:p>
  </w:endnote>
  <w:end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DB" w:rsidRDefault="005738DB" w:rsidP="005738DB">
      <w:pPr>
        <w:spacing w:after="0" w:line="240" w:lineRule="auto"/>
      </w:pPr>
      <w:r>
        <w:separator/>
      </w:r>
    </w:p>
  </w:footnote>
  <w:foot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640"/>
    <w:multiLevelType w:val="hybridMultilevel"/>
    <w:tmpl w:val="762031C0"/>
    <w:lvl w:ilvl="0" w:tplc="BCE4EAA8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70238E"/>
    <w:multiLevelType w:val="hybridMultilevel"/>
    <w:tmpl w:val="75C22658"/>
    <w:lvl w:ilvl="0" w:tplc="1938D7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AB6BAB"/>
    <w:multiLevelType w:val="hybridMultilevel"/>
    <w:tmpl w:val="8F762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33C3C"/>
    <w:multiLevelType w:val="hybridMultilevel"/>
    <w:tmpl w:val="36DCE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D"/>
    <w:rsid w:val="00012D11"/>
    <w:rsid w:val="00027588"/>
    <w:rsid w:val="00032F6B"/>
    <w:rsid w:val="000346A8"/>
    <w:rsid w:val="00034A99"/>
    <w:rsid w:val="00035963"/>
    <w:rsid w:val="0005206C"/>
    <w:rsid w:val="00071C13"/>
    <w:rsid w:val="000869DC"/>
    <w:rsid w:val="00094F8D"/>
    <w:rsid w:val="000A1515"/>
    <w:rsid w:val="000B31EB"/>
    <w:rsid w:val="000C07A2"/>
    <w:rsid w:val="000D0BC9"/>
    <w:rsid w:val="000D2E14"/>
    <w:rsid w:val="000F4DA8"/>
    <w:rsid w:val="000F67AD"/>
    <w:rsid w:val="000F77EE"/>
    <w:rsid w:val="001020C9"/>
    <w:rsid w:val="00104198"/>
    <w:rsid w:val="0015482D"/>
    <w:rsid w:val="001573EF"/>
    <w:rsid w:val="001953BD"/>
    <w:rsid w:val="001A1899"/>
    <w:rsid w:val="001D1DE0"/>
    <w:rsid w:val="001D24B6"/>
    <w:rsid w:val="001F144E"/>
    <w:rsid w:val="001F5F84"/>
    <w:rsid w:val="00236049"/>
    <w:rsid w:val="00243FB9"/>
    <w:rsid w:val="002529F2"/>
    <w:rsid w:val="002555A2"/>
    <w:rsid w:val="00284E96"/>
    <w:rsid w:val="002B7E36"/>
    <w:rsid w:val="002C02FC"/>
    <w:rsid w:val="002D2353"/>
    <w:rsid w:val="00306F31"/>
    <w:rsid w:val="00354582"/>
    <w:rsid w:val="003604C9"/>
    <w:rsid w:val="00360816"/>
    <w:rsid w:val="00361070"/>
    <w:rsid w:val="003861D9"/>
    <w:rsid w:val="00391EDB"/>
    <w:rsid w:val="003A3224"/>
    <w:rsid w:val="003A33B1"/>
    <w:rsid w:val="003A541D"/>
    <w:rsid w:val="003B1E80"/>
    <w:rsid w:val="003C407B"/>
    <w:rsid w:val="004054F5"/>
    <w:rsid w:val="004279D4"/>
    <w:rsid w:val="004718BE"/>
    <w:rsid w:val="00471935"/>
    <w:rsid w:val="00472CCF"/>
    <w:rsid w:val="00476EC5"/>
    <w:rsid w:val="004970BC"/>
    <w:rsid w:val="004A4E3B"/>
    <w:rsid w:val="004D7357"/>
    <w:rsid w:val="004E4BE0"/>
    <w:rsid w:val="00502DBF"/>
    <w:rsid w:val="00505D96"/>
    <w:rsid w:val="005237B9"/>
    <w:rsid w:val="00530E18"/>
    <w:rsid w:val="005430D6"/>
    <w:rsid w:val="0055224F"/>
    <w:rsid w:val="005559B5"/>
    <w:rsid w:val="005666B7"/>
    <w:rsid w:val="00570F73"/>
    <w:rsid w:val="005738DB"/>
    <w:rsid w:val="005C4F8F"/>
    <w:rsid w:val="005E4DEB"/>
    <w:rsid w:val="005F27DD"/>
    <w:rsid w:val="005F2ACE"/>
    <w:rsid w:val="00603F79"/>
    <w:rsid w:val="006315CD"/>
    <w:rsid w:val="00635A62"/>
    <w:rsid w:val="00636C64"/>
    <w:rsid w:val="0064218D"/>
    <w:rsid w:val="00652066"/>
    <w:rsid w:val="0065486D"/>
    <w:rsid w:val="00671B06"/>
    <w:rsid w:val="006842FB"/>
    <w:rsid w:val="00684B24"/>
    <w:rsid w:val="00687573"/>
    <w:rsid w:val="00696A13"/>
    <w:rsid w:val="006A0FF5"/>
    <w:rsid w:val="006E598E"/>
    <w:rsid w:val="006F4C97"/>
    <w:rsid w:val="00707792"/>
    <w:rsid w:val="00714B70"/>
    <w:rsid w:val="00726105"/>
    <w:rsid w:val="00727027"/>
    <w:rsid w:val="007425F2"/>
    <w:rsid w:val="0075026F"/>
    <w:rsid w:val="007658B6"/>
    <w:rsid w:val="007720AA"/>
    <w:rsid w:val="00787344"/>
    <w:rsid w:val="007922E2"/>
    <w:rsid w:val="00793E89"/>
    <w:rsid w:val="007958B3"/>
    <w:rsid w:val="007B276C"/>
    <w:rsid w:val="007C3EAD"/>
    <w:rsid w:val="007C67F9"/>
    <w:rsid w:val="00805966"/>
    <w:rsid w:val="008113B0"/>
    <w:rsid w:val="00814CC6"/>
    <w:rsid w:val="008252F5"/>
    <w:rsid w:val="0082567F"/>
    <w:rsid w:val="00834CB4"/>
    <w:rsid w:val="00857058"/>
    <w:rsid w:val="0085778C"/>
    <w:rsid w:val="008624CB"/>
    <w:rsid w:val="00864BA5"/>
    <w:rsid w:val="00866412"/>
    <w:rsid w:val="008720AF"/>
    <w:rsid w:val="00884597"/>
    <w:rsid w:val="008A0CDC"/>
    <w:rsid w:val="008B0C8C"/>
    <w:rsid w:val="008D3813"/>
    <w:rsid w:val="008E1088"/>
    <w:rsid w:val="008E62D3"/>
    <w:rsid w:val="00910CC5"/>
    <w:rsid w:val="00937DC8"/>
    <w:rsid w:val="0094513A"/>
    <w:rsid w:val="00954A90"/>
    <w:rsid w:val="00970995"/>
    <w:rsid w:val="00973BF7"/>
    <w:rsid w:val="00980574"/>
    <w:rsid w:val="009810BD"/>
    <w:rsid w:val="009A3D90"/>
    <w:rsid w:val="009B2E08"/>
    <w:rsid w:val="009B7386"/>
    <w:rsid w:val="009D3016"/>
    <w:rsid w:val="00A014E0"/>
    <w:rsid w:val="00A02F74"/>
    <w:rsid w:val="00A06876"/>
    <w:rsid w:val="00A11AC5"/>
    <w:rsid w:val="00A134EA"/>
    <w:rsid w:val="00A2409F"/>
    <w:rsid w:val="00A24998"/>
    <w:rsid w:val="00A34C16"/>
    <w:rsid w:val="00A41E0A"/>
    <w:rsid w:val="00A431BD"/>
    <w:rsid w:val="00A46616"/>
    <w:rsid w:val="00A47B63"/>
    <w:rsid w:val="00A6508D"/>
    <w:rsid w:val="00A65F39"/>
    <w:rsid w:val="00A7595A"/>
    <w:rsid w:val="00A9254A"/>
    <w:rsid w:val="00AA266F"/>
    <w:rsid w:val="00AB31F1"/>
    <w:rsid w:val="00AB74FB"/>
    <w:rsid w:val="00AB75AA"/>
    <w:rsid w:val="00AC2EDB"/>
    <w:rsid w:val="00AC2FE7"/>
    <w:rsid w:val="00AD36C2"/>
    <w:rsid w:val="00AF2781"/>
    <w:rsid w:val="00B00907"/>
    <w:rsid w:val="00B12D63"/>
    <w:rsid w:val="00B133B0"/>
    <w:rsid w:val="00B27AB0"/>
    <w:rsid w:val="00B357DF"/>
    <w:rsid w:val="00B909A2"/>
    <w:rsid w:val="00B931A2"/>
    <w:rsid w:val="00BA32A9"/>
    <w:rsid w:val="00BC7868"/>
    <w:rsid w:val="00BD35FC"/>
    <w:rsid w:val="00BE4D70"/>
    <w:rsid w:val="00BF0FE1"/>
    <w:rsid w:val="00BF3589"/>
    <w:rsid w:val="00C032B6"/>
    <w:rsid w:val="00C32BA2"/>
    <w:rsid w:val="00C41D80"/>
    <w:rsid w:val="00C50B77"/>
    <w:rsid w:val="00C60341"/>
    <w:rsid w:val="00C67ED6"/>
    <w:rsid w:val="00C70928"/>
    <w:rsid w:val="00CB29A3"/>
    <w:rsid w:val="00CC647E"/>
    <w:rsid w:val="00CD6924"/>
    <w:rsid w:val="00CF0F06"/>
    <w:rsid w:val="00D054F6"/>
    <w:rsid w:val="00D13748"/>
    <w:rsid w:val="00D40F54"/>
    <w:rsid w:val="00D55EF0"/>
    <w:rsid w:val="00D57347"/>
    <w:rsid w:val="00D634B3"/>
    <w:rsid w:val="00DB0F8D"/>
    <w:rsid w:val="00DC59D5"/>
    <w:rsid w:val="00DC6206"/>
    <w:rsid w:val="00DF56E0"/>
    <w:rsid w:val="00E055C8"/>
    <w:rsid w:val="00E20D63"/>
    <w:rsid w:val="00E22BC3"/>
    <w:rsid w:val="00E25891"/>
    <w:rsid w:val="00E31346"/>
    <w:rsid w:val="00E420F2"/>
    <w:rsid w:val="00E44B6A"/>
    <w:rsid w:val="00E619E9"/>
    <w:rsid w:val="00E63EB6"/>
    <w:rsid w:val="00E9554B"/>
    <w:rsid w:val="00EA466A"/>
    <w:rsid w:val="00EC2142"/>
    <w:rsid w:val="00ED549F"/>
    <w:rsid w:val="00EE7D49"/>
    <w:rsid w:val="00EF27E7"/>
    <w:rsid w:val="00F05779"/>
    <w:rsid w:val="00F10F5D"/>
    <w:rsid w:val="00F15F35"/>
    <w:rsid w:val="00F302AE"/>
    <w:rsid w:val="00F4235A"/>
    <w:rsid w:val="00F44B32"/>
    <w:rsid w:val="00F47B26"/>
    <w:rsid w:val="00F50A5A"/>
    <w:rsid w:val="00F61F08"/>
    <w:rsid w:val="00F91362"/>
    <w:rsid w:val="00F92C52"/>
    <w:rsid w:val="00FA2A2D"/>
    <w:rsid w:val="00FA4621"/>
    <w:rsid w:val="00FB5138"/>
    <w:rsid w:val="00FC1ADE"/>
    <w:rsid w:val="00FC60C2"/>
    <w:rsid w:val="00FD0AB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basedOn w:val="Normal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basedOn w:val="Normal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A6FB-438F-4ABB-B8A2-94946B1F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Elena Aleksieva</cp:lastModifiedBy>
  <cp:revision>112</cp:revision>
  <dcterms:created xsi:type="dcterms:W3CDTF">2022-04-14T07:31:00Z</dcterms:created>
  <dcterms:modified xsi:type="dcterms:W3CDTF">2023-05-29T14:27:00Z</dcterms:modified>
</cp:coreProperties>
</file>