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A2A0C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7D7AB33" w14:textId="3891F298" w:rsidR="008E16FA" w:rsidRPr="007F391B" w:rsidRDefault="008E16FA" w:rsidP="008E16FA">
      <w:pPr>
        <w:snapToGri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7F391B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2</w:t>
      </w:r>
      <w:bookmarkStart w:id="0" w:name="_GoBack"/>
      <w:bookmarkEnd w:id="0"/>
    </w:p>
    <w:p w14:paraId="47CF9067" w14:textId="77777777" w:rsidR="008E16FA" w:rsidRPr="007F391B" w:rsidRDefault="008E16FA" w:rsidP="008E16FA">
      <w:pPr>
        <w:snapToGri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7F391B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към Заповед №</w:t>
      </w:r>
      <w:r w:rsidRPr="007F391B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en-US"/>
        </w:rPr>
        <w:t>:</w:t>
      </w:r>
      <w:r w:rsidRPr="007F391B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 МДР-ПП-09-82/25.08.2023 г.</w:t>
      </w:r>
    </w:p>
    <w:p w14:paraId="6213F61F" w14:textId="10368D4E" w:rsidR="00737872" w:rsidRPr="00040196" w:rsidRDefault="00737872" w:rsidP="00974C7D">
      <w:pPr>
        <w:tabs>
          <w:tab w:val="left" w:pos="-180"/>
        </w:tabs>
        <w:spacing w:before="120" w:after="120" w:line="240" w:lineRule="auto"/>
        <w:ind w:left="5954"/>
        <w:jc w:val="both"/>
        <w:rPr>
          <w:rFonts w:ascii="Times New Roman" w:hAnsi="Times New Roman" w:cs="Times New Roman"/>
          <w:b/>
          <w:bCs/>
        </w:rPr>
      </w:pPr>
    </w:p>
    <w:p w14:paraId="32D5FE25" w14:textId="77777777" w:rsidR="00737872" w:rsidRPr="00040196" w:rsidRDefault="00737872" w:rsidP="00974C7D">
      <w:pPr>
        <w:tabs>
          <w:tab w:val="left" w:pos="-180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83A715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ADC213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0BFB0688" w14:textId="77777777" w:rsidR="00737872" w:rsidRPr="00040196" w:rsidRDefault="00737872" w:rsidP="00974C7D">
      <w:pPr>
        <w:tabs>
          <w:tab w:val="left" w:pos="-180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3648A7" w14:textId="77777777" w:rsidR="00737872" w:rsidRPr="00040196" w:rsidRDefault="00737872" w:rsidP="00974C7D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40196">
        <w:rPr>
          <w:rFonts w:ascii="Times New Roman" w:hAnsi="Times New Roman" w:cs="Times New Roman"/>
          <w:b/>
          <w:bCs/>
          <w:sz w:val="44"/>
          <w:szCs w:val="44"/>
        </w:rPr>
        <w:t>Условия за изпълнение</w:t>
      </w:r>
    </w:p>
    <w:p w14:paraId="158DFFD1" w14:textId="77777777" w:rsidR="00737872" w:rsidRPr="00040196" w:rsidRDefault="00737872" w:rsidP="00974C7D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ACEEF56" w14:textId="77777777" w:rsidR="00A65096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040196">
        <w:rPr>
          <w:rFonts w:ascii="Times New Roman" w:hAnsi="Times New Roman" w:cs="Times New Roman"/>
          <w:b/>
          <w:bCs/>
        </w:rPr>
        <w:t>по процедура чрез подбор на проекти</w:t>
      </w:r>
    </w:p>
    <w:p w14:paraId="5FC06E49" w14:textId="77777777" w:rsidR="00A65096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040196">
        <w:rPr>
          <w:rFonts w:ascii="Times New Roman" w:hAnsi="Times New Roman" w:cs="Times New Roman"/>
          <w:b/>
          <w:bCs/>
        </w:rPr>
        <w:t>BG14MFOP001-1.027 „Рибарски пристанища, кейове за разтоварване, рибни борси и лодкостоянки“,</w:t>
      </w:r>
    </w:p>
    <w:p w14:paraId="7453E1A0" w14:textId="77777777" w:rsidR="00A65096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03A1AC" w14:textId="771A24C5" w:rsidR="00A65096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040196">
        <w:rPr>
          <w:rFonts w:ascii="Times New Roman" w:hAnsi="Times New Roman" w:cs="Times New Roman"/>
          <w:b/>
          <w:bCs/>
        </w:rPr>
        <w:t>Мярка 1.8. „Рибарски пристанища, кейове за разтоварв</w:t>
      </w:r>
      <w:r w:rsidR="00E33422" w:rsidRPr="00040196">
        <w:rPr>
          <w:rFonts w:ascii="Times New Roman" w:hAnsi="Times New Roman" w:cs="Times New Roman"/>
          <w:b/>
          <w:bCs/>
        </w:rPr>
        <w:t>ане, рибни борси и лодкостоянки“</w:t>
      </w:r>
      <w:r w:rsidRPr="00040196">
        <w:rPr>
          <w:rFonts w:ascii="Times New Roman" w:hAnsi="Times New Roman" w:cs="Times New Roman"/>
          <w:b/>
          <w:bCs/>
        </w:rPr>
        <w:t>,</w:t>
      </w:r>
    </w:p>
    <w:p w14:paraId="135E28B7" w14:textId="77777777" w:rsidR="00A65096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040196">
        <w:rPr>
          <w:rFonts w:ascii="Times New Roman" w:hAnsi="Times New Roman" w:cs="Times New Roman"/>
          <w:b/>
          <w:bCs/>
        </w:rPr>
        <w:t>сектор „Инвестиции в съществуващи рибарски пристанища“ и</w:t>
      </w:r>
    </w:p>
    <w:p w14:paraId="001BB96D" w14:textId="2E53130C" w:rsidR="00A65096" w:rsidRPr="00040196" w:rsidRDefault="00A65096" w:rsidP="00121675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040196">
        <w:rPr>
          <w:rFonts w:ascii="Times New Roman" w:hAnsi="Times New Roman" w:cs="Times New Roman"/>
          <w:b/>
          <w:bCs/>
        </w:rPr>
        <w:t>сектор „</w:t>
      </w:r>
      <w:r w:rsidR="008E6BC7" w:rsidRPr="00040196">
        <w:rPr>
          <w:rFonts w:ascii="Times New Roman" w:hAnsi="Times New Roman" w:cs="Times New Roman"/>
          <w:b/>
          <w:bCs/>
        </w:rPr>
        <w:t>Инвестиции насочени към изграждане и/или модернизация на лодкостоянки</w:t>
      </w:r>
      <w:r w:rsidRPr="00040196">
        <w:rPr>
          <w:rFonts w:ascii="Times New Roman" w:hAnsi="Times New Roman" w:cs="Times New Roman"/>
          <w:b/>
          <w:bCs/>
        </w:rPr>
        <w:t>“,</w:t>
      </w:r>
    </w:p>
    <w:p w14:paraId="1C1EFC36" w14:textId="42A5450B" w:rsidR="00737872" w:rsidRPr="00040196" w:rsidRDefault="00A65096" w:rsidP="00A65096">
      <w:pPr>
        <w:tabs>
          <w:tab w:val="left" w:pos="-180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040196">
        <w:rPr>
          <w:rFonts w:ascii="Times New Roman" w:hAnsi="Times New Roman" w:cs="Times New Roman"/>
          <w:b/>
          <w:bCs/>
        </w:rPr>
        <w:t>Програма за морско дело и рибарство 2014-2020</w:t>
      </w:r>
    </w:p>
    <w:p w14:paraId="6BBE6B06" w14:textId="77777777" w:rsidR="00737872" w:rsidRPr="00040196" w:rsidRDefault="00737872" w:rsidP="00974C7D">
      <w:pPr>
        <w:tabs>
          <w:tab w:val="left" w:pos="-180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ru-RU"/>
        </w:rPr>
      </w:pPr>
      <w:r w:rsidRPr="00040196">
        <w:rPr>
          <w:rFonts w:ascii="Times New Roman" w:hAnsi="Times New Roman" w:cs="Times New Roman"/>
          <w:b/>
          <w:bCs/>
          <w:lang w:val="ru-RU"/>
        </w:rPr>
        <w:br w:type="page"/>
      </w:r>
    </w:p>
    <w:p w14:paraId="031CA2FE" w14:textId="77777777" w:rsidR="00737872" w:rsidRPr="00040196" w:rsidRDefault="00737872" w:rsidP="00974C7D">
      <w:pPr>
        <w:pStyle w:val="TOCHeading"/>
        <w:spacing w:before="120" w:after="12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40196">
        <w:rPr>
          <w:rFonts w:ascii="Times New Roman" w:hAnsi="Times New Roman" w:cs="Times New Roman"/>
          <w:sz w:val="22"/>
          <w:szCs w:val="22"/>
        </w:rPr>
        <w:lastRenderedPageBreak/>
        <w:t>Съдържание</w:t>
      </w:r>
    </w:p>
    <w:p w14:paraId="7CA5ADA1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lang w:eastAsia="bg-BG"/>
        </w:rPr>
      </w:pPr>
    </w:p>
    <w:p w14:paraId="0F28489F" w14:textId="77777777" w:rsidR="00737872" w:rsidRPr="00040196" w:rsidRDefault="008E16FA" w:rsidP="00974C7D">
      <w:pPr>
        <w:tabs>
          <w:tab w:val="right" w:leader="dot" w:pos="934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 w:val="0"/>
          <w:lang w:eastAsia="bg-BG"/>
        </w:rPr>
      </w:pPr>
      <w:hyperlink w:anchor="_Toc442348057" w:history="1">
        <w:r w:rsidR="00737872" w:rsidRPr="00040196">
          <w:rPr>
            <w:rFonts w:ascii="Times New Roman" w:eastAsia="Calibri" w:hAnsi="Times New Roman" w:cs="Times New Roman"/>
            <w:noProof w:val="0"/>
            <w:color w:val="000000" w:themeColor="text1"/>
          </w:rPr>
          <w:t>1. Техническо изпълнение на проектите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tab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begin"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instrText xml:space="preserve"> PAGEREF _Toc442348057 \h </w:instrTex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separate"/>
        </w:r>
        <w:r w:rsidR="00737872" w:rsidRPr="00040196">
          <w:rPr>
            <w:rFonts w:ascii="Times New Roman" w:eastAsia="Calibri" w:hAnsi="Times New Roman" w:cs="Times New Roman"/>
            <w:bCs/>
            <w:webHidden/>
          </w:rPr>
          <w:t>3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end"/>
        </w:r>
      </w:hyperlink>
    </w:p>
    <w:p w14:paraId="1776AF17" w14:textId="77777777" w:rsidR="00737872" w:rsidRPr="00040196" w:rsidRDefault="008E16FA" w:rsidP="00974C7D">
      <w:pPr>
        <w:tabs>
          <w:tab w:val="right" w:leader="dot" w:pos="934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 w:val="0"/>
        </w:rPr>
      </w:pPr>
      <w:hyperlink w:anchor="_Toc442348058" w:history="1">
        <w:r w:rsidR="00737872" w:rsidRPr="00040196">
          <w:rPr>
            <w:rFonts w:ascii="Times New Roman" w:eastAsia="Calibri" w:hAnsi="Times New Roman" w:cs="Times New Roman"/>
            <w:noProof w:val="0"/>
            <w:color w:val="000000" w:themeColor="text1"/>
          </w:rPr>
          <w:t>2. Финансово изпълнение на проектите и плащане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tab/>
        </w:r>
      </w:hyperlink>
      <w:r w:rsidR="00737872" w:rsidRPr="00040196">
        <w:rPr>
          <w:rFonts w:ascii="Times New Roman" w:eastAsia="Calibri" w:hAnsi="Times New Roman" w:cs="Times New Roman"/>
          <w:noProof w:val="0"/>
        </w:rPr>
        <w:t>10</w:t>
      </w:r>
    </w:p>
    <w:p w14:paraId="3F27C917" w14:textId="77777777" w:rsidR="00737872" w:rsidRPr="00040196" w:rsidRDefault="008E16FA" w:rsidP="00974C7D">
      <w:pPr>
        <w:tabs>
          <w:tab w:val="right" w:leader="dot" w:pos="934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 w:val="0"/>
          <w:lang w:eastAsia="bg-BG"/>
        </w:rPr>
      </w:pPr>
      <w:hyperlink w:anchor="_Toc442348059" w:history="1">
        <w:r w:rsidR="00737872" w:rsidRPr="00040196">
          <w:rPr>
            <w:rFonts w:ascii="Times New Roman" w:eastAsia="Calibri" w:hAnsi="Times New Roman" w:cs="Times New Roman"/>
            <w:noProof w:val="0"/>
            <w:color w:val="000000" w:themeColor="text1"/>
          </w:rPr>
          <w:t>3. Мерки за информиране и публичност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tab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begin"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instrText xml:space="preserve"> PAGEREF _Toc442348059 \h </w:instrTex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separate"/>
        </w:r>
        <w:r w:rsidR="00737872" w:rsidRPr="00040196">
          <w:rPr>
            <w:rFonts w:ascii="Times New Roman" w:eastAsia="Calibri" w:hAnsi="Times New Roman" w:cs="Times New Roman"/>
            <w:bCs/>
            <w:webHidden/>
          </w:rPr>
          <w:t>11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end"/>
        </w:r>
      </w:hyperlink>
    </w:p>
    <w:p w14:paraId="745A58FC" w14:textId="77777777" w:rsidR="00737872" w:rsidRPr="00040196" w:rsidRDefault="008E16FA" w:rsidP="00974C7D">
      <w:pPr>
        <w:tabs>
          <w:tab w:val="right" w:leader="dot" w:pos="934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noProof w:val="0"/>
          <w:lang w:eastAsia="bg-BG"/>
        </w:rPr>
      </w:pPr>
      <w:hyperlink w:anchor="_Toc442348060" w:history="1">
        <w:r w:rsidR="00737872" w:rsidRPr="00040196">
          <w:rPr>
            <w:rFonts w:ascii="Times New Roman" w:eastAsia="Calibri" w:hAnsi="Times New Roman" w:cs="Times New Roman"/>
            <w:noProof w:val="0"/>
            <w:color w:val="000000" w:themeColor="text1"/>
          </w:rPr>
          <w:t>4. Приложения към Условията за изпълнение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tab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begin"/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instrText xml:space="preserve"> PAGEREF _Toc442348060 \h </w:instrTex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separate"/>
        </w:r>
        <w:r w:rsidR="00737872" w:rsidRPr="00040196">
          <w:rPr>
            <w:rFonts w:ascii="Times New Roman" w:eastAsia="Calibri" w:hAnsi="Times New Roman" w:cs="Times New Roman"/>
            <w:webHidden/>
          </w:rPr>
          <w:t>12</w:t>
        </w:r>
        <w:r w:rsidR="00737872" w:rsidRPr="00040196">
          <w:rPr>
            <w:rFonts w:ascii="Times New Roman" w:eastAsia="Calibri" w:hAnsi="Times New Roman" w:cs="Times New Roman"/>
            <w:noProof w:val="0"/>
            <w:webHidden/>
          </w:rPr>
          <w:fldChar w:fldCharType="end"/>
        </w:r>
      </w:hyperlink>
    </w:p>
    <w:p w14:paraId="35CE5044" w14:textId="70DE6FC3" w:rsidR="00737872" w:rsidRPr="00040196" w:rsidRDefault="00737872" w:rsidP="00974C7D">
      <w:pPr>
        <w:pStyle w:val="TOC2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fldChar w:fldCharType="begin"/>
      </w:r>
      <w:r w:rsidRPr="00040196">
        <w:rPr>
          <w:rFonts w:ascii="Times New Roman" w:hAnsi="Times New Roman" w:cs="Times New Roman"/>
        </w:rPr>
        <w:instrText xml:space="preserve"> TOC \o "1-3" \h \z \u </w:instrText>
      </w:r>
      <w:r w:rsidRPr="00040196">
        <w:rPr>
          <w:rFonts w:ascii="Times New Roman" w:hAnsi="Times New Roman" w:cs="Times New Roman"/>
        </w:rPr>
        <w:fldChar w:fldCharType="end"/>
      </w:r>
    </w:p>
    <w:p w14:paraId="46E9FE98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5B9BD5"/>
        </w:rPr>
      </w:pPr>
      <w:r w:rsidRPr="00040196">
        <w:rPr>
          <w:rFonts w:ascii="Times New Roman" w:hAnsi="Times New Roman" w:cs="Times New Roman"/>
        </w:rPr>
        <w:br w:type="page"/>
      </w:r>
      <w:r w:rsidRPr="00040196">
        <w:rPr>
          <w:rFonts w:ascii="Times New Roman" w:hAnsi="Times New Roman" w:cs="Times New Roman"/>
          <w:b/>
          <w:bCs/>
          <w:color w:val="5B9BD5"/>
        </w:rPr>
        <w:lastRenderedPageBreak/>
        <w:t>1. Техническо изпълнение на проектите</w:t>
      </w:r>
    </w:p>
    <w:p w14:paraId="5C810E31" w14:textId="00EB9949" w:rsidR="00C06848" w:rsidRPr="00040196" w:rsidRDefault="00C06848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При изпълнението на проектното предложение (ПП) трябва да са спазени поетите ангажименти от страна на кандидата/бенефициера за постигане на целите, резултатите и да е видим и измерим ефектът от изпълнението на ПП. При неизпълнение или несъответствие УО на ПМДР ще редуцира финансирането по ПП и/или ще налага финансови корекции </w:t>
      </w:r>
      <w:r w:rsidR="004D0012" w:rsidRPr="004D0012">
        <w:rPr>
          <w:rFonts w:ascii="Times New Roman" w:hAnsi="Times New Roman" w:cs="Times New Roman"/>
          <w:bCs/>
        </w:rPr>
        <w:t>при прилагане на принципа на добро финансово управление, съгласно</w:t>
      </w:r>
      <w:r w:rsidRPr="00040196">
        <w:rPr>
          <w:rFonts w:ascii="Times New Roman" w:hAnsi="Times New Roman" w:cs="Times New Roman"/>
          <w:bCs/>
        </w:rPr>
        <w:t xml:space="preserve"> </w:t>
      </w:r>
      <w:r w:rsidR="004D0012" w:rsidRPr="00040196">
        <w:rPr>
          <w:rFonts w:ascii="Times New Roman" w:hAnsi="Times New Roman" w:cs="Times New Roman"/>
          <w:bCs/>
        </w:rPr>
        <w:t>чл</w:t>
      </w:r>
      <w:r w:rsidR="004D0012">
        <w:rPr>
          <w:rFonts w:ascii="Times New Roman" w:hAnsi="Times New Roman" w:cs="Times New Roman"/>
          <w:bCs/>
        </w:rPr>
        <w:t>.</w:t>
      </w:r>
      <w:r w:rsidR="004D0012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4, параграф 8 от Регламент (ЕС) №1303/2013 </w:t>
      </w:r>
      <w:r w:rsidR="004D0012" w:rsidRPr="004D0012">
        <w:rPr>
          <w:rFonts w:ascii="Times New Roman" w:hAnsi="Times New Roman" w:cs="Times New Roman"/>
          <w:bCs/>
        </w:rPr>
        <w:t>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(Регламент (ЕС) № 1303/2013)</w:t>
      </w:r>
      <w:r w:rsidR="004D0012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>в съответствие с изискванията на член 33, член 36, параграф 1 и член 6</w:t>
      </w:r>
      <w:r w:rsidR="004D0012">
        <w:rPr>
          <w:rFonts w:ascii="Times New Roman" w:hAnsi="Times New Roman" w:cs="Times New Roman"/>
          <w:bCs/>
        </w:rPr>
        <w:t>1</w:t>
      </w:r>
      <w:r w:rsidRPr="00040196">
        <w:rPr>
          <w:rFonts w:ascii="Times New Roman" w:hAnsi="Times New Roman" w:cs="Times New Roman"/>
          <w:bCs/>
        </w:rPr>
        <w:t xml:space="preserve"> от Регламент (ЕС, Евратом) 2018/1046 </w:t>
      </w:r>
      <w:r w:rsidR="004D0012" w:rsidRPr="004D0012">
        <w:rPr>
          <w:rFonts w:ascii="Times New Roman" w:hAnsi="Times New Roman" w:cs="Times New Roman"/>
          <w:bCs/>
        </w:rPr>
        <w:t xml:space="preserve">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</w:t>
      </w:r>
      <w:r w:rsidRPr="00040196">
        <w:rPr>
          <w:rFonts w:ascii="Times New Roman" w:hAnsi="Times New Roman" w:cs="Times New Roman"/>
          <w:bCs/>
        </w:rPr>
        <w:t>(Финансовия регламент).</w:t>
      </w:r>
    </w:p>
    <w:p w14:paraId="5E0A43F8" w14:textId="77777777" w:rsidR="00C06848" w:rsidRPr="00040196" w:rsidRDefault="00C06848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Съгласно чл. 2, т. 59 от Финансовия регламент „добро финансово управление“ означава изпълнение на бюджета в съответствие с принципите на икономичност, ефикасност и ефективност.</w:t>
      </w:r>
    </w:p>
    <w:p w14:paraId="4ADE5696" w14:textId="08D5B1A4" w:rsidR="00C06848" w:rsidRPr="00040196" w:rsidRDefault="00C06848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Съгласно чл. 33, параграф 1, букви </w:t>
      </w:r>
      <w:r w:rsidR="00231200">
        <w:rPr>
          <w:rFonts w:ascii="Times New Roman" w:hAnsi="Times New Roman" w:cs="Times New Roman"/>
          <w:bCs/>
        </w:rPr>
        <w:t>„</w:t>
      </w:r>
      <w:r w:rsidRPr="00040196">
        <w:rPr>
          <w:rFonts w:ascii="Times New Roman" w:hAnsi="Times New Roman" w:cs="Times New Roman"/>
          <w:bCs/>
        </w:rPr>
        <w:t>а</w:t>
      </w:r>
      <w:r w:rsidR="00231200">
        <w:rPr>
          <w:rFonts w:ascii="Times New Roman" w:hAnsi="Times New Roman" w:cs="Times New Roman"/>
          <w:bCs/>
        </w:rPr>
        <w:t>“</w:t>
      </w:r>
      <w:r w:rsidRPr="00040196">
        <w:rPr>
          <w:rFonts w:ascii="Times New Roman" w:hAnsi="Times New Roman" w:cs="Times New Roman"/>
          <w:bCs/>
        </w:rPr>
        <w:t xml:space="preserve">, </w:t>
      </w:r>
      <w:r w:rsidR="00231200">
        <w:rPr>
          <w:rFonts w:ascii="Times New Roman" w:hAnsi="Times New Roman" w:cs="Times New Roman"/>
          <w:bCs/>
        </w:rPr>
        <w:t>„</w:t>
      </w:r>
      <w:r w:rsidRPr="00040196">
        <w:rPr>
          <w:rFonts w:ascii="Times New Roman" w:hAnsi="Times New Roman" w:cs="Times New Roman"/>
          <w:bCs/>
        </w:rPr>
        <w:t>б</w:t>
      </w:r>
      <w:r w:rsidR="00231200">
        <w:rPr>
          <w:rFonts w:ascii="Times New Roman" w:hAnsi="Times New Roman" w:cs="Times New Roman"/>
          <w:bCs/>
        </w:rPr>
        <w:t>“</w:t>
      </w:r>
      <w:r w:rsidRPr="00040196">
        <w:rPr>
          <w:rFonts w:ascii="Times New Roman" w:hAnsi="Times New Roman" w:cs="Times New Roman"/>
          <w:bCs/>
        </w:rPr>
        <w:t xml:space="preserve"> и </w:t>
      </w:r>
      <w:r w:rsidR="00231200">
        <w:rPr>
          <w:rFonts w:ascii="Times New Roman" w:hAnsi="Times New Roman" w:cs="Times New Roman"/>
          <w:bCs/>
        </w:rPr>
        <w:t>„</w:t>
      </w:r>
      <w:r w:rsidRPr="00040196">
        <w:rPr>
          <w:rFonts w:ascii="Times New Roman" w:hAnsi="Times New Roman" w:cs="Times New Roman"/>
          <w:bCs/>
        </w:rPr>
        <w:t>в</w:t>
      </w:r>
      <w:r w:rsidR="00231200">
        <w:rPr>
          <w:rFonts w:ascii="Times New Roman" w:hAnsi="Times New Roman" w:cs="Times New Roman"/>
          <w:bCs/>
        </w:rPr>
        <w:t>“</w:t>
      </w:r>
      <w:r w:rsidRPr="00040196">
        <w:rPr>
          <w:rFonts w:ascii="Times New Roman" w:hAnsi="Times New Roman" w:cs="Times New Roman"/>
          <w:bCs/>
        </w:rPr>
        <w:t xml:space="preserve"> на Финансовия регламент:</w:t>
      </w:r>
    </w:p>
    <w:p w14:paraId="6F450529" w14:textId="77777777" w:rsidR="007F70A0" w:rsidRPr="00040196" w:rsidRDefault="007F70A0" w:rsidP="007F70A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а) принципът икономичност се отнасят за ресурсите, използвани при съответната инвестиция да бъдат в подходящо количество и качество и на най-добрата цена;</w:t>
      </w:r>
    </w:p>
    <w:p w14:paraId="45E3DD72" w14:textId="77777777" w:rsidR="007F70A0" w:rsidRPr="00040196" w:rsidRDefault="007F70A0" w:rsidP="007F70A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б) ефикасността се отнася до най-доброто съотношение между използваните ресурси, предприетите дейности и постигането на целите;</w:t>
      </w:r>
    </w:p>
    <w:p w14:paraId="5B1EF0D4" w14:textId="51B33974" w:rsidR="00214AB7" w:rsidRPr="00040196" w:rsidRDefault="007F70A0" w:rsidP="007F70A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в) принципът на ефективност е свързан със степента, в която се постигат поставените цели посредством предприетите дейности.</w:t>
      </w:r>
    </w:p>
    <w:p w14:paraId="19D8E869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процеса на изпълнение на одобрените проекти бенефициерите могат да възлагат на изпълнители – външни за тях лица, извършването на определени дейности по проекта. Изборът на изпълнител се извършва след сключване на административния договор за предоставяне на безвъзмездна финансова помощ.</w:t>
      </w:r>
    </w:p>
    <w:p w14:paraId="4C6A4317" w14:textId="3DF1B949" w:rsidR="001257B8" w:rsidRPr="00040196" w:rsidRDefault="00737872" w:rsidP="001257B8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noProof w:val="0"/>
        </w:rPr>
      </w:pPr>
      <w:r w:rsidRPr="00BE78A9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72D49DF2" wp14:editId="16F05F4D">
            <wp:extent cx="668020" cy="3517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57B8" w:rsidRPr="00BE78A9">
        <w:rPr>
          <w:rFonts w:ascii="Times New Roman" w:eastAsia="Calibri" w:hAnsi="Times New Roman" w:cs="Times New Roman"/>
          <w:b/>
          <w:bCs/>
          <w:noProof w:val="0"/>
        </w:rPr>
        <w:t xml:space="preserve"> </w:t>
      </w:r>
      <w:r w:rsidR="001257B8" w:rsidRPr="00BE78A9">
        <w:rPr>
          <w:rFonts w:ascii="Times New Roman" w:eastAsia="Calibri" w:hAnsi="Times New Roman" w:cs="Times New Roman"/>
          <w:bCs/>
          <w:noProof w:val="0"/>
        </w:rPr>
        <w:t>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помощ.</w:t>
      </w:r>
    </w:p>
    <w:p w14:paraId="3158B9CB" w14:textId="5463540F" w:rsidR="00737872" w:rsidRPr="00040196" w:rsidRDefault="001257B8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  <w:lang w:val="en-US"/>
        </w:rPr>
        <w:drawing>
          <wp:inline distT="0" distB="0" distL="0" distR="0" wp14:anchorId="4978DCDA" wp14:editId="34CA6A78">
            <wp:extent cx="670560" cy="3536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37872" w:rsidRPr="00040196">
        <w:rPr>
          <w:rFonts w:ascii="Times New Roman" w:hAnsi="Times New Roman" w:cs="Times New Roman"/>
          <w:bCs/>
        </w:rPr>
        <w:t>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дейности/етапи, отразени в бизнес плана към Условията за кандидатстване и времевия график за изпълнение на проекта във Формуляра за кандидатстване.</w:t>
      </w:r>
    </w:p>
    <w:p w14:paraId="33DC7CAF" w14:textId="77777777" w:rsidR="00737872" w:rsidRPr="00040196" w:rsidRDefault="00737872" w:rsidP="00974C7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В срок до 20 работни дни от датата на получаването на документацията по проведения избор, УО на ПМДР извършва последващия контрол за законосъобразност.</w:t>
      </w:r>
    </w:p>
    <w:p w14:paraId="2CA81A8B" w14:textId="5FACA72D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  <w:bCs/>
          <w:lang w:val="en-US"/>
        </w:rPr>
        <w:drawing>
          <wp:inline distT="0" distB="0" distL="0" distR="0" wp14:anchorId="61BC434D" wp14:editId="44A3EC4A">
            <wp:extent cx="668020" cy="35179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</w:rPr>
        <w:t>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дейности, както и да е започнало изпълнението на проекта.</w:t>
      </w:r>
    </w:p>
    <w:p w14:paraId="480F1F96" w14:textId="7D4D9062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Бенефициерът трябва да представи чрез </w:t>
      </w:r>
      <w:r w:rsidR="00207AB7" w:rsidRPr="00207AB7">
        <w:rPr>
          <w:rFonts w:ascii="Times New Roman" w:hAnsi="Times New Roman" w:cs="Times New Roman"/>
        </w:rPr>
        <w:t xml:space="preserve">Информационната система за управление и наблюдение на средствата от Европейските структурни и инвестиционни фондове </w:t>
      </w:r>
      <w:r w:rsidR="00207AB7">
        <w:rPr>
          <w:rFonts w:ascii="Times New Roman" w:hAnsi="Times New Roman" w:cs="Times New Roman"/>
        </w:rPr>
        <w:t>(</w:t>
      </w:r>
      <w:r w:rsidRPr="00040196">
        <w:rPr>
          <w:rFonts w:ascii="Times New Roman" w:hAnsi="Times New Roman" w:cs="Times New Roman"/>
        </w:rPr>
        <w:t>ИСУН 2020</w:t>
      </w:r>
      <w:r w:rsidR="00207AB7">
        <w:rPr>
          <w:rFonts w:ascii="Times New Roman" w:hAnsi="Times New Roman" w:cs="Times New Roman"/>
        </w:rPr>
        <w:t>)</w:t>
      </w:r>
      <w:r w:rsidRPr="00040196">
        <w:rPr>
          <w:rFonts w:ascii="Times New Roman" w:hAnsi="Times New Roman" w:cs="Times New Roman"/>
        </w:rPr>
        <w:t xml:space="preserve"> мотивирано искане </w:t>
      </w:r>
      <w:r w:rsidRPr="00040196">
        <w:rPr>
          <w:rFonts w:ascii="Times New Roman" w:hAnsi="Times New Roman" w:cs="Times New Roman"/>
        </w:rPr>
        <w:lastRenderedPageBreak/>
        <w:t xml:space="preserve">до УО на ПМДР за сключване на допълнително споразумение към </w:t>
      </w:r>
      <w:r w:rsidR="00207AB7" w:rsidRPr="00207AB7">
        <w:rPr>
          <w:rFonts w:ascii="Times New Roman" w:hAnsi="Times New Roman" w:cs="Times New Roman"/>
        </w:rPr>
        <w:t xml:space="preserve">административния договор за предоставяне на безвъзмездна финансова помощ </w:t>
      </w:r>
      <w:r w:rsidR="00207AB7">
        <w:rPr>
          <w:rFonts w:ascii="Times New Roman" w:hAnsi="Times New Roman" w:cs="Times New Roman"/>
        </w:rPr>
        <w:t>(</w:t>
      </w:r>
      <w:r w:rsidRPr="00040196">
        <w:rPr>
          <w:rFonts w:ascii="Times New Roman" w:hAnsi="Times New Roman" w:cs="Times New Roman"/>
        </w:rPr>
        <w:t>АД</w:t>
      </w:r>
      <w:r w:rsidR="004673D8">
        <w:rPr>
          <w:rFonts w:ascii="Times New Roman" w:hAnsi="Times New Roman" w:cs="Times New Roman"/>
        </w:rPr>
        <w:t>П</w:t>
      </w:r>
      <w:r w:rsidRPr="00040196">
        <w:rPr>
          <w:rFonts w:ascii="Times New Roman" w:hAnsi="Times New Roman" w:cs="Times New Roman"/>
        </w:rPr>
        <w:t>БФП</w:t>
      </w:r>
      <w:r w:rsidR="00207AB7">
        <w:rPr>
          <w:rFonts w:ascii="Times New Roman" w:hAnsi="Times New Roman" w:cs="Times New Roman"/>
        </w:rPr>
        <w:t>)</w:t>
      </w:r>
      <w:r w:rsidRPr="00040196">
        <w:rPr>
          <w:rFonts w:ascii="Times New Roman" w:hAnsi="Times New Roman" w:cs="Times New Roman"/>
        </w:rPr>
        <w:t xml:space="preserve"> във връзка с избор на изпълнители.</w:t>
      </w:r>
    </w:p>
    <w:p w14:paraId="32E9CE7C" w14:textId="77777777" w:rsidR="00C06848" w:rsidRPr="00040196" w:rsidRDefault="00C06848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073B9636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bCs/>
        </w:rPr>
        <w:t>1.1. Процедури за избор на изпълнител.</w:t>
      </w:r>
    </w:p>
    <w:p w14:paraId="13FE4B7E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Бенефициерите могат да извършат процедури за избор на изпълнител по следния ред:</w:t>
      </w:r>
    </w:p>
    <w:p w14:paraId="1DA2EB41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040196">
        <w:rPr>
          <w:rFonts w:ascii="Times New Roman" w:hAnsi="Times New Roman" w:cs="Times New Roman"/>
          <w:b/>
          <w:bCs/>
          <w:u w:val="single"/>
        </w:rPr>
        <w:t>А. Избор на изпълнител по реда на Закона за обществените поръчки:</w:t>
      </w:r>
    </w:p>
    <w:p w14:paraId="0E27E539" w14:textId="546E6212" w:rsidR="00737872" w:rsidRPr="00660DD3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040196">
        <w:rPr>
          <w:rFonts w:ascii="Times New Roman" w:hAnsi="Times New Roman" w:cs="Times New Roman"/>
          <w:bCs/>
        </w:rPr>
        <w:t>Бенефициерите-възложители,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изпълнител/и за разходи допустими за финансиране, извършени от кандидата преди подаването на формуляра за кандидатстване по програмата, но не по-рано от 01.01.2014 г., съгласно раздел 14 от Условията за кандидатстване.</w:t>
      </w:r>
      <w:r w:rsidR="00660DD3">
        <w:rPr>
          <w:rFonts w:ascii="Times New Roman" w:hAnsi="Times New Roman" w:cs="Times New Roman"/>
          <w:bCs/>
        </w:rPr>
        <w:t xml:space="preserve"> </w:t>
      </w:r>
      <w:r w:rsidR="00660DD3" w:rsidRPr="00660DD3">
        <w:rPr>
          <w:rFonts w:ascii="Times New Roman" w:hAnsi="Times New Roman" w:cs="Times New Roman"/>
          <w:bCs/>
          <w:u w:val="single"/>
        </w:rPr>
        <w:t>С оглед на финалния етап от изпълнението на ПМДР 2014-2020</w:t>
      </w:r>
      <w:r w:rsidR="00660DD3">
        <w:rPr>
          <w:rFonts w:ascii="Times New Roman" w:hAnsi="Times New Roman" w:cs="Times New Roman"/>
          <w:bCs/>
          <w:u w:val="single"/>
        </w:rPr>
        <w:t xml:space="preserve"> </w:t>
      </w:r>
      <w:r w:rsidR="00660DD3" w:rsidRPr="00660DD3">
        <w:rPr>
          <w:rFonts w:ascii="Times New Roman" w:hAnsi="Times New Roman" w:cs="Times New Roman"/>
          <w:bCs/>
          <w:u w:val="single"/>
        </w:rPr>
        <w:t>на кандидатите се предоставя възможност да извършат процедури за избор на изпълнител преди сключване на административния договор за предоставяне безвъзмездна финансова помощ.</w:t>
      </w:r>
    </w:p>
    <w:p w14:paraId="2B916F8F" w14:textId="090C82E6" w:rsidR="00737872" w:rsidRPr="00040196" w:rsidRDefault="006938EC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Управляващият орган</w:t>
      </w:r>
      <w:r w:rsidRPr="00040196">
        <w:rPr>
          <w:rFonts w:ascii="Times New Roman" w:hAnsi="Times New Roman" w:cs="Times New Roman"/>
          <w:bCs/>
        </w:rPr>
        <w:t xml:space="preserve"> </w:t>
      </w:r>
      <w:r w:rsidR="00C06848" w:rsidRPr="00040196">
        <w:rPr>
          <w:rFonts w:ascii="Times New Roman" w:hAnsi="Times New Roman" w:cs="Times New Roman"/>
          <w:bCs/>
        </w:rPr>
        <w:t xml:space="preserve">на ПМДР </w:t>
      </w:r>
      <w:r w:rsidR="00737872" w:rsidRPr="00040196">
        <w:rPr>
          <w:rFonts w:ascii="Times New Roman" w:hAnsi="Times New Roman" w:cs="Times New Roman"/>
          <w:bCs/>
        </w:rPr>
        <w:t>осъществява последващ контрол на проведената/ите от бенефициерите процедура/и за възлагане на обществена поръчка на етап сключен от бенефициера договор с избрания изпълнител.</w:t>
      </w:r>
    </w:p>
    <w:p w14:paraId="05718F1A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За целта, в срок до 5 работни дни от сключване на договор с избрания изпълнител бенефициерите са длъжни да уведомят писмено УО на ПМДР за подписания договор, чрез въвеждането му в ИСУН 2020. </w:t>
      </w:r>
    </w:p>
    <w:p w14:paraId="708B9D3A" w14:textId="40066C60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Цялата документация, свързана с провеждането на обществената поръчка, следва да бъде представена от бенефициера на УО на ПМДР чрез ИСУН 2020,</w:t>
      </w:r>
      <w:r w:rsidRPr="00040196">
        <w:rPr>
          <w:rFonts w:ascii="Times New Roman" w:hAnsi="Times New Roman" w:cs="Times New Roman"/>
          <w:b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>като задължително го уведомява за това чрез модул „Комуникация“</w:t>
      </w:r>
      <w:r w:rsidR="0036363A">
        <w:rPr>
          <w:rFonts w:ascii="Times New Roman" w:hAnsi="Times New Roman" w:cs="Times New Roman"/>
          <w:bCs/>
        </w:rPr>
        <w:t>.</w:t>
      </w:r>
    </w:p>
    <w:p w14:paraId="371BB088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 на необходимост, УО на ПМДР изисква от бенефициера допълнителни документи/информация и разяснения във връзка с представената документация. Искането за разяснение се изпраща чрез ИСУН 2020 посредством електронния профил на бенефициера, Срокът за представяне на допълнителни документи/информация е 10 дни от датата на изпращане на искането. Бенефициерът представя липсващите документи по електронен път чрез ИСУН 2020. Допълнителна информация и документи могат да бъдат предоставена само по искане на УО на ПМДР.</w:t>
      </w:r>
    </w:p>
    <w:p w14:paraId="3C5031FD" w14:textId="511F10B0" w:rsidR="00737872" w:rsidRPr="00040196" w:rsidRDefault="007D42E3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Когато Б</w:t>
      </w:r>
      <w:r w:rsidR="00737872" w:rsidRPr="00040196">
        <w:rPr>
          <w:rFonts w:ascii="Times New Roman" w:hAnsi="Times New Roman" w:cs="Times New Roman"/>
          <w:bCs/>
        </w:rPr>
        <w:t>енефициерът не е представил изисканите допълнителни документи/информация и разяснения в посочения по-горе срок, УО на ПМДР ще предостави по</w:t>
      </w:r>
      <w:r w:rsidRPr="00040196">
        <w:rPr>
          <w:rFonts w:ascii="Times New Roman" w:hAnsi="Times New Roman" w:cs="Times New Roman"/>
          <w:bCs/>
        </w:rPr>
        <w:t>вторна възможност на Б</w:t>
      </w:r>
      <w:r w:rsidR="00737872" w:rsidRPr="00040196">
        <w:rPr>
          <w:rFonts w:ascii="Times New Roman" w:hAnsi="Times New Roman" w:cs="Times New Roman"/>
          <w:bCs/>
        </w:rPr>
        <w:t>енефициера за предоставяне на същата в срок</w:t>
      </w:r>
      <w:r w:rsidRPr="00040196">
        <w:rPr>
          <w:rFonts w:ascii="Times New Roman" w:hAnsi="Times New Roman" w:cs="Times New Roman"/>
          <w:bCs/>
        </w:rPr>
        <w:t xml:space="preserve"> от 5 работни дни. В случай че Б</w:t>
      </w:r>
      <w:r w:rsidR="00737872" w:rsidRPr="00040196">
        <w:rPr>
          <w:rFonts w:ascii="Times New Roman" w:hAnsi="Times New Roman" w:cs="Times New Roman"/>
          <w:bCs/>
        </w:rPr>
        <w:t>енефициера не предостави и в този срок изисканите допълнителни документи/информация и разяснения, УО на ПМДР ще се произнесе на база на наличната представена документация от проведения избор за изпълнител/и.</w:t>
      </w:r>
    </w:p>
    <w:p w14:paraId="6B9A95EB" w14:textId="7E0A28A0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 на установяване на нередности</w:t>
      </w:r>
      <w:r w:rsidRPr="00040196">
        <w:rPr>
          <w:rFonts w:ascii="Times New Roman" w:hAnsi="Times New Roman" w:cs="Times New Roman"/>
        </w:rPr>
        <w:t xml:space="preserve"> </w:t>
      </w:r>
      <w:r w:rsidRPr="00040196">
        <w:rPr>
          <w:rFonts w:ascii="Times New Roman" w:hAnsi="Times New Roman" w:cs="Times New Roman"/>
          <w:bCs/>
        </w:rPr>
        <w:t>по смисъла на чл. 2, т. 36 и 38 от Регламент (ЕС) № 1303/2013 в проведената процедура, УО на ПМДР налага финансова корекция по реда на чл.</w:t>
      </w:r>
      <w:r w:rsidR="00C93A78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70 и следващите от </w:t>
      </w:r>
      <w:r w:rsidR="003567A6" w:rsidRPr="00040196">
        <w:rPr>
          <w:rFonts w:ascii="Times New Roman" w:hAnsi="Times New Roman" w:cs="Times New Roman"/>
          <w:bCs/>
        </w:rPr>
        <w:t>Закона за управление на средствата от Европейските фондове при споделено управление (ЗУСЕФСУ) (Загл. изм. - ДВ, бр. 51 от 2022 г., в сила от 01.07.2022 г.) и 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="00A65096" w:rsidRPr="00040196">
        <w:rPr>
          <w:rFonts w:ascii="Times New Roman" w:hAnsi="Times New Roman" w:cs="Times New Roman"/>
          <w:bCs/>
        </w:rPr>
        <w:t>.</w:t>
      </w:r>
    </w:p>
    <w:p w14:paraId="24763E80" w14:textId="3B1A3C4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Правата и задълженията</w:t>
      </w:r>
      <w:r w:rsidR="007D42E3" w:rsidRPr="00040196">
        <w:rPr>
          <w:rFonts w:ascii="Times New Roman" w:hAnsi="Times New Roman" w:cs="Times New Roman"/>
          <w:bCs/>
        </w:rPr>
        <w:t>, които възникват за Б</w:t>
      </w:r>
      <w:r w:rsidRPr="00040196">
        <w:rPr>
          <w:rFonts w:ascii="Times New Roman" w:hAnsi="Times New Roman" w:cs="Times New Roman"/>
          <w:bCs/>
        </w:rPr>
        <w:t xml:space="preserve">енефициера, са описани в приложения образец на Административен договор за безвъзмездна финансова помощ по „Програма за морско дело и рибарство” 2014-2020 (Приложение № </w:t>
      </w:r>
      <w:r w:rsidR="00CC7FEF" w:rsidRPr="00040196">
        <w:rPr>
          <w:rFonts w:ascii="Times New Roman" w:hAnsi="Times New Roman" w:cs="Times New Roman"/>
          <w:bCs/>
        </w:rPr>
        <w:t>14</w:t>
      </w:r>
      <w:r w:rsidRPr="00040196">
        <w:rPr>
          <w:rFonts w:ascii="Times New Roman" w:hAnsi="Times New Roman" w:cs="Times New Roman"/>
          <w:bCs/>
        </w:rPr>
        <w:t xml:space="preserve">) и Общите условия към финансираните по процедурата договори за безвъзмездна финансова помощ (Приложение № </w:t>
      </w:r>
      <w:r w:rsidR="00183EAB" w:rsidRPr="00040196">
        <w:rPr>
          <w:rFonts w:ascii="Times New Roman" w:hAnsi="Times New Roman" w:cs="Times New Roman"/>
          <w:bCs/>
        </w:rPr>
        <w:t>15</w:t>
      </w:r>
      <w:r w:rsidRPr="00040196">
        <w:rPr>
          <w:rFonts w:ascii="Times New Roman" w:hAnsi="Times New Roman" w:cs="Times New Roman"/>
          <w:bCs/>
        </w:rPr>
        <w:t>).</w:t>
      </w:r>
    </w:p>
    <w:p w14:paraId="67487E27" w14:textId="1C4B0C0C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lastRenderedPageBreak/>
        <w:t xml:space="preserve">Във връзка с провеждане на процедурата за предоставяне на безвъзмездна финансова помощ, и/или при изпълнение, съответно отчитане на проекта, всеки кандидат/бенефициер може да подаде сигнал за наличие на нередности и/или измами или съмнение за нередности и/или измами по реда и при условията, установени в акта по чл. 69, ал. 6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 xml:space="preserve"> - Наредбата за администриране на нередности по Европейските структурни и инвестиционни фондове, приета с Постановление № 173 на Министерския съвет от 2016 г. (ДВ, бр. 57 от 2016г.) и съобразно подписаната от него Декларация за нередности по образец.</w:t>
      </w:r>
    </w:p>
    <w:p w14:paraId="631C8D36" w14:textId="66C57463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bCs/>
          <w:u w:val="single"/>
        </w:rPr>
        <w:t>Б. „Процедура за избор с публична покана“ пo реда на Постановление № 160</w:t>
      </w:r>
      <w:r w:rsidRPr="00040196">
        <w:rPr>
          <w:rFonts w:ascii="Times New Roman" w:hAnsi="Times New Roman" w:cs="Times New Roman"/>
          <w:bCs/>
        </w:rPr>
        <w:t xml:space="preserve">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</w:t>
      </w:r>
      <w:r w:rsidR="00433F15" w:rsidRPr="00040196">
        <w:rPr>
          <w:rFonts w:ascii="Times New Roman" w:hAnsi="Times New Roman" w:cs="Times New Roman"/>
          <w:bCs/>
        </w:rPr>
        <w:t xml:space="preserve"> фондове при споделено управление </w:t>
      </w:r>
      <w:r w:rsidRPr="00040196">
        <w:rPr>
          <w:rFonts w:ascii="Times New Roman" w:hAnsi="Times New Roman" w:cs="Times New Roman"/>
          <w:bCs/>
        </w:rPr>
        <w:t xml:space="preserve"> (ПМС</w:t>
      </w:r>
      <w:r w:rsidR="003D3A1A">
        <w:rPr>
          <w:rFonts w:ascii="Times New Roman" w:hAnsi="Times New Roman" w:cs="Times New Roman"/>
          <w:bCs/>
        </w:rPr>
        <w:t xml:space="preserve"> № </w:t>
      </w:r>
      <w:r w:rsidRPr="00040196">
        <w:rPr>
          <w:rFonts w:ascii="Times New Roman" w:hAnsi="Times New Roman" w:cs="Times New Roman"/>
          <w:bCs/>
        </w:rPr>
        <w:t>160</w:t>
      </w:r>
      <w:r w:rsidR="003D3A1A">
        <w:rPr>
          <w:rFonts w:ascii="Times New Roman" w:hAnsi="Times New Roman" w:cs="Times New Roman"/>
          <w:bCs/>
        </w:rPr>
        <w:t xml:space="preserve"> от </w:t>
      </w:r>
      <w:r w:rsidRPr="00040196">
        <w:rPr>
          <w:rFonts w:ascii="Times New Roman" w:hAnsi="Times New Roman" w:cs="Times New Roman"/>
          <w:bCs/>
        </w:rPr>
        <w:t>2016 г.).</w:t>
      </w:r>
    </w:p>
    <w:p w14:paraId="596231CC" w14:textId="400EFA51" w:rsidR="00737872" w:rsidRPr="00040196" w:rsidRDefault="007D42E3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Когато Б</w:t>
      </w:r>
      <w:r w:rsidR="00737872" w:rsidRPr="00040196">
        <w:rPr>
          <w:rFonts w:ascii="Times New Roman" w:hAnsi="Times New Roman" w:cs="Times New Roman"/>
          <w:bCs/>
        </w:rPr>
        <w:t xml:space="preserve">енефициерът не е възложител по смисъла на ЗОП, при избор на изпълнител/и същият задължително прилага разпоредбите на Глава четвърта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="00737872" w:rsidRPr="00040196">
        <w:rPr>
          <w:rFonts w:ascii="Times New Roman" w:hAnsi="Times New Roman" w:cs="Times New Roman"/>
          <w:bCs/>
        </w:rPr>
        <w:t xml:space="preserve"> и ПМС № 160</w:t>
      </w:r>
      <w:r w:rsidR="003D3A1A">
        <w:rPr>
          <w:rFonts w:ascii="Times New Roman" w:hAnsi="Times New Roman" w:cs="Times New Roman"/>
          <w:bCs/>
        </w:rPr>
        <w:t xml:space="preserve"> от </w:t>
      </w:r>
      <w:r w:rsidR="00737872" w:rsidRPr="00040196">
        <w:rPr>
          <w:rFonts w:ascii="Times New Roman" w:hAnsi="Times New Roman" w:cs="Times New Roman"/>
          <w:bCs/>
        </w:rPr>
        <w:t>2016 г., както и указанията, заложени в настоящите Условия за изпълнение.</w:t>
      </w:r>
    </w:p>
    <w:p w14:paraId="271D4F81" w14:textId="09EA8B6C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lang w:val="en-US"/>
        </w:rPr>
        <w:drawing>
          <wp:inline distT="0" distB="0" distL="0" distR="0" wp14:anchorId="0E6EBA84" wp14:editId="17F15002">
            <wp:extent cx="590153" cy="271154"/>
            <wp:effectExtent l="57150" t="0" r="38735" b="1098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>При провеждане на процедури за избор на изпълнител, кандидатите следва да прилагат Указание за прилагане на</w:t>
      </w:r>
      <w:r w:rsidRPr="00040196">
        <w:rPr>
          <w:rFonts w:ascii="Times New Roman" w:hAnsi="Times New Roman" w:cs="Times New Roman"/>
          <w:b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>ПМС № 160/2016 г., одобрено с докладна записка с № 93-3936 от 30.07.2020 г.</w:t>
      </w:r>
      <w:r w:rsidR="00D1663C">
        <w:rPr>
          <w:rFonts w:ascii="Times New Roman" w:hAnsi="Times New Roman" w:cs="Times New Roman"/>
          <w:bCs/>
        </w:rPr>
        <w:t xml:space="preserve">, </w:t>
      </w:r>
      <w:r w:rsidR="00D1663C" w:rsidRPr="00D1663C">
        <w:rPr>
          <w:rFonts w:ascii="Times New Roman" w:hAnsi="Times New Roman" w:cs="Times New Roman"/>
          <w:bCs/>
        </w:rPr>
        <w:t>от ръководителя на УО на ПМДР</w:t>
      </w:r>
      <w:r w:rsidR="00D1663C">
        <w:rPr>
          <w:rFonts w:ascii="Times New Roman" w:hAnsi="Times New Roman" w:cs="Times New Roman"/>
          <w:bCs/>
        </w:rPr>
        <w:t>.</w:t>
      </w:r>
      <w:r w:rsidRPr="00040196">
        <w:rPr>
          <w:rFonts w:ascii="Times New Roman" w:hAnsi="Times New Roman" w:cs="Times New Roman"/>
          <w:bCs/>
        </w:rPr>
        <w:t xml:space="preserve"> Същото може да бъде намерено на следния интернет адрес: </w:t>
      </w:r>
      <w:hyperlink r:id="rId12" w:history="1">
        <w:r w:rsidRPr="00040196">
          <w:rPr>
            <w:rFonts w:ascii="Times New Roman" w:hAnsi="Times New Roman" w:cs="Times New Roman"/>
            <w:bCs/>
            <w:i/>
            <w:color w:val="0563C1"/>
            <w:u w:val="single"/>
          </w:rPr>
          <w:t>https://www.eufunds.bg/bg/pmdr/node/5313</w:t>
        </w:r>
      </w:hyperlink>
      <w:r w:rsidRPr="00040196">
        <w:rPr>
          <w:rFonts w:ascii="Times New Roman" w:hAnsi="Times New Roman" w:cs="Times New Roman"/>
          <w:bCs/>
          <w:i/>
          <w:lang w:val="en-US"/>
        </w:rPr>
        <w:t>.</w:t>
      </w:r>
    </w:p>
    <w:p w14:paraId="2A7FCD06" w14:textId="7CEB13AA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Съгласно чл. 50, ал. 2 и 3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 xml:space="preserve"> бенефициерът провежда процедура за избор с публична покана, когато размерът на предоставената безвъзмездна финансова помощ е</w:t>
      </w:r>
      <w:r w:rsidR="00C91022">
        <w:rPr>
          <w:rFonts w:ascii="Times New Roman" w:hAnsi="Times New Roman" w:cs="Times New Roman"/>
          <w:bCs/>
        </w:rPr>
        <w:t xml:space="preserve"> </w:t>
      </w:r>
      <w:r w:rsidRPr="00C91022">
        <w:rPr>
          <w:rFonts w:ascii="Times New Roman" w:hAnsi="Times New Roman" w:cs="Times New Roman"/>
          <w:bCs/>
        </w:rPr>
        <w:t>по-голям</w:t>
      </w:r>
      <w:r w:rsidRPr="00040196">
        <w:rPr>
          <w:rFonts w:ascii="Times New Roman" w:hAnsi="Times New Roman" w:cs="Times New Roman"/>
          <w:bCs/>
        </w:rPr>
        <w:t xml:space="preserve">, равен или по-малък от 50 на сто от </w:t>
      </w:r>
      <w:r w:rsidR="00CC7FEF" w:rsidRPr="00040196">
        <w:rPr>
          <w:rFonts w:ascii="Times New Roman" w:hAnsi="Times New Roman" w:cs="Times New Roman"/>
          <w:bCs/>
        </w:rPr>
        <w:t>общата сума на одобрения проект</w:t>
      </w:r>
      <w:r w:rsidRPr="00040196">
        <w:rPr>
          <w:rFonts w:ascii="Times New Roman" w:hAnsi="Times New Roman" w:cs="Times New Roman"/>
          <w:bCs/>
        </w:rPr>
        <w:t xml:space="preserve"> </w:t>
      </w:r>
      <w:r w:rsidR="00AF0685" w:rsidRPr="00040196">
        <w:rPr>
          <w:rFonts w:ascii="Times New Roman" w:hAnsi="Times New Roman" w:cs="Times New Roman"/>
          <w:bCs/>
        </w:rPr>
        <w:t xml:space="preserve">и </w:t>
      </w:r>
      <w:r w:rsidR="009F11B2" w:rsidRPr="00040196">
        <w:rPr>
          <w:rFonts w:ascii="Times New Roman" w:hAnsi="Times New Roman" w:cs="Times New Roman"/>
          <w:bCs/>
        </w:rPr>
        <w:t xml:space="preserve">прогнозната </w:t>
      </w:r>
      <w:r w:rsidRPr="00040196">
        <w:rPr>
          <w:rFonts w:ascii="Times New Roman" w:hAnsi="Times New Roman" w:cs="Times New Roman"/>
          <w:bCs/>
        </w:rPr>
        <w:t>стойност за:</w:t>
      </w:r>
    </w:p>
    <w:p w14:paraId="03E92BC3" w14:textId="658D0313" w:rsidR="00737872" w:rsidRPr="00040196" w:rsidRDefault="00F5416D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- </w:t>
      </w:r>
      <w:r w:rsidR="00737872" w:rsidRPr="00040196">
        <w:rPr>
          <w:rFonts w:ascii="Times New Roman" w:hAnsi="Times New Roman" w:cs="Times New Roman"/>
          <w:bCs/>
        </w:rPr>
        <w:t>строителство, в т. ч. съфинанс</w:t>
      </w:r>
      <w:r w:rsidR="002A7660" w:rsidRPr="00040196">
        <w:rPr>
          <w:rFonts w:ascii="Times New Roman" w:hAnsi="Times New Roman" w:cs="Times New Roman"/>
          <w:bCs/>
        </w:rPr>
        <w:t>ирането от страна на бенефициер</w:t>
      </w:r>
      <w:r w:rsidR="00737872" w:rsidRPr="00040196">
        <w:rPr>
          <w:rFonts w:ascii="Times New Roman" w:hAnsi="Times New Roman" w:cs="Times New Roman"/>
          <w:bCs/>
        </w:rPr>
        <w:t>а, без данък върху добавената стойност, е равна или по-висока от 50 000 лв.;</w:t>
      </w:r>
    </w:p>
    <w:p w14:paraId="23407D62" w14:textId="5A53B761" w:rsidR="00737872" w:rsidRPr="00040196" w:rsidRDefault="00F5416D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- </w:t>
      </w:r>
      <w:r w:rsidR="00737872" w:rsidRPr="00040196">
        <w:rPr>
          <w:rFonts w:ascii="Times New Roman" w:hAnsi="Times New Roman" w:cs="Times New Roman"/>
          <w:bCs/>
        </w:rPr>
        <w:t>доставки или услуги, в т. ч. съфинанс</w:t>
      </w:r>
      <w:r w:rsidR="002A7660" w:rsidRPr="00040196">
        <w:rPr>
          <w:rFonts w:ascii="Times New Roman" w:hAnsi="Times New Roman" w:cs="Times New Roman"/>
          <w:bCs/>
        </w:rPr>
        <w:t>ирането от страна на бенефициер</w:t>
      </w:r>
      <w:r w:rsidR="00737872" w:rsidRPr="00040196">
        <w:rPr>
          <w:rFonts w:ascii="Times New Roman" w:hAnsi="Times New Roman" w:cs="Times New Roman"/>
          <w:bCs/>
        </w:rPr>
        <w:t>а, без данък върху добавената стойност, е равна или по-висока от 30 000 лв.</w:t>
      </w:r>
    </w:p>
    <w:p w14:paraId="7C16CC26" w14:textId="43A30781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Публичната покана следва да съдържа информацията, посочена в чл. 51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>, както и следните изискван</w:t>
      </w:r>
      <w:r w:rsidR="009F11B2" w:rsidRPr="00040196">
        <w:rPr>
          <w:rFonts w:ascii="Times New Roman" w:hAnsi="Times New Roman" w:cs="Times New Roman"/>
          <w:bCs/>
        </w:rPr>
        <w:t>ия към кандидатите-</w:t>
      </w:r>
      <w:r w:rsidRPr="00040196">
        <w:rPr>
          <w:rFonts w:ascii="Times New Roman" w:hAnsi="Times New Roman" w:cs="Times New Roman"/>
          <w:bCs/>
        </w:rPr>
        <w:t>изпълнители:</w:t>
      </w:r>
    </w:p>
    <w:p w14:paraId="11A2CCD0" w14:textId="1816EA24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Кандидатите, за изпълнители на дейностите, посочени в публичната покана, следва да отговарят на следните две кумулативни условия</w:t>
      </w:r>
      <w:r w:rsidR="000448AE" w:rsidRPr="00040196">
        <w:rPr>
          <w:rFonts w:ascii="Times New Roman" w:hAnsi="Times New Roman" w:cs="Times New Roman"/>
          <w:bCs/>
        </w:rPr>
        <w:t>:</w:t>
      </w:r>
    </w:p>
    <w:p w14:paraId="2D97F68B" w14:textId="3C349F33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- </w:t>
      </w:r>
      <w:r w:rsidR="00C95F7D" w:rsidRPr="00C95F7D">
        <w:rPr>
          <w:rFonts w:ascii="Times New Roman" w:hAnsi="Times New Roman" w:cs="Times New Roman"/>
          <w:bCs/>
        </w:rPr>
        <w:t>наличие на опит в осъществяването на дейност, еднаква или сходна с предмета на поръчката - доставка, услуга или строителство. Това изискване се доказва от кандидата със списък на изпълнените доставки, услуги или строителство, които са еднакви или сходни с предмета на поръчката, в съответствие с относимите изискванията на чл. 3 от ПМС № 160 от 2016 г. Списъкът следва да съдържа минимум следната информация: дата, страни, предмет, стойност на доставките/услугите/строителството, да е подписан от лицето, което е законен представител на кандидата и да е придружен от препоръки</w:t>
      </w:r>
      <w:r w:rsidR="00C95F7D">
        <w:rPr>
          <w:rFonts w:ascii="Times New Roman" w:hAnsi="Times New Roman" w:cs="Times New Roman"/>
          <w:bCs/>
        </w:rPr>
        <w:t>/референции за добро изпълнение</w:t>
      </w:r>
      <w:r w:rsidRPr="00040196">
        <w:rPr>
          <w:rFonts w:ascii="Times New Roman" w:hAnsi="Times New Roman" w:cs="Times New Roman"/>
          <w:bCs/>
        </w:rPr>
        <w:t>;</w:t>
      </w:r>
    </w:p>
    <w:p w14:paraId="39DA0811" w14:textId="49CC49C2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общият оборот и/или за оборота, който се отнася до предмета на поръчката да е най-много за последните 3 приключили финансови години, в зависимост от датата, на която кандидатът е учреден или е започнал дейността си, при спазване разпоредбите на чл. 3 от ПМС № 160 от 2016 г. Изискването за специфичен оборот се доказва от оферента със справка-декларация, подписана от законния представител на кандидата. Справката трябва да е придружена от Отчет за приходите и разходите за съответните приключили финансови години, в зависимост от датата на която кандидатът е учреден или започнал дейността си. Ако отчетите за приходите и разходите са публично обявени, се извършва справка в съответния регистър.</w:t>
      </w:r>
    </w:p>
    <w:p w14:paraId="7C743848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Тези изисквания са кумулативни и кандидатите за изпълнители, трябва да отговарят задължително на тях.</w:t>
      </w:r>
    </w:p>
    <w:p w14:paraId="11A026A2" w14:textId="2EA10D61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lastRenderedPageBreak/>
        <w:t xml:space="preserve"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</w:t>
      </w:r>
      <w:r w:rsidR="009809B4" w:rsidRPr="00040196">
        <w:rPr>
          <w:rFonts w:ascii="Times New Roman" w:hAnsi="Times New Roman" w:cs="Times New Roman"/>
          <w:bCs/>
        </w:rPr>
        <w:t xml:space="preserve">но не може да бъде по-кратък от </w:t>
      </w:r>
      <w:r w:rsidR="009809B4" w:rsidRPr="00040196">
        <w:rPr>
          <w:rFonts w:ascii="Times New Roman" w:hAnsi="Times New Roman" w:cs="Times New Roman"/>
          <w:bCs/>
          <w:u w:val="single"/>
        </w:rPr>
        <w:t>21 дни</w:t>
      </w:r>
      <w:r w:rsidR="009809B4" w:rsidRPr="00040196">
        <w:rPr>
          <w:rFonts w:ascii="Times New Roman" w:hAnsi="Times New Roman" w:cs="Times New Roman"/>
          <w:bCs/>
        </w:rPr>
        <w:t xml:space="preserve">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</w:t>
      </w:r>
      <w:r w:rsidR="009809B4" w:rsidRPr="00040196">
        <w:rPr>
          <w:rFonts w:ascii="Times New Roman" w:hAnsi="Times New Roman" w:cs="Times New Roman"/>
          <w:bCs/>
          <w:u w:val="single"/>
        </w:rPr>
        <w:t>7 дни</w:t>
      </w:r>
      <w:r w:rsidR="009809B4" w:rsidRPr="00040196">
        <w:rPr>
          <w:rFonts w:ascii="Times New Roman" w:hAnsi="Times New Roman" w:cs="Times New Roman"/>
          <w:bCs/>
        </w:rPr>
        <w:t xml:space="preserve"> от публикуването на поканата.</w:t>
      </w:r>
    </w:p>
    <w:p w14:paraId="47F6CDB9" w14:textId="58AEFCA6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В срок до 5 работни дни от сключване на договор с избрания изпълнител, бенефициерът представя чрез ИСУН 2020 на УО на ПМДР цялата документация по проведения избор, за извършване на последващ контрол за законосъобразност на проведената процедура за избор с публична покана. Представят се посочените документи в Приложение № </w:t>
      </w:r>
      <w:r w:rsidR="00AE7A10" w:rsidRPr="00040196">
        <w:rPr>
          <w:rFonts w:ascii="Times New Roman" w:hAnsi="Times New Roman" w:cs="Times New Roman"/>
          <w:bCs/>
        </w:rPr>
        <w:t>27</w:t>
      </w:r>
      <w:r w:rsidRPr="00040196">
        <w:rPr>
          <w:rFonts w:ascii="Times New Roman" w:hAnsi="Times New Roman" w:cs="Times New Roman"/>
          <w:bCs/>
        </w:rPr>
        <w:t xml:space="preserve"> „Документи за осъществяване на последващ контрол на проведена процедура „Избор с публична покана“.</w:t>
      </w:r>
    </w:p>
    <w:p w14:paraId="623F06E0" w14:textId="3D367656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040196">
        <w:rPr>
          <w:rFonts w:ascii="Times New Roman" w:hAnsi="Times New Roman" w:cs="Times New Roman"/>
          <w:b/>
          <w:bCs/>
          <w:u w:val="single"/>
        </w:rPr>
        <w:t>В. Избор на изпълнител “</w:t>
      </w:r>
      <w:r w:rsidR="002C3632">
        <w:rPr>
          <w:rFonts w:ascii="Times New Roman" w:hAnsi="Times New Roman" w:cs="Times New Roman"/>
          <w:b/>
          <w:bCs/>
          <w:u w:val="single"/>
        </w:rPr>
        <w:t>Ч</w:t>
      </w:r>
      <w:r w:rsidRPr="00040196">
        <w:rPr>
          <w:rFonts w:ascii="Times New Roman" w:hAnsi="Times New Roman" w:cs="Times New Roman"/>
          <w:b/>
          <w:bCs/>
          <w:u w:val="single"/>
        </w:rPr>
        <w:t>рез представяне на поне две съпоставими</w:t>
      </w:r>
      <w:r w:rsidR="00A466E7" w:rsidRPr="00040196">
        <w:rPr>
          <w:rFonts w:ascii="Times New Roman" w:hAnsi="Times New Roman" w:cs="Times New Roman"/>
          <w:b/>
          <w:bCs/>
          <w:u w:val="single"/>
        </w:rPr>
        <w:t>,</w:t>
      </w:r>
      <w:r w:rsidRPr="00040196">
        <w:rPr>
          <w:rFonts w:ascii="Times New Roman" w:hAnsi="Times New Roman" w:cs="Times New Roman"/>
          <w:b/>
          <w:bCs/>
          <w:u w:val="single"/>
        </w:rPr>
        <w:t xml:space="preserve"> независими</w:t>
      </w:r>
      <w:r w:rsidR="00A466E7" w:rsidRPr="00040196">
        <w:rPr>
          <w:rFonts w:ascii="Times New Roman" w:hAnsi="Times New Roman" w:cs="Times New Roman"/>
          <w:u w:val="single"/>
        </w:rPr>
        <w:t xml:space="preserve"> </w:t>
      </w:r>
      <w:r w:rsidR="00A466E7" w:rsidRPr="00040196">
        <w:rPr>
          <w:rFonts w:ascii="Times New Roman" w:hAnsi="Times New Roman" w:cs="Times New Roman"/>
          <w:b/>
          <w:bCs/>
          <w:u w:val="single"/>
        </w:rPr>
        <w:t>и конкурентни</w:t>
      </w:r>
      <w:r w:rsidRPr="00040196">
        <w:rPr>
          <w:rFonts w:ascii="Times New Roman" w:hAnsi="Times New Roman" w:cs="Times New Roman"/>
          <w:b/>
          <w:bCs/>
          <w:u w:val="single"/>
        </w:rPr>
        <w:t xml:space="preserve"> оферти</w:t>
      </w:r>
      <w:r w:rsidR="002C3632">
        <w:rPr>
          <w:rFonts w:ascii="Times New Roman" w:hAnsi="Times New Roman" w:cs="Times New Roman"/>
          <w:b/>
          <w:bCs/>
          <w:u w:val="single"/>
        </w:rPr>
        <w:t xml:space="preserve"> и </w:t>
      </w:r>
      <w:r w:rsidR="002C3632" w:rsidRPr="002C3632">
        <w:rPr>
          <w:rFonts w:ascii="Times New Roman" w:hAnsi="Times New Roman" w:cs="Times New Roman"/>
          <w:b/>
          <w:bCs/>
        </w:rPr>
        <w:t>покана в ИСУН 2020</w:t>
      </w:r>
      <w:r w:rsidRPr="00040196">
        <w:rPr>
          <w:rFonts w:ascii="Times New Roman" w:hAnsi="Times New Roman" w:cs="Times New Roman"/>
          <w:b/>
          <w:bCs/>
          <w:u w:val="single"/>
        </w:rPr>
        <w:t>“:</w:t>
      </w:r>
    </w:p>
    <w:p w14:paraId="13DF9364" w14:textId="6D7618F2" w:rsidR="00F5416D" w:rsidRPr="00040196" w:rsidRDefault="00C06848" w:rsidP="00974C7D">
      <w:pPr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С цел осигуряване на публичност и прозрачност при разходване на средства от Европейските</w:t>
      </w:r>
      <w:r w:rsidR="00433F15" w:rsidRPr="00040196">
        <w:rPr>
          <w:rFonts w:ascii="Times New Roman" w:hAnsi="Times New Roman" w:cs="Times New Roman"/>
          <w:bCs/>
        </w:rPr>
        <w:t xml:space="preserve"> фондове при споделено управление</w:t>
      </w:r>
      <w:r w:rsidR="00C93A78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и спазване на принципите за икономичност, ефикасност и ефективност, при избор на изпълнител „Чрез представяне на поне две съпоставими, независими и конкурентни оферти и </w:t>
      </w:r>
      <w:r w:rsidR="00AE7A10" w:rsidRPr="00040196">
        <w:rPr>
          <w:rFonts w:ascii="Times New Roman" w:hAnsi="Times New Roman" w:cs="Times New Roman"/>
          <w:bCs/>
        </w:rPr>
        <w:t>покана в ИСУН 2020“, Бенефициер</w:t>
      </w:r>
      <w:r w:rsidRPr="00040196">
        <w:rPr>
          <w:rFonts w:ascii="Times New Roman" w:hAnsi="Times New Roman" w:cs="Times New Roman"/>
          <w:bCs/>
        </w:rPr>
        <w:t xml:space="preserve">ите предоставят минимум две съпоставими, независими и конкурентни оферти, подадени от квалифициран доставчик и публикуват в ИСУН </w:t>
      </w:r>
      <w:r w:rsidR="00913573" w:rsidRPr="00040196">
        <w:rPr>
          <w:rFonts w:ascii="Times New Roman" w:hAnsi="Times New Roman" w:cs="Times New Roman"/>
          <w:bCs/>
        </w:rPr>
        <w:t xml:space="preserve">2020 </w:t>
      </w:r>
      <w:r w:rsidRPr="00040196">
        <w:rPr>
          <w:rFonts w:ascii="Times New Roman" w:hAnsi="Times New Roman" w:cs="Times New Roman"/>
          <w:bCs/>
        </w:rPr>
        <w:t>за срок минимум 5 дни покана за събиране на оферти, когато размерът на предоставената безвъзмездна финансова помощ е равен или по-малък от 50 на сто от общата сума на одобрения проект и прогнозната стойност за:</w:t>
      </w:r>
    </w:p>
    <w:p w14:paraId="665FB8DA" w14:textId="55D5067C" w:rsidR="00F5416D" w:rsidRPr="00040196" w:rsidRDefault="00F5416D" w:rsidP="00974C7D">
      <w:pPr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строителство, в т. ч. съфинансирането от страна на бенефициера, без данък върху добавената стойност, е по-малка от 50 000 лв</w:t>
      </w:r>
    </w:p>
    <w:p w14:paraId="1D2439D9" w14:textId="4AE8DF6C" w:rsidR="00737872" w:rsidRPr="00040196" w:rsidRDefault="00F5416D" w:rsidP="00974C7D">
      <w:pPr>
        <w:ind w:firstLine="90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  <w:bCs/>
        </w:rPr>
        <w:t xml:space="preserve">- </w:t>
      </w:r>
      <w:r w:rsidR="00737872" w:rsidRPr="00040196">
        <w:rPr>
          <w:rFonts w:ascii="Times New Roman" w:hAnsi="Times New Roman" w:cs="Times New Roman"/>
          <w:bCs/>
        </w:rPr>
        <w:t>доставки и/или услуги, в т.ч. съфинанс</w:t>
      </w:r>
      <w:r w:rsidR="002A7660" w:rsidRPr="00040196">
        <w:rPr>
          <w:rFonts w:ascii="Times New Roman" w:hAnsi="Times New Roman" w:cs="Times New Roman"/>
          <w:bCs/>
        </w:rPr>
        <w:t>ирането от страна на бенефициер</w:t>
      </w:r>
      <w:r w:rsidR="00737872" w:rsidRPr="00040196">
        <w:rPr>
          <w:rFonts w:ascii="Times New Roman" w:hAnsi="Times New Roman" w:cs="Times New Roman"/>
          <w:bCs/>
        </w:rPr>
        <w:t>а, без данък върху добавената стойност, е по-малка от 30 000 лв.</w:t>
      </w:r>
    </w:p>
    <w:p w14:paraId="11CBEC0A" w14:textId="6D66996E" w:rsidR="00737872" w:rsidRPr="00040196" w:rsidRDefault="00F5416D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този случай Бенефициерите определят изпълнител между получените оферти чрез ИСУН 2020 и събраните от определени икономически оператори две съпоставими, независими и конкурентни оферти, към които могат да бъдат прилагани официални каталози от производители/оторизирани доставчици, съдържащи цена, характеристика/функционалност/описание, които не противоречат на заложените в одобрения проект</w:t>
      </w:r>
      <w:r w:rsidR="00737872" w:rsidRPr="00040196">
        <w:rPr>
          <w:rFonts w:ascii="Times New Roman" w:hAnsi="Times New Roman" w:cs="Times New Roman"/>
          <w:bCs/>
        </w:rPr>
        <w:t>.</w:t>
      </w:r>
    </w:p>
    <w:p w14:paraId="572AE392" w14:textId="176645C2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lang w:val="en-US"/>
        </w:rPr>
        <w:drawing>
          <wp:inline distT="0" distB="0" distL="0" distR="0" wp14:anchorId="48F60FC0" wp14:editId="5683BFEA">
            <wp:extent cx="584395" cy="271780"/>
            <wp:effectExtent l="57150" t="0" r="44450" b="1092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 xml:space="preserve"> „Независими оферти“ са 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книжа. 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</w:r>
    </w:p>
    <w:p w14:paraId="23692AC3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„Официален каталог“ е продуктов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оферта.</w:t>
      </w:r>
    </w:p>
    <w:p w14:paraId="149A42B3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Офертите трябва да са независими, съпоставими и конкурентни и следва да съдържат минимум името на оферента, ЕИК/БУЛСТАТ, кратко описание на предложението/характеристика/функционалност, предложена цена, срок на валидност на офертата, датата на издаване на офертата, подпис и печат/електронен подпис на оферента. Цената трябва да бъде определена в лева или евро с и без ДДС. Оферентите, трябва да са вписани в Търговския регистър към Агенцията по вписванията или в </w:t>
      </w:r>
      <w:r w:rsidRPr="00040196">
        <w:rPr>
          <w:rFonts w:ascii="Times New Roman" w:hAnsi="Times New Roman" w:cs="Times New Roman"/>
          <w:bCs/>
        </w:rPr>
        <w:lastRenderedPageBreak/>
        <w:t>Регистър БУЛСТАТ, в случаите, в които е приложимо, а оферентите - чуждестранни лица, трябва да представят документ за регистрация съгласно националното си законодателство.</w:t>
      </w:r>
    </w:p>
    <w:p w14:paraId="7CFD87EB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Оферентите следва да отговарят на следните две кумулативни условия:</w:t>
      </w:r>
    </w:p>
    <w:p w14:paraId="255439BC" w14:textId="77777777" w:rsidR="00737872" w:rsidRPr="00040196" w:rsidRDefault="00737872" w:rsidP="00974C7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- предметът на дейност на оферента да е идентичен или сходен с посочената в офертата доставка, услуга или строителство. Това изискване се доказва от оферента със списък на </w:t>
      </w:r>
      <w:r w:rsidRPr="00AB543F">
        <w:rPr>
          <w:rFonts w:ascii="Times New Roman" w:hAnsi="Times New Roman" w:cs="Times New Roman"/>
          <w:bCs/>
        </w:rPr>
        <w:t>договорите</w:t>
      </w:r>
      <w:r w:rsidRPr="00040196">
        <w:rPr>
          <w:rFonts w:ascii="Times New Roman" w:hAnsi="Times New Roman" w:cs="Times New Roman"/>
          <w:bCs/>
        </w:rPr>
        <w:t xml:space="preserve"> с предмет идентичен или сходен с посочената в офертата доставка, услуга или строителство, съдържащ минимум следната информация: дата, страни, предмет, стойност на договора/ите. Списъкът следва да е подписан от лицето представляващо по закон оферента и да е придружен с препоръки/референции за добро изпълнение;</w:t>
      </w:r>
    </w:p>
    <w:p w14:paraId="2B37A269" w14:textId="77777777" w:rsidR="00737872" w:rsidRPr="00040196" w:rsidRDefault="00737872" w:rsidP="00974C7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годишния оборот, който се отнася до предмета на поръчката (специфичен оборот) през някоя от или общо от предходните три приключили финансови години, в зависимост от датата на която оферентът е учреден или започнал дейността си, да е равен или по-голям от стойността на поръчката или на съответната обособена позиция, в случай че процедурата е с обособени позиции. Изискването за специфичен оборот се доказва от оферента със справка – декларация, подписана от счетоводителя и лицето представляващо по закон оферента. Справката трябва да е придружена от Отчет за приходите и разходите за последните три приключили финансови години, в зависимост от датата на която оферентът е учреден или започнал дейността си. Ако отчетите за приходите и разходите са публично обявени, се извършва справка в съответния регистър.</w:t>
      </w:r>
    </w:p>
    <w:p w14:paraId="031AD9E0" w14:textId="77777777" w:rsidR="00F5416D" w:rsidRPr="00040196" w:rsidRDefault="00F5416D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Горепосочените условия, на които трябва да отговарят оферентите и документите, с които се доказва съответствие с двете кумулативни условия, следва да бъдат заложени и в поканата за събиране на оферти чрез ИСУН 2020. Тези изисквания са кумулативни и кандидатите за изпълнители, трябва да отговарят задължително на тях. </w:t>
      </w:r>
    </w:p>
    <w:p w14:paraId="382516C8" w14:textId="2AF3B4FC" w:rsidR="00F5416D" w:rsidRPr="00040196" w:rsidRDefault="00F5416D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случай, че чрез ИСУН 2020 не постъпят оферти или са постъпили оферти от оференти, които не отговарят на изискванията на двете кумулативни условия, изборът на изпълнител се извършва между събраните две съпоставими и независими оферти.</w:t>
      </w:r>
    </w:p>
    <w:p w14:paraId="316AEC86" w14:textId="00994AF9" w:rsidR="00F5416D" w:rsidRPr="00040196" w:rsidRDefault="00F5416D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случай, че вследствие на проведения избор на изпълнител за съответния разход от бюджета на проекта не са представени поне две съпоставими и независими оферти, издадени от оференти отговарящи на 2-те кумулативни условия, Управляващият орган на ПМДР 2014-2020 ще открие процедура по определяне на финансова корекция и няма да одобри БФП за съответния разход.</w:t>
      </w:r>
    </w:p>
    <w:p w14:paraId="1117D270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Бенефициерите не могат да слючват договори с оференти, които са свързани лица по смисъла на § 1, т. 13 и 14 от допълнителните разпоредби на Закона за публичното предлагане на ценни книжа, с бенефициера или с член на неговия управителен или контролен орган.</w:t>
      </w:r>
    </w:p>
    <w:p w14:paraId="59F0D85F" w14:textId="14190926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В срок до 5 работни дни от сключване на договор с </w:t>
      </w:r>
      <w:r w:rsidR="002A7660" w:rsidRPr="00040196">
        <w:rPr>
          <w:rFonts w:ascii="Times New Roman" w:hAnsi="Times New Roman" w:cs="Times New Roman"/>
          <w:bCs/>
        </w:rPr>
        <w:t>избрания изпълнител, бенефициер</w:t>
      </w:r>
      <w:r w:rsidRPr="00040196">
        <w:rPr>
          <w:rFonts w:ascii="Times New Roman" w:hAnsi="Times New Roman" w:cs="Times New Roman"/>
          <w:bCs/>
        </w:rPr>
        <w:t xml:space="preserve">ът представя чрез ИСУН 2020 на УО на ПМДР цялата документация по проведения избор, за извършване на последващ контрол за законосъобразност на проведената процедура за избор </w:t>
      </w:r>
      <w:r w:rsidRPr="00040196">
        <w:rPr>
          <w:rFonts w:ascii="Times New Roman" w:hAnsi="Times New Roman" w:cs="Times New Roman"/>
          <w:b/>
          <w:bCs/>
        </w:rPr>
        <w:t>на изпълнител “</w:t>
      </w:r>
      <w:r w:rsidR="002C3632">
        <w:rPr>
          <w:rFonts w:ascii="Times New Roman" w:hAnsi="Times New Roman" w:cs="Times New Roman"/>
          <w:b/>
          <w:bCs/>
        </w:rPr>
        <w:t>Ч</w:t>
      </w:r>
      <w:r w:rsidRPr="00040196">
        <w:rPr>
          <w:rFonts w:ascii="Times New Roman" w:hAnsi="Times New Roman" w:cs="Times New Roman"/>
          <w:b/>
          <w:bCs/>
        </w:rPr>
        <w:t xml:space="preserve">рез представяне на поне две съпоставими независими </w:t>
      </w:r>
      <w:r w:rsidR="002C3632" w:rsidRPr="002C3632">
        <w:rPr>
          <w:rFonts w:ascii="Times New Roman" w:hAnsi="Times New Roman" w:cs="Times New Roman"/>
          <w:b/>
          <w:bCs/>
        </w:rPr>
        <w:t xml:space="preserve">и конкурентни </w:t>
      </w:r>
      <w:r w:rsidRPr="00040196">
        <w:rPr>
          <w:rFonts w:ascii="Times New Roman" w:hAnsi="Times New Roman" w:cs="Times New Roman"/>
          <w:b/>
          <w:bCs/>
        </w:rPr>
        <w:t>оферти</w:t>
      </w:r>
      <w:r w:rsidR="00F5416D" w:rsidRPr="00040196">
        <w:rPr>
          <w:rFonts w:ascii="Times New Roman" w:hAnsi="Times New Roman" w:cs="Times New Roman"/>
          <w:b/>
          <w:bCs/>
        </w:rPr>
        <w:t xml:space="preserve"> и покана в ИСУН 2020</w:t>
      </w:r>
      <w:r w:rsidRPr="00040196">
        <w:rPr>
          <w:rFonts w:ascii="Times New Roman" w:hAnsi="Times New Roman" w:cs="Times New Roman"/>
          <w:b/>
          <w:bCs/>
        </w:rPr>
        <w:t>“</w:t>
      </w:r>
      <w:r w:rsidRPr="00040196">
        <w:rPr>
          <w:rFonts w:ascii="Times New Roman" w:hAnsi="Times New Roman" w:cs="Times New Roman"/>
        </w:rPr>
        <w:t xml:space="preserve"> </w:t>
      </w:r>
      <w:r w:rsidRPr="00040196">
        <w:rPr>
          <w:rFonts w:ascii="Times New Roman" w:hAnsi="Times New Roman" w:cs="Times New Roman"/>
          <w:b/>
          <w:bCs/>
        </w:rPr>
        <w:t>като задължително го уведомява за това чрез модул „Ко</w:t>
      </w:r>
      <w:r w:rsidR="00F5416D" w:rsidRPr="00040196">
        <w:rPr>
          <w:rFonts w:ascii="Times New Roman" w:hAnsi="Times New Roman" w:cs="Times New Roman"/>
          <w:b/>
          <w:bCs/>
        </w:rPr>
        <w:t>респонденция</w:t>
      </w:r>
      <w:r w:rsidRPr="00040196">
        <w:rPr>
          <w:rFonts w:ascii="Times New Roman" w:hAnsi="Times New Roman" w:cs="Times New Roman"/>
          <w:b/>
          <w:bCs/>
        </w:rPr>
        <w:t xml:space="preserve">“. </w:t>
      </w:r>
      <w:r w:rsidRPr="00040196">
        <w:rPr>
          <w:rFonts w:ascii="Times New Roman" w:hAnsi="Times New Roman" w:cs="Times New Roman"/>
          <w:bCs/>
        </w:rPr>
        <w:t xml:space="preserve">В този случай бенефициерът представя на УО на ПМДР, чрез ИСУН 2020, минимум следните документи: </w:t>
      </w:r>
    </w:p>
    <w:p w14:paraId="07A98B82" w14:textId="77777777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събраните поне 2 оферти;</w:t>
      </w:r>
    </w:p>
    <w:p w14:paraId="0E59A949" w14:textId="6382492F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обосновка в свободен текст за направения избор на база на събраните оферти</w:t>
      </w:r>
      <w:r w:rsidR="00737B32" w:rsidRPr="00040196">
        <w:rPr>
          <w:rFonts w:ascii="Times New Roman" w:hAnsi="Times New Roman" w:cs="Times New Roman"/>
          <w:bCs/>
        </w:rPr>
        <w:t xml:space="preserve"> и постъпилите оферти чрез ИСУН 2020 (в случай, че са постъпили оферти чрез ИСУН 2020)</w:t>
      </w:r>
      <w:r w:rsidRPr="00040196">
        <w:rPr>
          <w:rFonts w:ascii="Times New Roman" w:hAnsi="Times New Roman" w:cs="Times New Roman"/>
          <w:bCs/>
        </w:rPr>
        <w:t>;</w:t>
      </w:r>
    </w:p>
    <w:p w14:paraId="20C00BB2" w14:textId="77777777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документите доказващи, че оферентът отговаря на кумулативните изисквания, посочени по-горе.;</w:t>
      </w:r>
    </w:p>
    <w:p w14:paraId="028D6BA8" w14:textId="77777777" w:rsidR="00737872" w:rsidRPr="00040196" w:rsidRDefault="00737872" w:rsidP="00974C7D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сключен договор, предметът и параметрите на който трябва да съответстват на избраната оферта.</w:t>
      </w:r>
    </w:p>
    <w:p w14:paraId="0667C428" w14:textId="1F80B7C5" w:rsidR="00737872" w:rsidRPr="00040196" w:rsidRDefault="003E7688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Управляващият орган</w:t>
      </w:r>
      <w:r w:rsidRPr="00040196">
        <w:rPr>
          <w:rFonts w:ascii="Times New Roman" w:hAnsi="Times New Roman" w:cs="Times New Roman"/>
          <w:bCs/>
        </w:rPr>
        <w:t xml:space="preserve"> </w:t>
      </w:r>
      <w:r w:rsidR="00737872" w:rsidRPr="00040196">
        <w:rPr>
          <w:rFonts w:ascii="Times New Roman" w:hAnsi="Times New Roman" w:cs="Times New Roman"/>
          <w:bCs/>
        </w:rPr>
        <w:t>осъществява последващ контрол на проведената/ите от бенефициерите процедура/и за възлагане на обществена поръчка на етап сключен от бенефициера договор с избрания изпълнител.</w:t>
      </w:r>
    </w:p>
    <w:p w14:paraId="55DCE7E2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 на необходимост, УО на ПМДР изисква от бенефициера допълнителни документи/информация и разяснения във връзка с представената документация, по процедурите по букви А и Б. Искането за разяснение се изпраща чрез ИСУН 2020 посредством електронния профил на бенефициера. Срокът за представяне на допълнителни документи/информация е 10 дни от датата на изпращане на искането. Бенефициерът представя липсващите документи по електронен път чрез ИСУН 2020. Допълнителна информация и документи могат да бъдат предоставена само по искане на УО на ПМДР.</w:t>
      </w:r>
    </w:p>
    <w:p w14:paraId="16B8A029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Когато бенефициерът не е представил изисканите допълнителни документи/информация и разяснения в посочения по-горе срок, УО на ПМДР ще предостави повторна възможност на бенефициера за предоставяне на същата в срок от 5 работни дни. В случай че бенефициера не предостави и в този срок изисканите допълнителни документи/информация и разяснения, УО на ПМДР ще се произнесе на база на наличната представена документация от проведения избор за изпълнител/и.</w:t>
      </w:r>
    </w:p>
    <w:p w14:paraId="43E511FF" w14:textId="66A7FF30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случай на установяване на нередности по смисъла на чл. 2, т. 36 и 38 от Регламент (ЕС) № 1303/2013 в проведената процедура, УО на ПМДР налага финансова корекция по реда на чл.</w:t>
      </w:r>
      <w:r w:rsidR="00F5416D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70 и следващите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>.</w:t>
      </w:r>
    </w:p>
    <w:p w14:paraId="45F039F4" w14:textId="6E2A3E29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Правата и задълженията, които възникват за бенефициера, са описани в приложения образец на Административен договор за безвъзмездна финансова помощ по „Програма за морско дело и рибарство” 2014-2020 </w:t>
      </w:r>
      <w:r w:rsidR="003E7688">
        <w:rPr>
          <w:rFonts w:ascii="Times New Roman" w:hAnsi="Times New Roman" w:cs="Times New Roman"/>
          <w:bCs/>
        </w:rPr>
        <w:t xml:space="preserve">г. </w:t>
      </w:r>
      <w:r w:rsidRPr="00040196">
        <w:rPr>
          <w:rFonts w:ascii="Times New Roman" w:hAnsi="Times New Roman" w:cs="Times New Roman"/>
          <w:bCs/>
        </w:rPr>
        <w:t xml:space="preserve">(Приложение № </w:t>
      </w:r>
      <w:r w:rsidR="008A1A07" w:rsidRPr="00040196">
        <w:rPr>
          <w:rFonts w:ascii="Times New Roman" w:hAnsi="Times New Roman" w:cs="Times New Roman"/>
          <w:bCs/>
        </w:rPr>
        <w:t>14).</w:t>
      </w:r>
    </w:p>
    <w:p w14:paraId="2BEC2912" w14:textId="0CCBDBBA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На основание чл. 69, ал. 6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>, във връзка с провеждане на процедурата за предоставяне на безвъзмездна финансова помощ, и/или при изпълнение, съответно отчитане на про</w:t>
      </w:r>
      <w:r w:rsidR="002A7660" w:rsidRPr="00040196">
        <w:rPr>
          <w:rFonts w:ascii="Times New Roman" w:hAnsi="Times New Roman" w:cs="Times New Roman"/>
          <w:bCs/>
        </w:rPr>
        <w:t>екта, всеки кандидат/бенефициер</w:t>
      </w:r>
      <w:r w:rsidRPr="00040196">
        <w:rPr>
          <w:rFonts w:ascii="Times New Roman" w:hAnsi="Times New Roman" w:cs="Times New Roman"/>
          <w:bCs/>
        </w:rPr>
        <w:t xml:space="preserve"> може да подаде сигнал за наличие на нередности и/или измами или съмнение за нередности и/или измами по реда и при условията, установени в акта по чл. 69, ал. 6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 xml:space="preserve"> - Наредбата за администриране на нередности по Европейските структурни и инвестиционни фондове и съобразно подписаната от него Декларация за нередности по образец.</w:t>
      </w:r>
    </w:p>
    <w:p w14:paraId="1DF072CE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случаите, когато проекта е свързан с придобиването на патент, полезен модел или ноу-хау, не се изискват две независими, съпоставими и конкурентни оферти.</w:t>
      </w:r>
    </w:p>
    <w:p w14:paraId="2C710574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Следва да се има предвид,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доказване: патент за изобретение или свидетелство за регистрация на полезен модел за иновацията, внедрявана по проекта.</w:t>
      </w:r>
    </w:p>
    <w:p w14:paraId="06EB0AF6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случаите, когато се придобива ноу-хау, също се представят доказателства за притежаваният производствен опит (ноу-хау) с техническа документация, научни публикации, независими становища от компетентни организации в областта на иновацията или независими хабилитирани лица в областта на иновацията. Документите не трябва да са с декларативен харектер, а да съдържат оценка за иновативния продукт/процес/съоръжения и да доказват неговата иновативност.</w:t>
      </w:r>
    </w:p>
    <w:p w14:paraId="02102E5A" w14:textId="368BE2F8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  <w:lang w:val="en-US"/>
        </w:rPr>
        <w:drawing>
          <wp:inline distT="0" distB="0" distL="0" distR="0" wp14:anchorId="617C2642" wp14:editId="313B27FC">
            <wp:extent cx="676275" cy="3714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 xml:space="preserve">Когато бенефициерът не е възложител по смисъла на ЗОП, при избор на изпълнител/и същият задължително прилага разпоредбите на Глава четвърта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 xml:space="preserve"> и ПМС № 160</w:t>
      </w:r>
      <w:r w:rsidR="00AD6391">
        <w:rPr>
          <w:rFonts w:ascii="Times New Roman" w:hAnsi="Times New Roman" w:cs="Times New Roman"/>
          <w:bCs/>
        </w:rPr>
        <w:t xml:space="preserve"> от </w:t>
      </w:r>
      <w:r w:rsidRPr="00040196">
        <w:rPr>
          <w:rFonts w:ascii="Times New Roman" w:hAnsi="Times New Roman" w:cs="Times New Roman"/>
          <w:bCs/>
        </w:rPr>
        <w:t>2016 г., както и указанията, заложени в настоящите Условия за изпълнение.</w:t>
      </w:r>
    </w:p>
    <w:p w14:paraId="41CEE1E6" w14:textId="28F3C231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  <w:i/>
        </w:rPr>
      </w:pPr>
      <w:r w:rsidRPr="00040196">
        <w:rPr>
          <w:rFonts w:ascii="Times New Roman" w:hAnsi="Times New Roman" w:cs="Times New Roman"/>
          <w:b/>
          <w:bCs/>
          <w:lang w:val="en-US"/>
        </w:rPr>
        <w:drawing>
          <wp:inline distT="0" distB="0" distL="0" distR="0" wp14:anchorId="4C8820DA" wp14:editId="6602411B">
            <wp:extent cx="590153" cy="271154"/>
            <wp:effectExtent l="57150" t="0" r="38735" b="1098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  <w:i/>
        </w:rPr>
        <w:t>.</w:t>
      </w:r>
    </w:p>
    <w:p w14:paraId="183E750B" w14:textId="77777777" w:rsidR="00737B32" w:rsidRPr="00040196" w:rsidRDefault="00737B32" w:rsidP="00974C7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BD1F08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bCs/>
        </w:rPr>
        <w:lastRenderedPageBreak/>
        <w:t>1.2. Изменения и/или допълнение на административен договор за предоставяне на безвъзмездна финансова помощ</w:t>
      </w:r>
    </w:p>
    <w:p w14:paraId="4A5C44A8" w14:textId="48FBCD95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Бенефициера, при условията на чл. 39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и раздел VIII  от Общите условия. Допълнителното споразумение не може да нарушава конкурентните условия, съществуващи към момента на сключване на административния договор и </w:t>
      </w:r>
      <w:r w:rsidR="002A7660" w:rsidRPr="00040196">
        <w:rPr>
          <w:rFonts w:ascii="Times New Roman" w:hAnsi="Times New Roman" w:cs="Times New Roman"/>
          <w:bCs/>
        </w:rPr>
        <w:t>равното третиране на бенефициер</w:t>
      </w:r>
      <w:r w:rsidRPr="00040196">
        <w:rPr>
          <w:rFonts w:ascii="Times New Roman" w:hAnsi="Times New Roman" w:cs="Times New Roman"/>
          <w:bCs/>
        </w:rPr>
        <w:t>ите.</w:t>
      </w:r>
    </w:p>
    <w:p w14:paraId="2F1CE470" w14:textId="77777777" w:rsidR="00737B32" w:rsidRPr="00040196" w:rsidRDefault="00737B3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</w:p>
    <w:p w14:paraId="50C2B733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bCs/>
        </w:rPr>
        <w:t>1.3. Проверки за удостоверяване на административните, финансовите, техническите и физическите аспекти от изпълнението на одобрените проекти.</w:t>
      </w:r>
    </w:p>
    <w:p w14:paraId="58FAF505" w14:textId="6D286BA9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Съгласно правилата на Регламент (ЕС) № 1303/2013 и Споразумението за делегиране на функции от УО на ПМДР на Междинното звено (МЗ) - Държавен фонд „Земеделие“-Разплащателна агенция, последното следва да извърши проверки за удостоверяване на административните, финансовите, техническите и физическите аспекти от изпълнението на одобрените проекти. Проверките могат да бъдат както административни – проверка на документи, така и проверки на място за изпълнение на дейностите, заложени по одобрения проект.</w:t>
      </w:r>
    </w:p>
    <w:p w14:paraId="2E96A453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Бенефициерът следва в срок от 10 дни преди провеждане на информационна кампания да уведоми УО на ПМДР, за да бъде планирано посещение на място.</w:t>
      </w:r>
    </w:p>
    <w:p w14:paraId="642AC005" w14:textId="573B53A9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Управляващият орган на ПМДР извършва </w:t>
      </w:r>
      <w:r w:rsidR="00737B32" w:rsidRPr="00040196">
        <w:rPr>
          <w:rFonts w:ascii="Times New Roman" w:hAnsi="Times New Roman" w:cs="Times New Roman"/>
          <w:bCs/>
        </w:rPr>
        <w:t xml:space="preserve">задължителни </w:t>
      </w:r>
      <w:r w:rsidRPr="00040196">
        <w:rPr>
          <w:rFonts w:ascii="Times New Roman" w:hAnsi="Times New Roman" w:cs="Times New Roman"/>
          <w:bCs/>
        </w:rPr>
        <w:t xml:space="preserve">проверки преди подписване на </w:t>
      </w:r>
      <w:r w:rsidR="00737B32" w:rsidRPr="00040196">
        <w:rPr>
          <w:rFonts w:ascii="Times New Roman" w:hAnsi="Times New Roman" w:cs="Times New Roman"/>
          <w:bCs/>
        </w:rPr>
        <w:t>АДПБФП</w:t>
      </w:r>
      <w:r w:rsidRPr="00040196">
        <w:rPr>
          <w:rFonts w:ascii="Times New Roman" w:hAnsi="Times New Roman" w:cs="Times New Roman"/>
          <w:bCs/>
        </w:rPr>
        <w:t>.</w:t>
      </w:r>
      <w:r w:rsidR="00737B32" w:rsidRPr="00040196">
        <w:rPr>
          <w:rFonts w:ascii="Times New Roman" w:hAnsi="Times New Roman" w:cs="Times New Roman"/>
          <w:bCs/>
        </w:rPr>
        <w:t xml:space="preserve"> Управляващият орган на ПМДР може да извършва при необходимост междинни проверки на място по време на изпълнението на проекта.</w:t>
      </w:r>
    </w:p>
    <w:p w14:paraId="57155EAD" w14:textId="1A0558BB" w:rsidR="00737872" w:rsidRPr="00040196" w:rsidRDefault="00737B3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Междинното звено – ДФЗ-РА извършва административни проверки и проверки на място преди плащане по реда установен  в Общите условия  към административните договори за предоставяне на безвъзмездна финансова помощ и мониторингови проверки на изпълнените проекти на база извадка (проверките са административни и проверки на място)</w:t>
      </w:r>
      <w:r w:rsidR="00737872" w:rsidRPr="00040196">
        <w:rPr>
          <w:rFonts w:ascii="Times New Roman" w:hAnsi="Times New Roman" w:cs="Times New Roman"/>
          <w:bCs/>
        </w:rPr>
        <w:t>.</w:t>
      </w:r>
    </w:p>
    <w:p w14:paraId="69DDEB09" w14:textId="7AFE09FC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При подаване на искане за междинно/окончателн</w:t>
      </w:r>
      <w:r w:rsidR="008A1A07" w:rsidRPr="00040196">
        <w:rPr>
          <w:rFonts w:ascii="Times New Roman" w:hAnsi="Times New Roman" w:cs="Times New Roman"/>
          <w:bCs/>
        </w:rPr>
        <w:t>о плащане бенефициерът предостав</w:t>
      </w:r>
      <w:r w:rsidRPr="00040196">
        <w:rPr>
          <w:rFonts w:ascii="Times New Roman" w:hAnsi="Times New Roman" w:cs="Times New Roman"/>
          <w:bCs/>
        </w:rPr>
        <w:t>я чрез ИСУН 2020 и междинен/финален отчет за изпълнението на проекта, ДФЗ-РА ще извършва задължителни проверки, като в случай че бъдат констатирани несъответствия, разходите за съответните дейности няма да бъдат признати, като ще бъдат прилагани съответни европейски</w:t>
      </w:r>
      <w:r w:rsidR="002A7660" w:rsidRPr="00040196">
        <w:rPr>
          <w:rFonts w:ascii="Times New Roman" w:hAnsi="Times New Roman" w:cs="Times New Roman"/>
          <w:bCs/>
        </w:rPr>
        <w:t xml:space="preserve"> и национални норми. Бенефициер</w:t>
      </w:r>
      <w:r w:rsidRPr="00040196">
        <w:rPr>
          <w:rFonts w:ascii="Times New Roman" w:hAnsi="Times New Roman" w:cs="Times New Roman"/>
          <w:bCs/>
        </w:rPr>
        <w:t>ът е задължен да осигури директен достъп (както по време на изпълнението на проекта, така и след неговото приключване) на представители на Управляващия орган, Междинното звено на Управляващия орган и/или други одитиращи институции с цел извършването на проверка на място на резултатите от изпълнението на проекта.</w:t>
      </w:r>
    </w:p>
    <w:p w14:paraId="018EB075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Бенефициерът е задължен да докладва и отчита изпълнението на проекта в съответните отчетни форми и документи чрез ИСУН 2020.</w:t>
      </w:r>
    </w:p>
    <w:p w14:paraId="5A143977" w14:textId="091A0989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lang w:val="en-US"/>
        </w:rPr>
        <w:drawing>
          <wp:inline distT="0" distB="0" distL="0" distR="0" wp14:anchorId="1D612509" wp14:editId="1F86B845">
            <wp:extent cx="584395" cy="271780"/>
            <wp:effectExtent l="57150" t="0" r="44450" b="1092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 xml:space="preserve">В случай на неизпълнение на индикаторите за резултати, заложени в проектното предложение, на бенефициера могат да бъдат наложени финансови корекции съгласно разпоредбите на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</w:t>
      </w:r>
      <w:r w:rsidR="004673D8" w:rsidRPr="00040196">
        <w:rPr>
          <w:rFonts w:ascii="Times New Roman" w:hAnsi="Times New Roman" w:cs="Times New Roman"/>
          <w:bCs/>
        </w:rPr>
        <w:t>П</w:t>
      </w:r>
      <w:r w:rsidR="004673D8">
        <w:rPr>
          <w:rFonts w:ascii="Times New Roman" w:hAnsi="Times New Roman" w:cs="Times New Roman"/>
          <w:bCs/>
        </w:rPr>
        <w:t>остановление</w:t>
      </w:r>
      <w:r w:rsidR="004673D8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№ 57 </w:t>
      </w:r>
      <w:r w:rsidR="004673D8">
        <w:rPr>
          <w:rFonts w:ascii="Times New Roman" w:hAnsi="Times New Roman" w:cs="Times New Roman"/>
          <w:bCs/>
        </w:rPr>
        <w:t xml:space="preserve"> на Министерския съвет </w:t>
      </w:r>
      <w:r w:rsidRPr="00040196">
        <w:rPr>
          <w:rFonts w:ascii="Times New Roman" w:hAnsi="Times New Roman" w:cs="Times New Roman"/>
          <w:bCs/>
        </w:rPr>
        <w:t xml:space="preserve">от </w:t>
      </w:r>
      <w:r w:rsidR="00112254" w:rsidRPr="00040196">
        <w:rPr>
          <w:rFonts w:ascii="Times New Roman" w:hAnsi="Times New Roman" w:cs="Times New Roman"/>
          <w:bCs/>
        </w:rPr>
        <w:t>2017</w:t>
      </w:r>
      <w:r w:rsidR="004673D8">
        <w:rPr>
          <w:rFonts w:ascii="Times New Roman" w:hAnsi="Times New Roman" w:cs="Times New Roman"/>
          <w:bCs/>
        </w:rPr>
        <w:t xml:space="preserve"> </w:t>
      </w:r>
      <w:r w:rsidR="00112254" w:rsidRPr="00040196">
        <w:rPr>
          <w:rFonts w:ascii="Times New Roman" w:hAnsi="Times New Roman" w:cs="Times New Roman"/>
          <w:bCs/>
        </w:rPr>
        <w:t>г.  (обн., ДВ, бр. 2</w:t>
      </w:r>
      <w:r w:rsidRPr="00040196">
        <w:rPr>
          <w:rFonts w:ascii="Times New Roman" w:hAnsi="Times New Roman" w:cs="Times New Roman"/>
          <w:bCs/>
        </w:rPr>
        <w:t>7 от 2017 г.).</w:t>
      </w:r>
    </w:p>
    <w:p w14:paraId="54ED7694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</w:p>
    <w:p w14:paraId="34EAE3BC" w14:textId="77777777" w:rsidR="00737872" w:rsidRPr="00040196" w:rsidRDefault="00737872" w:rsidP="00974C7D">
      <w:pPr>
        <w:keepNext/>
        <w:keepLines/>
        <w:spacing w:before="120" w:after="120" w:line="240" w:lineRule="auto"/>
        <w:jc w:val="both"/>
        <w:outlineLvl w:val="1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bCs/>
          <w:color w:val="5B9BD5"/>
        </w:rPr>
        <w:t>2. Финансово изпълнение на проектите и плащане.</w:t>
      </w:r>
    </w:p>
    <w:p w14:paraId="322F6037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Всички допустими разходи (надлежно доказани със съответната фактура или друг счетоводен документ с еквивалентна доказателствена стойност) могат да бъдат представени за плащане само </w:t>
      </w:r>
      <w:r w:rsidRPr="00040196">
        <w:rPr>
          <w:rFonts w:ascii="Times New Roman" w:hAnsi="Times New Roman" w:cs="Times New Roman"/>
          <w:bCs/>
        </w:rPr>
        <w:lastRenderedPageBreak/>
        <w:t>веднъж,  – т.е. разходите не могат да бъдат заявявани и за тях не може да бъде предоставена безвъзмездна финансова помощ, вкл. по други проекти и по други програми.</w:t>
      </w:r>
    </w:p>
    <w:p w14:paraId="5E8AEB4E" w14:textId="1DCA80E5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Бенефициерът </w:t>
      </w:r>
      <w:r w:rsidR="00BF0ABD">
        <w:rPr>
          <w:rFonts w:ascii="Times New Roman" w:hAnsi="Times New Roman" w:cs="Times New Roman"/>
          <w:bCs/>
        </w:rPr>
        <w:t xml:space="preserve">може </w:t>
      </w:r>
      <w:r w:rsidRPr="00040196">
        <w:rPr>
          <w:rFonts w:ascii="Times New Roman" w:hAnsi="Times New Roman" w:cs="Times New Roman"/>
          <w:bCs/>
        </w:rPr>
        <w:t>да поддържа отделни счетоводни аналитични сметка/подсметка или отделна счетоводна система за допустимите разходи по проекта/ите и използването на средствата от безвъзмездната финансова помощ, съгласно изискванията на чл. 57, ал. 1, т.</w:t>
      </w:r>
      <w:r w:rsidR="006758A3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5 от </w:t>
      </w:r>
      <w:r w:rsidR="00AC3D4F" w:rsidRPr="00040196">
        <w:rPr>
          <w:rFonts w:ascii="Times New Roman" w:hAnsi="Times New Roman" w:cs="Times New Roman"/>
          <w:bCs/>
        </w:rPr>
        <w:t>ЗУСЕФСУ</w:t>
      </w:r>
      <w:r w:rsidRPr="00040196">
        <w:rPr>
          <w:rFonts w:ascii="Times New Roman" w:hAnsi="Times New Roman" w:cs="Times New Roman"/>
          <w:bCs/>
        </w:rPr>
        <w:t>.</w:t>
      </w:r>
    </w:p>
    <w:p w14:paraId="1271FA90" w14:textId="7F653F3D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Максималният размер на безвъзмездната финансова помощ задължително се посочва</w:t>
      </w:r>
      <w:r w:rsidR="001257B8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>в административния договор за безвъзмездна финансова помощ. Този размер се основава на бюджета, формиран на база предварителната оценка на размера на допустимите разходи, необходими за изпълнението на проекта. Фиксираният в административния договор размер на безвъзмездната финансова помощ е максимален,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разходи.</w:t>
      </w:r>
    </w:p>
    <w:p w14:paraId="6417BB38" w14:textId="77777777" w:rsidR="000448AE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Кандидатите следва да вземат под внимание Указание на УО на ПМДР за регламентиране и отчитане на възнагражденията на екипите за изпълнение на проекти, което е публикувано и може да бъде наме</w:t>
      </w:r>
      <w:r w:rsidR="000448AE" w:rsidRPr="00040196">
        <w:rPr>
          <w:rFonts w:ascii="Times New Roman" w:hAnsi="Times New Roman" w:cs="Times New Roman"/>
          <w:bCs/>
        </w:rPr>
        <w:t>рено на следния интернет адрес:</w:t>
      </w:r>
    </w:p>
    <w:p w14:paraId="39A61704" w14:textId="7D764FF2" w:rsidR="00737872" w:rsidRPr="00040196" w:rsidRDefault="008E16FA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hyperlink r:id="rId14" w:history="1">
        <w:r w:rsidR="00737872" w:rsidRPr="00040196">
          <w:rPr>
            <w:rStyle w:val="Hyperlink"/>
            <w:rFonts w:ascii="Times New Roman" w:hAnsi="Times New Roman" w:cs="Times New Roman"/>
            <w:bCs/>
            <w:i/>
          </w:rPr>
          <w:t>https://www.eufunds.bg/bg/pmdr/node/5279</w:t>
        </w:r>
      </w:hyperlink>
      <w:r w:rsidR="00737872" w:rsidRPr="00040196">
        <w:rPr>
          <w:rFonts w:ascii="Times New Roman" w:hAnsi="Times New Roman" w:cs="Times New Roman"/>
          <w:bCs/>
        </w:rPr>
        <w:t>.</w:t>
      </w:r>
    </w:p>
    <w:p w14:paraId="33CDD0D7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Недопустими са промени в бюджета на одобрения проект, водещи до увеличаване на първоначално договорения процент и размер на безвъзмездната финансова помощ по договора.</w:t>
      </w:r>
    </w:p>
    <w:p w14:paraId="79D1A085" w14:textId="46EC91DA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/>
          <w:lang w:val="en-US"/>
        </w:rPr>
        <w:drawing>
          <wp:inline distT="0" distB="0" distL="0" distR="0" wp14:anchorId="32D69BF1" wp14:editId="45C31E84">
            <wp:extent cx="584395" cy="271780"/>
            <wp:effectExtent l="57150" t="0" r="44450" b="1092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 xml:space="preserve">Във връзка с разпоредбите на чл. 4, т. 3 от Регламент (ЕО, ЕВРАТОМ) </w:t>
      </w:r>
      <w:r w:rsidR="006758A3">
        <w:rPr>
          <w:rFonts w:ascii="Times New Roman" w:hAnsi="Times New Roman" w:cs="Times New Roman"/>
          <w:bCs/>
        </w:rPr>
        <w:t>№</w:t>
      </w:r>
      <w:r w:rsidR="006758A3" w:rsidRPr="00040196">
        <w:rPr>
          <w:rFonts w:ascii="Times New Roman" w:hAnsi="Times New Roman" w:cs="Times New Roman"/>
          <w:bCs/>
        </w:rPr>
        <w:t xml:space="preserve"> </w:t>
      </w:r>
      <w:r w:rsidRPr="00040196">
        <w:rPr>
          <w:rFonts w:ascii="Times New Roman" w:hAnsi="Times New Roman" w:cs="Times New Roman"/>
          <w:bCs/>
        </w:rPr>
        <w:t xml:space="preserve">2988/95 на Съвета от 18 декември 1995 година относно защитата на финансовите интереси на Европейските общности, безвъзмездната финансов помощ не се изплаща, а изплатената финансова помощ подлежи </w:t>
      </w:r>
      <w:r w:rsidR="002A7660" w:rsidRPr="00040196">
        <w:rPr>
          <w:rFonts w:ascii="Times New Roman" w:hAnsi="Times New Roman" w:cs="Times New Roman"/>
          <w:bCs/>
        </w:rPr>
        <w:t>на възстановяване от бенефициера</w:t>
      </w:r>
      <w:r w:rsidRPr="00040196">
        <w:rPr>
          <w:rFonts w:ascii="Times New Roman" w:hAnsi="Times New Roman" w:cs="Times New Roman"/>
          <w:bCs/>
        </w:rPr>
        <w:t>, за който е установено, че е създал изкуствено условията, необходими за получаване на помощта, с цел осъществяване на предимство в противоречие с целите на мярката.</w:t>
      </w:r>
    </w:p>
    <w:p w14:paraId="7A07F50A" w14:textId="228CAC00" w:rsidR="00737872" w:rsidRPr="00040196" w:rsidRDefault="00BC69DE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US"/>
        </w:rPr>
        <w:drawing>
          <wp:inline distT="0" distB="0" distL="0" distR="0" wp14:anchorId="00C92B09" wp14:editId="7D862789">
            <wp:extent cx="694690" cy="377825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37872" w:rsidRPr="00040196">
        <w:rPr>
          <w:rFonts w:ascii="Times New Roman" w:hAnsi="Times New Roman" w:cs="Times New Roman"/>
          <w:bCs/>
        </w:rPr>
        <w:t>По настоящата процедура за предоставяне на безвъзмездна финансова помощ се предвиждат следните видове плащане: авансово, междинно и окончателно, като редът, условията и сроковете за тяхното извършване са определени в административния договор и Общите условия към него.</w:t>
      </w:r>
    </w:p>
    <w:p w14:paraId="1E508209" w14:textId="6FD51262" w:rsidR="00737872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Исканията за авансово, междинно и окончателно плащане на бенефициера се подават по ред, условия и в срок определени в административния договор и Общите условия към него.</w:t>
      </w:r>
    </w:p>
    <w:p w14:paraId="24A003E6" w14:textId="44D7F5A5" w:rsidR="00737B32" w:rsidRPr="00040196" w:rsidRDefault="00737872" w:rsidP="00AE7A10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6E2945F0" wp14:editId="721CDEFA">
            <wp:extent cx="668020" cy="3517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7B32" w:rsidRPr="00040196">
        <w:rPr>
          <w:rFonts w:ascii="Times New Roman" w:hAnsi="Times New Roman" w:cs="Times New Roman"/>
        </w:rPr>
        <w:t xml:space="preserve"> </w:t>
      </w:r>
      <w:r w:rsidR="00737B32" w:rsidRPr="00040196">
        <w:rPr>
          <w:rFonts w:ascii="Times New Roman" w:hAnsi="Times New Roman" w:cs="Times New Roman"/>
          <w:bCs/>
        </w:rPr>
        <w:t>В изпълнение на Решение</w:t>
      </w:r>
      <w:r w:rsidR="006758A3">
        <w:rPr>
          <w:rFonts w:ascii="Times New Roman" w:hAnsi="Times New Roman" w:cs="Times New Roman"/>
          <w:bCs/>
        </w:rPr>
        <w:t xml:space="preserve"> </w:t>
      </w:r>
      <w:r w:rsidR="006758A3" w:rsidRPr="00040196">
        <w:rPr>
          <w:rFonts w:ascii="Times New Roman" w:hAnsi="Times New Roman" w:cs="Times New Roman"/>
          <w:bCs/>
        </w:rPr>
        <w:t>№ 592</w:t>
      </w:r>
      <w:r w:rsidR="00737B32" w:rsidRPr="00040196">
        <w:rPr>
          <w:rFonts w:ascii="Times New Roman" w:hAnsi="Times New Roman" w:cs="Times New Roman"/>
          <w:bCs/>
        </w:rPr>
        <w:t xml:space="preserve"> на Министерски съвет от 2018 г. след сключване на договор на стойност, равна или надвишаваща 30</w:t>
      </w:r>
      <w:r w:rsidR="00737B32" w:rsidRPr="00040196">
        <w:rPr>
          <w:rFonts w:ascii="Times New Roman" w:eastAsia="Calibri" w:hAnsi="Times New Roman" w:cs="Times New Roman"/>
          <w:noProof w:val="0"/>
          <w:lang w:eastAsia="bg-BG"/>
        </w:rPr>
        <w:t> </w:t>
      </w:r>
      <w:r w:rsidR="00737B32" w:rsidRPr="00040196">
        <w:rPr>
          <w:rFonts w:ascii="Times New Roman" w:hAnsi="Times New Roman" w:cs="Times New Roman"/>
          <w:bCs/>
        </w:rPr>
        <w:t>000,00 лв. и преди извършване на плащане, УО на ПМДР има ангажимент да уведомява Национална агенция за приходите и Агенция „Митници“ за предстоящата за изплащане сума и за стойността на конкретния договор, по който ще се извърши плащането, за проверка на наличие/липса на данъчни задължения. При наличие на данъчни задължения към Национална агенция за приходите и Агенция „Митници“, УО на ПМДР извършва банков превод на запорираната сума по посочената в разпореждането за изпълнение банков</w:t>
      </w:r>
      <w:r w:rsidR="00AE7A10" w:rsidRPr="00040196">
        <w:rPr>
          <w:rFonts w:ascii="Times New Roman" w:hAnsi="Times New Roman" w:cs="Times New Roman"/>
          <w:bCs/>
        </w:rPr>
        <w:t>а сметка и уведомява бенефициер</w:t>
      </w:r>
      <w:r w:rsidR="00737B32" w:rsidRPr="00040196">
        <w:rPr>
          <w:rFonts w:ascii="Times New Roman" w:hAnsi="Times New Roman" w:cs="Times New Roman"/>
          <w:bCs/>
        </w:rPr>
        <w:t>а за извършения превод в модул „Кореспонденция“ в ИСУН 2020.</w:t>
      </w:r>
    </w:p>
    <w:p w14:paraId="1199616C" w14:textId="056D8CF1" w:rsidR="00737872" w:rsidRPr="00040196" w:rsidRDefault="00737B3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 xml:space="preserve">Бенефициерите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реда, описан в Указания от УО на ПМДР във връзка с финансиране на разходи за данък добавена стойност (ДДС) на бенефициери по одобрени за подпомагане проекти по ПМДР. Размерът на допустимите разходи за ДДС следва изрично да бъде посочен в Административен </w:t>
      </w:r>
      <w:r w:rsidRPr="00040196">
        <w:rPr>
          <w:rFonts w:ascii="Times New Roman" w:hAnsi="Times New Roman" w:cs="Times New Roman"/>
          <w:bCs/>
        </w:rPr>
        <w:lastRenderedPageBreak/>
        <w:t>договор за предоставяне на безвъзмездна финансова помощ и/или в допълнително споразумение към него</w:t>
      </w:r>
      <w:r w:rsidR="00737872" w:rsidRPr="00040196">
        <w:rPr>
          <w:rFonts w:ascii="Times New Roman" w:hAnsi="Times New Roman" w:cs="Times New Roman"/>
          <w:bCs/>
        </w:rPr>
        <w:t>.</w:t>
      </w:r>
    </w:p>
    <w:p w14:paraId="443B3105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</w:p>
    <w:p w14:paraId="2DD45CEB" w14:textId="77777777" w:rsidR="00737872" w:rsidRPr="00040196" w:rsidRDefault="00737872" w:rsidP="00974C7D">
      <w:pPr>
        <w:keepNext/>
        <w:keepLines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color w:val="5B9BD5"/>
        </w:rPr>
      </w:pPr>
      <w:r w:rsidRPr="00040196">
        <w:rPr>
          <w:rFonts w:ascii="Times New Roman" w:hAnsi="Times New Roman" w:cs="Times New Roman"/>
          <w:b/>
          <w:bCs/>
          <w:color w:val="5B9BD5"/>
        </w:rPr>
        <w:t>3. Мерки за информиране и публичност</w:t>
      </w:r>
    </w:p>
    <w:p w14:paraId="46FD5D84" w14:textId="55C24C81" w:rsidR="00737872" w:rsidRPr="00040196" w:rsidRDefault="002A7660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Всички бенефициер</w:t>
      </w:r>
      <w:r w:rsidR="00737872" w:rsidRPr="00040196">
        <w:rPr>
          <w:rFonts w:ascii="Times New Roman" w:hAnsi="Times New Roman" w:cs="Times New Roman"/>
          <w:bCs/>
        </w:rPr>
        <w:t>и трябва да прилагат подходящи мерки за публичност и информираност съгласно правилата на Приложение XII от Регламент (ЕС) № 1303/2013.</w:t>
      </w:r>
    </w:p>
    <w:p w14:paraId="00F968FF" w14:textId="1FB9D5CB" w:rsidR="00737872" w:rsidRPr="00040196" w:rsidRDefault="002A7660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Бенефициер</w:t>
      </w:r>
      <w:r w:rsidR="00737872" w:rsidRPr="00040196">
        <w:rPr>
          <w:rFonts w:ascii="Times New Roman" w:hAnsi="Times New Roman" w:cs="Times New Roman"/>
          <w:bCs/>
        </w:rPr>
        <w:t>ите са длъжни да упоменат финансовия принос на Европейския фонд за морско дело и рибарство чрез „Програма за морско дело и рибарство” 2014-2020 в информацията, изготвяна и предоставяна във връзка с изпълнението на проекта, във всички отчети за изпълнение на договора (междинни и финален), както и във всички други документи, отнасящи се до изпълнението на дадена дейност по проекта. Във всички обяви и публикации (в случай, че има такива), свързани с изпъ</w:t>
      </w:r>
      <w:r w:rsidRPr="00040196">
        <w:rPr>
          <w:rFonts w:ascii="Times New Roman" w:hAnsi="Times New Roman" w:cs="Times New Roman"/>
          <w:bCs/>
        </w:rPr>
        <w:t>лнението на проекта, бенефициер</w:t>
      </w:r>
      <w:r w:rsidR="00737872" w:rsidRPr="00040196">
        <w:rPr>
          <w:rFonts w:ascii="Times New Roman" w:hAnsi="Times New Roman" w:cs="Times New Roman"/>
          <w:bCs/>
        </w:rPr>
        <w:t>ът е длъжен да оповести, че проектът е получил финансиране от ЕФМДР чрез ПМДР.</w:t>
      </w:r>
    </w:p>
    <w:p w14:paraId="7B3DC285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По време на изпълнението на даден проект бенефициерът информира обществеността за получената от ЕФМДР подкрепа като:</w:t>
      </w:r>
    </w:p>
    <w:p w14:paraId="0B5C57E4" w14:textId="77777777" w:rsidR="00737872" w:rsidRPr="00040196" w:rsidRDefault="00737872" w:rsidP="00974C7D">
      <w:pPr>
        <w:spacing w:before="120" w:after="12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а) включва на интернет страницата си, когато такава съществува, кратко описание на проекта, пропорционално на равнището на подкрепа, включително на неговите цели и резултати, и откроява финансовата подкрепа от ЕС;</w:t>
      </w:r>
    </w:p>
    <w:p w14:paraId="70A4704F" w14:textId="77777777" w:rsidR="00737872" w:rsidRPr="00040196" w:rsidRDefault="00737872" w:rsidP="00974C7D">
      <w:pPr>
        <w:spacing w:before="120" w:after="12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б) поставя минимум един плакат с информация за проекта (поне размер А3), в който се споменава финансовата подкрепа от ЕС, на видно за обществеността място, като например входа на сграда.</w:t>
      </w:r>
    </w:p>
    <w:p w14:paraId="6F758686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Плакатът следва да съдържа следната текстова и визуална информация:</w:t>
      </w:r>
    </w:p>
    <w:p w14:paraId="0AB6BE64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емблемата на ЕС и упоменаването „Европейски съюз“;</w:t>
      </w:r>
    </w:p>
    <w:p w14:paraId="1FB2B19C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наименованието на съфинансиращия фонд - Европейски фонд за морско дело и рибарство;</w:t>
      </w:r>
    </w:p>
    <w:p w14:paraId="255478C1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общото лого за програмен период 2014-2020 г.;</w:t>
      </w:r>
    </w:p>
    <w:p w14:paraId="34A937BD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наименованието на „Програма за  морско дело и рибарство” 2014-2020;</w:t>
      </w:r>
    </w:p>
    <w:p w14:paraId="5ACC2D44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наименованието на проекта;</w:t>
      </w:r>
    </w:p>
    <w:p w14:paraId="65F18136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общата стойност на проекта, както и размера на европейското и националното съфинансиране, представени в български лева;</w:t>
      </w:r>
    </w:p>
    <w:p w14:paraId="7CF6E9F4" w14:textId="77777777" w:rsidR="00737872" w:rsidRPr="00040196" w:rsidRDefault="00737872" w:rsidP="000448AE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- начална и крайна дата на изпълнение на проекта.</w:t>
      </w:r>
    </w:p>
    <w:p w14:paraId="277A20B7" w14:textId="2BD41DAA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Емблемата на ЕС следва да е в съответствие с графичните стандарти, определени в приложение II от Регламент за изпълнение (ЕС) № 821/2014 на Комисията</w:t>
      </w:r>
      <w:r w:rsidR="009252B5">
        <w:rPr>
          <w:rFonts w:ascii="Times New Roman" w:hAnsi="Times New Roman" w:cs="Times New Roman"/>
          <w:bCs/>
        </w:rPr>
        <w:t xml:space="preserve"> </w:t>
      </w:r>
      <w:r w:rsidR="009252B5" w:rsidRPr="009252B5">
        <w:rPr>
          <w:rFonts w:ascii="Times New Roman" w:hAnsi="Times New Roman" w:cs="Times New Roman"/>
          <w:bCs/>
        </w:rPr>
        <w:t>от 28 юли 2014 г. за определяне на правила за прилагането на Регламент (ЕС) № 1303/2013 на Европейския парламент и на Съвета по отношение на някои подробни разпоредби за прехвърлянето и управлението на приноса от програми, докладването по финансовите инструменти, техническите характеристики на мерките за информация, комуникация и видимост относно операциите и системата за записване и съхранение на данни</w:t>
      </w:r>
      <w:r w:rsidRPr="00040196">
        <w:rPr>
          <w:rFonts w:ascii="Times New Roman" w:hAnsi="Times New Roman" w:cs="Times New Roman"/>
          <w:bCs/>
        </w:rPr>
        <w:t>.</w:t>
      </w:r>
    </w:p>
    <w:p w14:paraId="1345D5B0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В случаите на закупуване на оборудване е необходимо да се поставят стикери върху всеки актив, закупен по проекта, включващи информация за финансовия принос на ЕС чрез ПМДР.</w:t>
      </w:r>
    </w:p>
    <w:p w14:paraId="7923862B" w14:textId="2A292D95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Пълният набор от мерки за информиране и публичност (</w:t>
      </w:r>
      <w:r w:rsidR="002A7660" w:rsidRPr="00040196">
        <w:rPr>
          <w:rFonts w:ascii="Times New Roman" w:hAnsi="Times New Roman" w:cs="Times New Roman"/>
          <w:bCs/>
        </w:rPr>
        <w:t>визуализация), които бенефициер</w:t>
      </w:r>
      <w:r w:rsidRPr="00040196">
        <w:rPr>
          <w:rFonts w:ascii="Times New Roman" w:hAnsi="Times New Roman" w:cs="Times New Roman"/>
          <w:bCs/>
        </w:rPr>
        <w:t xml:space="preserve">ите трябва да прилагат при изпълнение на проекти, финансирани от ЕСИФ, се съдържа в </w:t>
      </w:r>
      <w:r w:rsidR="002A7660" w:rsidRPr="00040196">
        <w:rPr>
          <w:rFonts w:ascii="Times New Roman" w:hAnsi="Times New Roman" w:cs="Times New Roman"/>
          <w:bCs/>
        </w:rPr>
        <w:t>„Единния наръчник на бенефициер</w:t>
      </w:r>
      <w:r w:rsidRPr="00040196">
        <w:rPr>
          <w:rFonts w:ascii="Times New Roman" w:hAnsi="Times New Roman" w:cs="Times New Roman"/>
          <w:bCs/>
        </w:rPr>
        <w:t>а за прилагане на правилата за информация и комуникация" 2014-2020, който може да бъде</w:t>
      </w:r>
      <w:r w:rsidR="000448AE" w:rsidRPr="00040196">
        <w:rPr>
          <w:rFonts w:ascii="Times New Roman" w:hAnsi="Times New Roman" w:cs="Times New Roman"/>
          <w:bCs/>
        </w:rPr>
        <w:t xml:space="preserve"> намерен на интернет страницата: </w:t>
      </w:r>
      <w:hyperlink r:id="rId16" w:history="1">
        <w:r w:rsidRPr="00040196">
          <w:rPr>
            <w:rStyle w:val="Hyperlink"/>
            <w:rFonts w:ascii="Times New Roman" w:hAnsi="Times New Roman" w:cs="Times New Roman"/>
            <w:bCs/>
            <w:i/>
          </w:rPr>
          <w:t>https://www.eufunds.bg/bg/taxonomy/term/609</w:t>
        </w:r>
      </w:hyperlink>
      <w:r w:rsidRPr="00040196">
        <w:rPr>
          <w:rFonts w:ascii="Times New Roman" w:hAnsi="Times New Roman" w:cs="Times New Roman"/>
          <w:bCs/>
          <w:u w:val="single"/>
        </w:rPr>
        <w:t>.</w:t>
      </w:r>
    </w:p>
    <w:p w14:paraId="62DF1987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bCs/>
        </w:rPr>
        <w:t>На същата страница могат да бъдат намерени и векторните варианти на логото на ПМДР.</w:t>
      </w:r>
    </w:p>
    <w:p w14:paraId="23E33E44" w14:textId="632B30FE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  <w:r w:rsidRPr="00040196"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inline distT="0" distB="0" distL="0" distR="0" wp14:anchorId="406CFCC7" wp14:editId="172AE1F5">
            <wp:extent cx="668020" cy="35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0196">
        <w:rPr>
          <w:rFonts w:ascii="Times New Roman" w:hAnsi="Times New Roman" w:cs="Times New Roman"/>
          <w:bCs/>
        </w:rPr>
        <w:t>Неспазването на правилата за информиране и публичност (визуализация) може да доведе до непризнаване на част или на цялата стойност на извършените по проекта разходи.</w:t>
      </w:r>
    </w:p>
    <w:p w14:paraId="5FD87198" w14:textId="77777777" w:rsidR="00737872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  <w:bCs/>
        </w:rPr>
      </w:pPr>
    </w:p>
    <w:p w14:paraId="0D8ACB95" w14:textId="77777777" w:rsidR="00737872" w:rsidRPr="00040196" w:rsidRDefault="00737872" w:rsidP="00974C7D">
      <w:pPr>
        <w:keepNext/>
        <w:keepLines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color w:val="5B9BD5"/>
        </w:rPr>
      </w:pPr>
      <w:bookmarkStart w:id="1" w:name="_Toc442274579"/>
      <w:bookmarkStart w:id="2" w:name="_Toc442348060"/>
      <w:r w:rsidRPr="00040196">
        <w:rPr>
          <w:rFonts w:ascii="Times New Roman" w:hAnsi="Times New Roman" w:cs="Times New Roman"/>
          <w:b/>
          <w:bCs/>
          <w:color w:val="5B9BD5"/>
        </w:rPr>
        <w:t>4. Приложения към Условията за изпълнение:</w:t>
      </w:r>
      <w:bookmarkEnd w:id="1"/>
      <w:bookmarkEnd w:id="2"/>
    </w:p>
    <w:p w14:paraId="034F4361" w14:textId="4F4DA910" w:rsidR="00AE7A10" w:rsidRPr="00040196" w:rsidRDefault="00737872" w:rsidP="00974C7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</w:t>
      </w:r>
      <w:r w:rsidR="004919CA" w:rsidRPr="00040196">
        <w:rPr>
          <w:rFonts w:ascii="Times New Roman" w:hAnsi="Times New Roman" w:cs="Times New Roman"/>
        </w:rPr>
        <w:t xml:space="preserve"> 14</w:t>
      </w:r>
      <w:r w:rsidRPr="00040196">
        <w:rPr>
          <w:rFonts w:ascii="Times New Roman" w:hAnsi="Times New Roman" w:cs="Times New Roman"/>
        </w:rPr>
        <w:t xml:space="preserve"> - Aдминистративен договор за </w:t>
      </w:r>
      <w:r w:rsidR="004919CA" w:rsidRPr="00040196">
        <w:rPr>
          <w:rFonts w:ascii="Times New Roman" w:hAnsi="Times New Roman" w:cs="Times New Roman"/>
        </w:rPr>
        <w:t xml:space="preserve">предоставяне на </w:t>
      </w:r>
      <w:r w:rsidRPr="00040196">
        <w:rPr>
          <w:rFonts w:ascii="Times New Roman" w:hAnsi="Times New Roman" w:cs="Times New Roman"/>
        </w:rPr>
        <w:t>безвъзмездна финансова помощ по Програма за морско дело и рибарство 2014</w:t>
      </w:r>
      <w:r w:rsidR="004919CA" w:rsidRPr="00040196">
        <w:rPr>
          <w:rFonts w:ascii="Times New Roman" w:hAnsi="Times New Roman" w:cs="Times New Roman"/>
        </w:rPr>
        <w:t>-</w:t>
      </w:r>
      <w:r w:rsidRPr="00040196">
        <w:rPr>
          <w:rFonts w:ascii="Times New Roman" w:hAnsi="Times New Roman" w:cs="Times New Roman"/>
        </w:rPr>
        <w:t>2020;</w:t>
      </w:r>
    </w:p>
    <w:p w14:paraId="722B4182" w14:textId="77777777" w:rsidR="00AE7A10" w:rsidRPr="00040196" w:rsidRDefault="00AE7A10" w:rsidP="00974C7D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u w:val="single"/>
        </w:rPr>
      </w:pPr>
      <w:r w:rsidRPr="00040196">
        <w:rPr>
          <w:rFonts w:ascii="Times New Roman" w:hAnsi="Times New Roman" w:cs="Times New Roman"/>
          <w:u w:val="single"/>
        </w:rPr>
        <w:t>Приложения към АДПБФП:</w:t>
      </w:r>
    </w:p>
    <w:p w14:paraId="4DA593B8" w14:textId="77777777" w:rsidR="00AE7A10" w:rsidRPr="00040196" w:rsidRDefault="00AE7A10" w:rsidP="00AE7A10">
      <w:pPr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2 - Таблица за одобрени инвестиционни разходи;</w:t>
      </w:r>
    </w:p>
    <w:p w14:paraId="11A8BDF1" w14:textId="24BB907E" w:rsidR="00AE7A10" w:rsidRPr="00040196" w:rsidRDefault="00AE7A10">
      <w:pPr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11 Декларация по чл. 25, ал. 2 </w:t>
      </w:r>
      <w:r w:rsidR="00E25CCD" w:rsidRPr="00040196">
        <w:rPr>
          <w:rFonts w:ascii="Times New Roman" w:hAnsi="Times New Roman" w:cs="Times New Roman"/>
        </w:rPr>
        <w:t xml:space="preserve">по ЗУСЕФСУ </w:t>
      </w:r>
      <w:r w:rsidRPr="00040196">
        <w:rPr>
          <w:rFonts w:ascii="Times New Roman" w:hAnsi="Times New Roman" w:cs="Times New Roman"/>
        </w:rPr>
        <w:t>и чл. 7 от ПМС № 162/2016 г.;</w:t>
      </w:r>
    </w:p>
    <w:p w14:paraId="5F7FE954" w14:textId="1D83C9E8" w:rsidR="00737872" w:rsidRPr="00040196" w:rsidRDefault="00737872" w:rsidP="00974C7D">
      <w:pPr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</w:t>
      </w:r>
      <w:r w:rsidR="004919CA" w:rsidRPr="00040196">
        <w:rPr>
          <w:rFonts w:ascii="Times New Roman" w:hAnsi="Times New Roman" w:cs="Times New Roman"/>
        </w:rPr>
        <w:t>15</w:t>
      </w:r>
      <w:r w:rsidRPr="00040196">
        <w:rPr>
          <w:rFonts w:ascii="Times New Roman" w:hAnsi="Times New Roman" w:cs="Times New Roman"/>
        </w:rPr>
        <w:t xml:space="preserve"> - Общи условия към финансираните по Програма за морско дело и рибарство</w:t>
      </w:r>
      <w:r w:rsidR="004919CA" w:rsidRPr="00040196">
        <w:rPr>
          <w:rFonts w:ascii="Times New Roman" w:hAnsi="Times New Roman" w:cs="Times New Roman"/>
        </w:rPr>
        <w:t xml:space="preserve"> </w:t>
      </w:r>
      <w:r w:rsidRPr="00040196">
        <w:rPr>
          <w:rFonts w:ascii="Times New Roman" w:hAnsi="Times New Roman" w:cs="Times New Roman"/>
        </w:rPr>
        <w:t>административни договори за предоставяне на безвъзмездна финансова помощ;</w:t>
      </w:r>
    </w:p>
    <w:p w14:paraId="76328676" w14:textId="611BFEBD" w:rsidR="004919CA" w:rsidRPr="00040196" w:rsidRDefault="004919CA" w:rsidP="00974C7D">
      <w:pPr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16 - Пакет декларации към АДПБФП (Декларация липса на нередности, подписана от кандидата към датата на сключване на договора; Декларация за липса на конфликт на интереси, подписана от кандитата към да</w:t>
      </w:r>
      <w:r w:rsidR="000254D8" w:rsidRPr="00040196">
        <w:rPr>
          <w:rFonts w:ascii="Times New Roman" w:hAnsi="Times New Roman" w:cs="Times New Roman"/>
        </w:rPr>
        <w:t>тата на сключване на договора</w:t>
      </w:r>
      <w:r w:rsidR="000254D8" w:rsidRPr="00040196">
        <w:rPr>
          <w:rFonts w:ascii="Times New Roman" w:hAnsi="Times New Roman" w:cs="Times New Roman"/>
          <w:lang w:val="en-US"/>
        </w:rPr>
        <w:t>;</w:t>
      </w:r>
      <w:r w:rsidRPr="00040196">
        <w:rPr>
          <w:rFonts w:ascii="Times New Roman" w:hAnsi="Times New Roman" w:cs="Times New Roman"/>
        </w:rPr>
        <w:t xml:space="preserve"> Декларация по чл. 10</w:t>
      </w:r>
      <w:r w:rsidR="009252B5">
        <w:rPr>
          <w:rFonts w:ascii="Times New Roman" w:hAnsi="Times New Roman" w:cs="Times New Roman"/>
        </w:rPr>
        <w:t>, параграф 5</w:t>
      </w:r>
      <w:r w:rsidRPr="00040196">
        <w:rPr>
          <w:rFonts w:ascii="Times New Roman" w:hAnsi="Times New Roman" w:cs="Times New Roman"/>
        </w:rPr>
        <w:t xml:space="preserve"> от Регламент (ЕС) № 508/2014 на европейския парламент и на съвета от 15 май 2014 година за Европейския фонд за морско дело и рибарство, подписана от кандитата към датата на сключване на договора; Декларация за свързаност по смисъла на § 1, т. 13 и т. 14 от допълнителните разпоредби на ЗППЦК, подписана от кандидата към датата на сключване на договора; Декларация за липса на промяна в обстоятелствата, декларирани при подаване на формуляр за кандидатстване) – подписано от лице с право да представлява кандидата</w:t>
      </w:r>
      <w:r w:rsidR="00217C48" w:rsidRPr="00040196">
        <w:rPr>
          <w:rFonts w:ascii="Times New Roman" w:hAnsi="Times New Roman" w:cs="Times New Roman"/>
        </w:rPr>
        <w:t>,</w:t>
      </w:r>
      <w:r w:rsidR="00C93A78" w:rsidRPr="00040196">
        <w:rPr>
          <w:rFonts w:ascii="Times New Roman" w:hAnsi="Times New Roman" w:cs="Times New Roman"/>
        </w:rPr>
        <w:t xml:space="preserve"> </w:t>
      </w:r>
      <w:r w:rsidR="00217C48" w:rsidRPr="00040196">
        <w:rPr>
          <w:rFonts w:ascii="Times New Roman" w:hAnsi="Times New Roman" w:cs="Times New Roman"/>
        </w:rPr>
        <w:t>Декларация по чл. 137 от Регламент (ЕС, Евратом) 2018/1046 на Европейския парламент и на Съвета от 18 юли 2018 година за финансовите правила, приложими за общия бюджет на Съюза,</w:t>
      </w:r>
      <w:r w:rsidRPr="00040196">
        <w:rPr>
          <w:rFonts w:ascii="Times New Roman" w:hAnsi="Times New Roman" w:cs="Times New Roman"/>
        </w:rPr>
        <w:t xml:space="preserve"> В случаите, когато бенефициерът се представлява само заедно от няколко физически лица, заявлението се попълва и подписва от всички от тях;</w:t>
      </w:r>
    </w:p>
    <w:p w14:paraId="7CF8CA3F" w14:textId="5CE14017" w:rsidR="004919CA" w:rsidRPr="00040196" w:rsidRDefault="004919CA" w:rsidP="00974C7D">
      <w:pPr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17 - Методика за определяне размера на финансовите корекции по проекти, финансирани от ПМДР;</w:t>
      </w:r>
    </w:p>
    <w:p w14:paraId="0F7D8197" w14:textId="2838F7FF" w:rsidR="004919CA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18 Пакет декларации към Условията за изпълнение 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 парламент; Декларация 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ЗППЦК).</w:t>
      </w:r>
    </w:p>
    <w:p w14:paraId="4154DD10" w14:textId="4AD83CB1" w:rsidR="00C42620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19 - Декларация за втора употреба;</w:t>
      </w:r>
    </w:p>
    <w:p w14:paraId="4C62E9B4" w14:textId="6EE74320" w:rsidR="00C42620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20 - Декларация за упражняване правото на данъчен кредит;</w:t>
      </w:r>
    </w:p>
    <w:p w14:paraId="7B84F490" w14:textId="76C4A693" w:rsidR="00737872" w:rsidRPr="00040196" w:rsidRDefault="00737872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</w:t>
      </w:r>
      <w:r w:rsidR="00C42620" w:rsidRPr="00040196">
        <w:rPr>
          <w:rFonts w:ascii="Times New Roman" w:hAnsi="Times New Roman" w:cs="Times New Roman"/>
        </w:rPr>
        <w:t>2</w:t>
      </w:r>
      <w:r w:rsidRPr="00040196">
        <w:rPr>
          <w:rFonts w:ascii="Times New Roman" w:hAnsi="Times New Roman" w:cs="Times New Roman"/>
        </w:rPr>
        <w:t>1 - Заявление за профил за дост</w:t>
      </w:r>
      <w:r w:rsidR="008B7983" w:rsidRPr="00040196">
        <w:rPr>
          <w:rFonts w:ascii="Times New Roman" w:hAnsi="Times New Roman" w:cs="Times New Roman"/>
        </w:rPr>
        <w:t>ъп на ръководител на бенефициер</w:t>
      </w:r>
      <w:r w:rsidRPr="00040196">
        <w:rPr>
          <w:rFonts w:ascii="Times New Roman" w:hAnsi="Times New Roman" w:cs="Times New Roman"/>
        </w:rPr>
        <w:t>а до ИСУН 2020;</w:t>
      </w:r>
    </w:p>
    <w:p w14:paraId="36A73957" w14:textId="7137571A" w:rsidR="00737872" w:rsidRPr="00040196" w:rsidRDefault="00737872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</w:t>
      </w:r>
      <w:r w:rsidR="00C42620" w:rsidRPr="00040196">
        <w:rPr>
          <w:rFonts w:ascii="Times New Roman" w:hAnsi="Times New Roman" w:cs="Times New Roman"/>
        </w:rPr>
        <w:t>2</w:t>
      </w:r>
      <w:r w:rsidRPr="00040196">
        <w:rPr>
          <w:rFonts w:ascii="Times New Roman" w:hAnsi="Times New Roman" w:cs="Times New Roman"/>
        </w:rPr>
        <w:t>2 - Заявление за профил за достъ</w:t>
      </w:r>
      <w:r w:rsidR="008B7983" w:rsidRPr="00040196">
        <w:rPr>
          <w:rFonts w:ascii="Times New Roman" w:hAnsi="Times New Roman" w:cs="Times New Roman"/>
        </w:rPr>
        <w:t>п на упълномощени от бенефициер</w:t>
      </w:r>
      <w:r w:rsidRPr="00040196">
        <w:rPr>
          <w:rFonts w:ascii="Times New Roman" w:hAnsi="Times New Roman" w:cs="Times New Roman"/>
        </w:rPr>
        <w:t>а лица до ИСУН 2020;</w:t>
      </w:r>
    </w:p>
    <w:p w14:paraId="7E02F57E" w14:textId="41A7A151" w:rsidR="00C42620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23 - Образец на банкова гаранция;</w:t>
      </w:r>
    </w:p>
    <w:p w14:paraId="1ED33499" w14:textId="67810108" w:rsidR="00C42620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24 - Образец на Запис на заповед</w:t>
      </w:r>
      <w:r w:rsidR="00EA27EA">
        <w:rPr>
          <w:rFonts w:ascii="Times New Roman" w:hAnsi="Times New Roman" w:cs="Times New Roman"/>
        </w:rPr>
        <w:t>;</w:t>
      </w:r>
    </w:p>
    <w:p w14:paraId="484F905A" w14:textId="4A238D85" w:rsidR="00737872" w:rsidRPr="00040196" w:rsidRDefault="00737872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</w:t>
      </w:r>
      <w:r w:rsidR="00C42620" w:rsidRPr="00040196">
        <w:rPr>
          <w:rFonts w:ascii="Times New Roman" w:hAnsi="Times New Roman" w:cs="Times New Roman"/>
        </w:rPr>
        <w:t>25</w:t>
      </w:r>
      <w:r w:rsidRPr="00040196">
        <w:rPr>
          <w:rFonts w:ascii="Times New Roman" w:hAnsi="Times New Roman" w:cs="Times New Roman"/>
        </w:rPr>
        <w:t xml:space="preserve"> - Списък с изискуеми документи към Искане за авансово плащане;</w:t>
      </w:r>
    </w:p>
    <w:p w14:paraId="2F61AD0E" w14:textId="50F8FC96" w:rsidR="00737872" w:rsidRPr="00040196" w:rsidRDefault="00737872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lastRenderedPageBreak/>
        <w:t xml:space="preserve">Приложение № </w:t>
      </w:r>
      <w:r w:rsidR="00C42620" w:rsidRPr="00040196">
        <w:rPr>
          <w:rFonts w:ascii="Times New Roman" w:hAnsi="Times New Roman" w:cs="Times New Roman"/>
        </w:rPr>
        <w:t>26</w:t>
      </w:r>
      <w:r w:rsidRPr="00040196">
        <w:rPr>
          <w:rFonts w:ascii="Times New Roman" w:hAnsi="Times New Roman" w:cs="Times New Roman"/>
        </w:rPr>
        <w:t xml:space="preserve"> - Списък с изискуеми документи към Искане за междинно/окончателно плащане;</w:t>
      </w:r>
    </w:p>
    <w:p w14:paraId="5138BC30" w14:textId="543F6F2A" w:rsidR="00737872" w:rsidRPr="00040196" w:rsidRDefault="00737872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 xml:space="preserve">Приложение № </w:t>
      </w:r>
      <w:r w:rsidR="00C42620" w:rsidRPr="00040196">
        <w:rPr>
          <w:rFonts w:ascii="Times New Roman" w:hAnsi="Times New Roman" w:cs="Times New Roman"/>
        </w:rPr>
        <w:t>27</w:t>
      </w:r>
      <w:r w:rsidRPr="00040196">
        <w:rPr>
          <w:rFonts w:ascii="Times New Roman" w:hAnsi="Times New Roman" w:cs="Times New Roman"/>
        </w:rPr>
        <w:t xml:space="preserve"> - Документи за осъществяване на последващ контрол </w:t>
      </w:r>
      <w:r w:rsidR="00112254" w:rsidRPr="00040196">
        <w:rPr>
          <w:rFonts w:ascii="Times New Roman" w:hAnsi="Times New Roman" w:cs="Times New Roman"/>
        </w:rPr>
        <w:t xml:space="preserve">за законосъобразност </w:t>
      </w:r>
      <w:r w:rsidRPr="00040196">
        <w:rPr>
          <w:rFonts w:ascii="Times New Roman" w:hAnsi="Times New Roman" w:cs="Times New Roman"/>
        </w:rPr>
        <w:t xml:space="preserve">на проведена процедура „Избор с публична покана“ по чл. 50, ал. 1 от </w:t>
      </w:r>
      <w:r w:rsidR="00AC3D4F" w:rsidRPr="00040196">
        <w:rPr>
          <w:rFonts w:ascii="Times New Roman" w:hAnsi="Times New Roman" w:cs="Times New Roman"/>
        </w:rPr>
        <w:t>ЗУСЕФСУ</w:t>
      </w:r>
      <w:r w:rsidRPr="00040196">
        <w:rPr>
          <w:rFonts w:ascii="Times New Roman" w:hAnsi="Times New Roman" w:cs="Times New Roman"/>
        </w:rPr>
        <w:t xml:space="preserve"> и ПМС № 160/01.07.2016 г.</w:t>
      </w:r>
      <w:r w:rsidR="00EA27EA">
        <w:rPr>
          <w:rFonts w:ascii="Times New Roman" w:hAnsi="Times New Roman" w:cs="Times New Roman"/>
        </w:rPr>
        <w:t>;</w:t>
      </w:r>
    </w:p>
    <w:p w14:paraId="13563266" w14:textId="240FBAE2" w:rsidR="00C42620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28 - Указания за прилагане на ПМС 160/2016 г.;</w:t>
      </w:r>
    </w:p>
    <w:p w14:paraId="73301AD9" w14:textId="11416F24" w:rsidR="00482C33" w:rsidRPr="00040196" w:rsidRDefault="00C42620" w:rsidP="009252B5">
      <w:pPr>
        <w:spacing w:before="120" w:after="120" w:line="240" w:lineRule="auto"/>
        <w:ind w:left="993"/>
        <w:jc w:val="both"/>
        <w:rPr>
          <w:rFonts w:ascii="Times New Roman" w:hAnsi="Times New Roman" w:cs="Times New Roman"/>
        </w:rPr>
      </w:pPr>
      <w:r w:rsidRPr="00040196">
        <w:rPr>
          <w:rFonts w:ascii="Times New Roman" w:hAnsi="Times New Roman" w:cs="Times New Roman"/>
        </w:rPr>
        <w:t>Приложение № 29 - Указания за регламентиране и отчитане на възнагражденията на екипите за изпълнение на проекти.</w:t>
      </w:r>
    </w:p>
    <w:sectPr w:rsidR="00482C33" w:rsidRPr="00040196" w:rsidSect="007D42E3">
      <w:footerReference w:type="default" r:id="rId17"/>
      <w:headerReference w:type="first" r:id="rId18"/>
      <w:pgSz w:w="12240" w:h="15840"/>
      <w:pgMar w:top="1276" w:right="1183" w:bottom="1135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5F3ED" w14:textId="77777777" w:rsidR="00402DF1" w:rsidRDefault="00402DF1" w:rsidP="00BE1440">
      <w:pPr>
        <w:spacing w:after="0" w:line="240" w:lineRule="auto"/>
      </w:pPr>
      <w:r>
        <w:separator/>
      </w:r>
    </w:p>
  </w:endnote>
  <w:endnote w:type="continuationSeparator" w:id="0">
    <w:p w14:paraId="428C99F5" w14:textId="77777777" w:rsidR="00402DF1" w:rsidRDefault="00402DF1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4367112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38493172"/>
          <w:docPartObj>
            <w:docPartGallery w:val="Page Numbers (Top of Page)"/>
            <w:docPartUnique/>
          </w:docPartObj>
        </w:sdtPr>
        <w:sdtEndPr/>
        <w:sdtContent>
          <w:p w14:paraId="0384A8FF" w14:textId="63E54D08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E16F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13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E16F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13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1B7C2" w14:textId="77777777" w:rsidR="00402DF1" w:rsidRDefault="00402DF1" w:rsidP="00BE1440">
      <w:pPr>
        <w:spacing w:after="0" w:line="240" w:lineRule="auto"/>
      </w:pPr>
      <w:r>
        <w:separator/>
      </w:r>
    </w:p>
  </w:footnote>
  <w:footnote w:type="continuationSeparator" w:id="0">
    <w:p w14:paraId="3DE302D0" w14:textId="77777777" w:rsidR="00402DF1" w:rsidRDefault="00402DF1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829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98"/>
      <w:gridCol w:w="3161"/>
      <w:gridCol w:w="2238"/>
    </w:tblGrid>
    <w:tr w:rsidR="00AA7374" w:rsidRPr="00AA7374" w14:paraId="36C3DA05" w14:textId="77777777" w:rsidTr="003F2646">
      <w:trPr>
        <w:jc w:val="center"/>
      </w:trPr>
      <w:tc>
        <w:tcPr>
          <w:tcW w:w="3069" w:type="dxa"/>
        </w:tcPr>
        <w:p w14:paraId="0BBF2B9F" w14:textId="77777777" w:rsidR="00AA7374" w:rsidRPr="00AA7374" w:rsidRDefault="00AA7374" w:rsidP="00AA7374">
          <w:pPr>
            <w:jc w:val="center"/>
          </w:pPr>
          <w:r w:rsidRPr="00AA7374">
            <w:rPr>
              <w:lang w:val="en-US"/>
            </w:rPr>
            <w:drawing>
              <wp:inline distT="0" distB="0" distL="0" distR="0" wp14:anchorId="128FB3E8" wp14:editId="2DF5922A">
                <wp:extent cx="1041621" cy="720454"/>
                <wp:effectExtent l="0" t="0" r="6350" b="381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9812" cy="7192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FF9325E" w14:textId="77777777" w:rsidR="00AA7374" w:rsidRPr="00AA7374" w:rsidRDefault="00AA7374" w:rsidP="00AA7374">
          <w:pPr>
            <w:jc w:val="center"/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</w:pPr>
          <w:r w:rsidRPr="00AA7374">
            <w:rPr>
              <w:rFonts w:ascii="Candara" w:hAnsi="Candara" w:cs="Candara"/>
              <w:b/>
              <w:bCs/>
              <w:kern w:val="24"/>
              <w:sz w:val="16"/>
              <w:szCs w:val="16"/>
              <w:lang w:val="ru-RU"/>
            </w:rPr>
            <w:t>ЕВРОПЕЙСКИ СЪЮЗ</w:t>
          </w:r>
        </w:p>
        <w:p w14:paraId="560E12E5" w14:textId="77777777" w:rsidR="00AA7374" w:rsidRPr="00AA7374" w:rsidRDefault="00AA7374" w:rsidP="00AA7374">
          <w:pPr>
            <w:jc w:val="center"/>
            <w:rPr>
              <w:rFonts w:ascii="Candara" w:hAnsi="Candara" w:cs="Candara"/>
              <w:kern w:val="24"/>
              <w:sz w:val="16"/>
              <w:szCs w:val="16"/>
              <w:lang w:val="ru-RU"/>
            </w:rPr>
          </w:pPr>
          <w:r w:rsidRPr="00AA7374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ЕВРОПЕЙСКИ ФОНД ЗА</w:t>
          </w:r>
        </w:p>
        <w:p w14:paraId="74F7D0D3" w14:textId="77777777" w:rsidR="00AA7374" w:rsidRPr="00AA7374" w:rsidRDefault="00AA7374" w:rsidP="00AA7374">
          <w:pPr>
            <w:jc w:val="center"/>
          </w:pPr>
          <w:r w:rsidRPr="00AA7374">
            <w:rPr>
              <w:rFonts w:ascii="Candara" w:hAnsi="Candara" w:cs="Candara"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240" w:type="dxa"/>
        </w:tcPr>
        <w:p w14:paraId="62133599" w14:textId="77777777" w:rsidR="00AA7374" w:rsidRPr="00AA7374" w:rsidRDefault="00AA7374" w:rsidP="00AA7374">
          <w:pPr>
            <w:jc w:val="center"/>
          </w:pPr>
          <w:r w:rsidRPr="00AA7374">
            <w:rPr>
              <w:lang w:val="en-US"/>
            </w:rPr>
            <w:drawing>
              <wp:inline distT="0" distB="0" distL="0" distR="0" wp14:anchorId="40F528A7" wp14:editId="18256EE1">
                <wp:extent cx="1566407" cy="849064"/>
                <wp:effectExtent l="0" t="0" r="0" b="8255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0271" cy="8511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5FC0DAB" w14:textId="77777777" w:rsidR="00AA7374" w:rsidRPr="00AA7374" w:rsidRDefault="00AA7374" w:rsidP="00AA7374">
          <w:pPr>
            <w:spacing w:line="259" w:lineRule="auto"/>
            <w:jc w:val="center"/>
            <w:textAlignment w:val="baseline"/>
            <w:rPr>
              <w:rFonts w:ascii="Calibri" w:eastAsia="Calibri" w:hAnsi="Calibri" w:cs="Calibri"/>
              <w:noProof w:val="0"/>
              <w:sz w:val="16"/>
              <w:szCs w:val="16"/>
            </w:rPr>
          </w:pPr>
          <w:r w:rsidRPr="00AA7374">
            <w:rPr>
              <w:rFonts w:ascii="Candara" w:eastAsia="Calibri" w:hAnsi="Candara" w:cs="Candara"/>
              <w:noProof w:val="0"/>
              <w:color w:val="000000"/>
              <w:kern w:val="24"/>
              <w:sz w:val="16"/>
              <w:szCs w:val="16"/>
            </w:rPr>
            <w:t>МИНИСТЕРСТВО НА ЗЕМЕДЕЛИЕТО</w:t>
          </w:r>
          <w:r w:rsidRPr="00AA7374">
            <w:rPr>
              <w:rFonts w:ascii="Candara" w:eastAsia="Calibri" w:hAnsi="Candara" w:cs="Candara"/>
              <w:noProof w:val="0"/>
              <w:color w:val="000000"/>
              <w:kern w:val="24"/>
              <w:sz w:val="16"/>
              <w:szCs w:val="16"/>
              <w:lang w:val="en-US"/>
            </w:rPr>
            <w:t xml:space="preserve"> </w:t>
          </w:r>
          <w:r w:rsidRPr="00AA7374">
            <w:rPr>
              <w:rFonts w:ascii="Candara" w:eastAsia="Calibri" w:hAnsi="Candara" w:cs="Candara"/>
              <w:noProof w:val="0"/>
              <w:color w:val="000000"/>
              <w:kern w:val="24"/>
              <w:sz w:val="16"/>
              <w:szCs w:val="16"/>
            </w:rPr>
            <w:t>И ХРАНИТЕ</w:t>
          </w:r>
        </w:p>
      </w:tc>
      <w:tc>
        <w:tcPr>
          <w:tcW w:w="1988" w:type="dxa"/>
        </w:tcPr>
        <w:p w14:paraId="01A51FDC" w14:textId="77777777" w:rsidR="00AA7374" w:rsidRPr="00AA7374" w:rsidRDefault="00AA7374" w:rsidP="00AA7374">
          <w:pPr>
            <w:jc w:val="center"/>
            <w:rPr>
              <w:rFonts w:ascii="Arial" w:hAnsi="Arial" w:cs="Arial"/>
            </w:rPr>
          </w:pPr>
          <w:r w:rsidRPr="00AA7374">
            <w:rPr>
              <w:rFonts w:ascii="Arial" w:hAnsi="Arial" w:cs="Arial"/>
              <w:lang w:val="en-US"/>
            </w:rPr>
            <w:drawing>
              <wp:inline distT="0" distB="0" distL="0" distR="0" wp14:anchorId="6F1B69E7" wp14:editId="09BABDA7">
                <wp:extent cx="1284263" cy="1160891"/>
                <wp:effectExtent l="0" t="0" r="0" b="127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051" cy="116160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3F7600EE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0595A"/>
    <w:multiLevelType w:val="hybridMultilevel"/>
    <w:tmpl w:val="C1B826FA"/>
    <w:lvl w:ilvl="0" w:tplc="65E224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E0253"/>
    <w:multiLevelType w:val="hybridMultilevel"/>
    <w:tmpl w:val="DFB840EA"/>
    <w:lvl w:ilvl="0" w:tplc="514899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2683756"/>
    <w:multiLevelType w:val="hybridMultilevel"/>
    <w:tmpl w:val="6C520558"/>
    <w:lvl w:ilvl="0" w:tplc="11ECDD54">
      <w:numFmt w:val="bullet"/>
      <w:lvlText w:val="-"/>
      <w:lvlJc w:val="left"/>
      <w:pPr>
        <w:ind w:left="12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79A511D6"/>
    <w:multiLevelType w:val="hybridMultilevel"/>
    <w:tmpl w:val="108668EA"/>
    <w:lvl w:ilvl="0" w:tplc="E7F8A04C">
      <w:numFmt w:val="bullet"/>
      <w:lvlText w:val="-"/>
      <w:lvlJc w:val="left"/>
      <w:pPr>
        <w:ind w:left="12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15FE"/>
    <w:rsid w:val="00004BE8"/>
    <w:rsid w:val="000051BB"/>
    <w:rsid w:val="00020B63"/>
    <w:rsid w:val="000229C0"/>
    <w:rsid w:val="000254D8"/>
    <w:rsid w:val="00031888"/>
    <w:rsid w:val="00035081"/>
    <w:rsid w:val="000355CB"/>
    <w:rsid w:val="00040196"/>
    <w:rsid w:val="000448AE"/>
    <w:rsid w:val="000508AF"/>
    <w:rsid w:val="0005199E"/>
    <w:rsid w:val="00054D39"/>
    <w:rsid w:val="00055ACE"/>
    <w:rsid w:val="00081238"/>
    <w:rsid w:val="0008198B"/>
    <w:rsid w:val="00084A4D"/>
    <w:rsid w:val="000B597B"/>
    <w:rsid w:val="000B648A"/>
    <w:rsid w:val="000C6D46"/>
    <w:rsid w:val="000E0D7B"/>
    <w:rsid w:val="000E719C"/>
    <w:rsid w:val="000E72F6"/>
    <w:rsid w:val="00106AA2"/>
    <w:rsid w:val="00112254"/>
    <w:rsid w:val="001124D7"/>
    <w:rsid w:val="001169D6"/>
    <w:rsid w:val="00121675"/>
    <w:rsid w:val="001257B8"/>
    <w:rsid w:val="00126D29"/>
    <w:rsid w:val="0013464E"/>
    <w:rsid w:val="001366D8"/>
    <w:rsid w:val="0014282C"/>
    <w:rsid w:val="00150B86"/>
    <w:rsid w:val="00152FCE"/>
    <w:rsid w:val="00157289"/>
    <w:rsid w:val="001669A6"/>
    <w:rsid w:val="00171577"/>
    <w:rsid w:val="001778CB"/>
    <w:rsid w:val="0018161B"/>
    <w:rsid w:val="00183EAB"/>
    <w:rsid w:val="001922EC"/>
    <w:rsid w:val="001941F2"/>
    <w:rsid w:val="00195049"/>
    <w:rsid w:val="001C1D9B"/>
    <w:rsid w:val="001C4690"/>
    <w:rsid w:val="001E4E80"/>
    <w:rsid w:val="00207619"/>
    <w:rsid w:val="00207AB7"/>
    <w:rsid w:val="00213E5F"/>
    <w:rsid w:val="00214AB7"/>
    <w:rsid w:val="00217993"/>
    <w:rsid w:val="00217C48"/>
    <w:rsid w:val="00231200"/>
    <w:rsid w:val="00236F07"/>
    <w:rsid w:val="002413EB"/>
    <w:rsid w:val="00251B7A"/>
    <w:rsid w:val="0025284B"/>
    <w:rsid w:val="00265587"/>
    <w:rsid w:val="00284EE5"/>
    <w:rsid w:val="00287B18"/>
    <w:rsid w:val="00291D32"/>
    <w:rsid w:val="00295FCA"/>
    <w:rsid w:val="002A175F"/>
    <w:rsid w:val="002A35E0"/>
    <w:rsid w:val="002A648C"/>
    <w:rsid w:val="002A7660"/>
    <w:rsid w:val="002B5F72"/>
    <w:rsid w:val="002C3632"/>
    <w:rsid w:val="002E19C7"/>
    <w:rsid w:val="002F410B"/>
    <w:rsid w:val="002F4123"/>
    <w:rsid w:val="00306C19"/>
    <w:rsid w:val="003255D6"/>
    <w:rsid w:val="003426A7"/>
    <w:rsid w:val="0034633B"/>
    <w:rsid w:val="00353194"/>
    <w:rsid w:val="003567A6"/>
    <w:rsid w:val="0036363A"/>
    <w:rsid w:val="00370D87"/>
    <w:rsid w:val="003827C4"/>
    <w:rsid w:val="00391FD0"/>
    <w:rsid w:val="00393454"/>
    <w:rsid w:val="00396A57"/>
    <w:rsid w:val="003B70AA"/>
    <w:rsid w:val="003C0E6A"/>
    <w:rsid w:val="003C150F"/>
    <w:rsid w:val="003D172B"/>
    <w:rsid w:val="003D3A1A"/>
    <w:rsid w:val="003D6A4D"/>
    <w:rsid w:val="003E0AFB"/>
    <w:rsid w:val="003E7688"/>
    <w:rsid w:val="003F015C"/>
    <w:rsid w:val="003F22CF"/>
    <w:rsid w:val="00402DF1"/>
    <w:rsid w:val="00403FD5"/>
    <w:rsid w:val="00404AAD"/>
    <w:rsid w:val="0040774C"/>
    <w:rsid w:val="0041727E"/>
    <w:rsid w:val="004241CF"/>
    <w:rsid w:val="00433F15"/>
    <w:rsid w:val="004673D8"/>
    <w:rsid w:val="0047002F"/>
    <w:rsid w:val="00471E98"/>
    <w:rsid w:val="0047509F"/>
    <w:rsid w:val="0047780F"/>
    <w:rsid w:val="00482C33"/>
    <w:rsid w:val="004872FC"/>
    <w:rsid w:val="004919CA"/>
    <w:rsid w:val="00493522"/>
    <w:rsid w:val="00493C00"/>
    <w:rsid w:val="00494690"/>
    <w:rsid w:val="004B0FC0"/>
    <w:rsid w:val="004B3B8D"/>
    <w:rsid w:val="004C0884"/>
    <w:rsid w:val="004D0012"/>
    <w:rsid w:val="004D1773"/>
    <w:rsid w:val="004E0512"/>
    <w:rsid w:val="004F4FB8"/>
    <w:rsid w:val="005158AC"/>
    <w:rsid w:val="00515AE6"/>
    <w:rsid w:val="00536F07"/>
    <w:rsid w:val="005370FA"/>
    <w:rsid w:val="00540097"/>
    <w:rsid w:val="0054119A"/>
    <w:rsid w:val="005422A6"/>
    <w:rsid w:val="0054361C"/>
    <w:rsid w:val="00544EC2"/>
    <w:rsid w:val="00582F1D"/>
    <w:rsid w:val="00583D2C"/>
    <w:rsid w:val="005A6F7D"/>
    <w:rsid w:val="005B5793"/>
    <w:rsid w:val="005E326A"/>
    <w:rsid w:val="005F16AB"/>
    <w:rsid w:val="00605FC7"/>
    <w:rsid w:val="006121B2"/>
    <w:rsid w:val="00613FE1"/>
    <w:rsid w:val="006247BE"/>
    <w:rsid w:val="006406EB"/>
    <w:rsid w:val="0065301A"/>
    <w:rsid w:val="0065586C"/>
    <w:rsid w:val="00660DD3"/>
    <w:rsid w:val="0067406C"/>
    <w:rsid w:val="0067522C"/>
    <w:rsid w:val="006758A3"/>
    <w:rsid w:val="006804D7"/>
    <w:rsid w:val="0068418C"/>
    <w:rsid w:val="006862A9"/>
    <w:rsid w:val="006938EC"/>
    <w:rsid w:val="006A2A2E"/>
    <w:rsid w:val="006A7BDE"/>
    <w:rsid w:val="006A7FA2"/>
    <w:rsid w:val="006D58D4"/>
    <w:rsid w:val="006E5E1F"/>
    <w:rsid w:val="006F1CD0"/>
    <w:rsid w:val="00716F01"/>
    <w:rsid w:val="00725950"/>
    <w:rsid w:val="00731808"/>
    <w:rsid w:val="00737872"/>
    <w:rsid w:val="00737B32"/>
    <w:rsid w:val="00747BCF"/>
    <w:rsid w:val="00781B16"/>
    <w:rsid w:val="007A06F5"/>
    <w:rsid w:val="007A4097"/>
    <w:rsid w:val="007B7BB7"/>
    <w:rsid w:val="007D42E3"/>
    <w:rsid w:val="007E5400"/>
    <w:rsid w:val="007F03C4"/>
    <w:rsid w:val="007F70A0"/>
    <w:rsid w:val="00807B8F"/>
    <w:rsid w:val="00823030"/>
    <w:rsid w:val="00850BA4"/>
    <w:rsid w:val="00851A0D"/>
    <w:rsid w:val="008661BB"/>
    <w:rsid w:val="00866B44"/>
    <w:rsid w:val="00866FF3"/>
    <w:rsid w:val="00867D16"/>
    <w:rsid w:val="008853D1"/>
    <w:rsid w:val="00886C84"/>
    <w:rsid w:val="00895422"/>
    <w:rsid w:val="008A1A07"/>
    <w:rsid w:val="008B175D"/>
    <w:rsid w:val="008B3A0F"/>
    <w:rsid w:val="008B7983"/>
    <w:rsid w:val="008C5380"/>
    <w:rsid w:val="008D680F"/>
    <w:rsid w:val="008E16FA"/>
    <w:rsid w:val="008E6BC7"/>
    <w:rsid w:val="008F36AA"/>
    <w:rsid w:val="008F62E7"/>
    <w:rsid w:val="00913573"/>
    <w:rsid w:val="00920654"/>
    <w:rsid w:val="00921927"/>
    <w:rsid w:val="009252B5"/>
    <w:rsid w:val="0094028D"/>
    <w:rsid w:val="009556C3"/>
    <w:rsid w:val="00956394"/>
    <w:rsid w:val="009601E9"/>
    <w:rsid w:val="00974C7D"/>
    <w:rsid w:val="009809B4"/>
    <w:rsid w:val="009B3B4C"/>
    <w:rsid w:val="009C6819"/>
    <w:rsid w:val="009D0D08"/>
    <w:rsid w:val="009D57DF"/>
    <w:rsid w:val="009E3C67"/>
    <w:rsid w:val="009E666F"/>
    <w:rsid w:val="009F11B2"/>
    <w:rsid w:val="00A23C55"/>
    <w:rsid w:val="00A33C26"/>
    <w:rsid w:val="00A3480C"/>
    <w:rsid w:val="00A466E7"/>
    <w:rsid w:val="00A523D3"/>
    <w:rsid w:val="00A61410"/>
    <w:rsid w:val="00A65096"/>
    <w:rsid w:val="00A75130"/>
    <w:rsid w:val="00A76BD6"/>
    <w:rsid w:val="00A93052"/>
    <w:rsid w:val="00A97BA2"/>
    <w:rsid w:val="00AA22E4"/>
    <w:rsid w:val="00AA7374"/>
    <w:rsid w:val="00AB0250"/>
    <w:rsid w:val="00AB235D"/>
    <w:rsid w:val="00AB4F8F"/>
    <w:rsid w:val="00AB543F"/>
    <w:rsid w:val="00AC2460"/>
    <w:rsid w:val="00AC3D4F"/>
    <w:rsid w:val="00AD1C42"/>
    <w:rsid w:val="00AD6391"/>
    <w:rsid w:val="00AD6C09"/>
    <w:rsid w:val="00AE028C"/>
    <w:rsid w:val="00AE7A10"/>
    <w:rsid w:val="00AF0685"/>
    <w:rsid w:val="00B061F4"/>
    <w:rsid w:val="00B125E2"/>
    <w:rsid w:val="00B2600A"/>
    <w:rsid w:val="00B33385"/>
    <w:rsid w:val="00B42A43"/>
    <w:rsid w:val="00B42F2F"/>
    <w:rsid w:val="00B439BD"/>
    <w:rsid w:val="00B6115D"/>
    <w:rsid w:val="00B76895"/>
    <w:rsid w:val="00B83EF6"/>
    <w:rsid w:val="00B853E0"/>
    <w:rsid w:val="00B85B16"/>
    <w:rsid w:val="00BC1887"/>
    <w:rsid w:val="00BC1DE6"/>
    <w:rsid w:val="00BC69DE"/>
    <w:rsid w:val="00BD30F2"/>
    <w:rsid w:val="00BE1440"/>
    <w:rsid w:val="00BE3174"/>
    <w:rsid w:val="00BE78A9"/>
    <w:rsid w:val="00BF0ABD"/>
    <w:rsid w:val="00BF3F1D"/>
    <w:rsid w:val="00C00585"/>
    <w:rsid w:val="00C06848"/>
    <w:rsid w:val="00C2560D"/>
    <w:rsid w:val="00C329DC"/>
    <w:rsid w:val="00C358EA"/>
    <w:rsid w:val="00C42620"/>
    <w:rsid w:val="00C50E2A"/>
    <w:rsid w:val="00C520AE"/>
    <w:rsid w:val="00C626B3"/>
    <w:rsid w:val="00C7211D"/>
    <w:rsid w:val="00C8194A"/>
    <w:rsid w:val="00C83712"/>
    <w:rsid w:val="00C91022"/>
    <w:rsid w:val="00C93A78"/>
    <w:rsid w:val="00C95187"/>
    <w:rsid w:val="00C95C85"/>
    <w:rsid w:val="00C95F7D"/>
    <w:rsid w:val="00CA7CA0"/>
    <w:rsid w:val="00CB0AAD"/>
    <w:rsid w:val="00CB5A2B"/>
    <w:rsid w:val="00CC7FEF"/>
    <w:rsid w:val="00CD3722"/>
    <w:rsid w:val="00CE3E57"/>
    <w:rsid w:val="00CF185F"/>
    <w:rsid w:val="00D01147"/>
    <w:rsid w:val="00D1663C"/>
    <w:rsid w:val="00D868C5"/>
    <w:rsid w:val="00DA1EE5"/>
    <w:rsid w:val="00DA23A1"/>
    <w:rsid w:val="00DA5150"/>
    <w:rsid w:val="00DA5963"/>
    <w:rsid w:val="00DC3A13"/>
    <w:rsid w:val="00DC52AE"/>
    <w:rsid w:val="00DD489F"/>
    <w:rsid w:val="00DD7B5F"/>
    <w:rsid w:val="00DF7F77"/>
    <w:rsid w:val="00E06D33"/>
    <w:rsid w:val="00E25CCD"/>
    <w:rsid w:val="00E33422"/>
    <w:rsid w:val="00E336D4"/>
    <w:rsid w:val="00E3457D"/>
    <w:rsid w:val="00E34E97"/>
    <w:rsid w:val="00E36734"/>
    <w:rsid w:val="00E40087"/>
    <w:rsid w:val="00E4176B"/>
    <w:rsid w:val="00E458C6"/>
    <w:rsid w:val="00E62A3E"/>
    <w:rsid w:val="00E62B11"/>
    <w:rsid w:val="00E73210"/>
    <w:rsid w:val="00E80D2B"/>
    <w:rsid w:val="00E84813"/>
    <w:rsid w:val="00E92704"/>
    <w:rsid w:val="00E96631"/>
    <w:rsid w:val="00E96916"/>
    <w:rsid w:val="00EA27EA"/>
    <w:rsid w:val="00EA4830"/>
    <w:rsid w:val="00EB1E14"/>
    <w:rsid w:val="00ED764F"/>
    <w:rsid w:val="00EE36B5"/>
    <w:rsid w:val="00EE64DB"/>
    <w:rsid w:val="00F04B88"/>
    <w:rsid w:val="00F36118"/>
    <w:rsid w:val="00F41FFC"/>
    <w:rsid w:val="00F44E5A"/>
    <w:rsid w:val="00F51E67"/>
    <w:rsid w:val="00F5416D"/>
    <w:rsid w:val="00F56CCF"/>
    <w:rsid w:val="00F63EAA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AA7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AA7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ufunds.bg/bg/pmdr/node/531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ufunds.bg/bg/taxonomy/term/60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ufunds.bg/bg/pmdr/node/5279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DE0AE-362D-49A2-BB21-EE1AE077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5341</Words>
  <Characters>30445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Zhasmina Avramova</cp:lastModifiedBy>
  <cp:revision>23</cp:revision>
  <cp:lastPrinted>2021-01-20T10:25:00Z</cp:lastPrinted>
  <dcterms:created xsi:type="dcterms:W3CDTF">2023-08-23T07:32:00Z</dcterms:created>
  <dcterms:modified xsi:type="dcterms:W3CDTF">2023-08-28T07:49:00Z</dcterms:modified>
</cp:coreProperties>
</file>