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6C1" w:rsidRPr="00DC7E04" w:rsidRDefault="007346C1" w:rsidP="009F11F0">
      <w:pPr>
        <w:snapToGrid w:val="0"/>
        <w:spacing w:after="0" w:line="240" w:lineRule="auto"/>
        <w:ind w:left="5761"/>
        <w:rPr>
          <w:rFonts w:ascii="Times New Roman" w:eastAsia="Times New Roman" w:hAnsi="Times New Roman" w:cs="Times New Roman"/>
          <w:b/>
          <w:noProof w:val="0"/>
          <w:sz w:val="24"/>
          <w:szCs w:val="24"/>
        </w:rPr>
      </w:pPr>
      <w:r w:rsidRPr="00DC7E04">
        <w:rPr>
          <w:rFonts w:ascii="Times New Roman" w:eastAsia="Times New Roman" w:hAnsi="Times New Roman" w:cs="Times New Roman"/>
          <w:b/>
          <w:noProof w:val="0"/>
          <w:sz w:val="24"/>
          <w:szCs w:val="24"/>
        </w:rPr>
        <w:t>Приложение № 3</w:t>
      </w:r>
    </w:p>
    <w:p w:rsidR="007346C1" w:rsidRPr="00DC7E04" w:rsidRDefault="004A4B3A" w:rsidP="009F11F0">
      <w:pPr>
        <w:snapToGrid w:val="0"/>
        <w:spacing w:after="0" w:line="240" w:lineRule="auto"/>
        <w:ind w:left="5761"/>
        <w:rPr>
          <w:rFonts w:ascii="Times New Roman" w:eastAsia="Times New Roman" w:hAnsi="Times New Roman" w:cs="Times New Roman"/>
          <w:b/>
          <w:noProof w:val="0"/>
          <w:sz w:val="24"/>
          <w:szCs w:val="24"/>
        </w:rPr>
      </w:pPr>
      <w:r w:rsidRPr="004A4B3A">
        <w:rPr>
          <w:rFonts w:ascii="Times New Roman" w:eastAsia="Times New Roman" w:hAnsi="Times New Roman" w:cs="Times New Roman"/>
          <w:b/>
          <w:noProof w:val="0"/>
          <w:sz w:val="24"/>
          <w:szCs w:val="24"/>
        </w:rPr>
        <w:t>към Заповед №  МДР-ПП-09-92/16.10.2023 г.</w:t>
      </w:r>
    </w:p>
    <w:p w:rsidR="007346C1" w:rsidRPr="00DC7E04" w:rsidRDefault="007346C1" w:rsidP="008070FB">
      <w:pPr>
        <w:snapToGrid w:val="0"/>
        <w:spacing w:before="120" w:after="120" w:line="240" w:lineRule="auto"/>
        <w:jc w:val="both"/>
        <w:rPr>
          <w:rFonts w:ascii="Times New Roman" w:eastAsia="Times New Roman" w:hAnsi="Times New Roman" w:cs="Times New Roman"/>
          <w:b/>
          <w:noProof w:val="0"/>
          <w:sz w:val="24"/>
          <w:szCs w:val="24"/>
        </w:rPr>
      </w:pPr>
    </w:p>
    <w:p w:rsidR="007346C1" w:rsidRPr="00DC7E04" w:rsidRDefault="007346C1" w:rsidP="008070FB">
      <w:pPr>
        <w:snapToGrid w:val="0"/>
        <w:spacing w:before="120" w:after="120" w:line="240" w:lineRule="auto"/>
        <w:jc w:val="center"/>
        <w:rPr>
          <w:rFonts w:ascii="Times New Roman" w:eastAsia="Times New Roman" w:hAnsi="Times New Roman" w:cs="Times New Roman"/>
          <w:b/>
          <w:noProof w:val="0"/>
          <w:sz w:val="24"/>
          <w:szCs w:val="24"/>
        </w:rPr>
      </w:pPr>
      <w:r w:rsidRPr="00DC7E04">
        <w:rPr>
          <w:rFonts w:ascii="Times New Roman" w:eastAsia="Times New Roman" w:hAnsi="Times New Roman" w:cs="Times New Roman"/>
          <w:b/>
          <w:noProof w:val="0"/>
          <w:sz w:val="24"/>
          <w:szCs w:val="24"/>
        </w:rPr>
        <w:t>МИНИСТЕРСТВО НА ЗЕМЕДЕЛИЕТО</w:t>
      </w:r>
    </w:p>
    <w:p w:rsidR="007346C1" w:rsidRPr="00DC7E04" w:rsidRDefault="007346C1" w:rsidP="008070FB">
      <w:pPr>
        <w:snapToGrid w:val="0"/>
        <w:spacing w:before="120" w:after="120" w:line="240" w:lineRule="auto"/>
        <w:jc w:val="center"/>
        <w:rPr>
          <w:rFonts w:ascii="Times New Roman" w:eastAsia="Times New Roman" w:hAnsi="Times New Roman" w:cs="Times New Roman"/>
          <w:b/>
          <w:noProof w:val="0"/>
          <w:sz w:val="24"/>
          <w:szCs w:val="24"/>
        </w:rPr>
      </w:pPr>
    </w:p>
    <w:p w:rsidR="007346C1" w:rsidRPr="00DC7E04" w:rsidRDefault="007346C1" w:rsidP="008070FB">
      <w:pPr>
        <w:snapToGrid w:val="0"/>
        <w:spacing w:before="120" w:after="120" w:line="240" w:lineRule="auto"/>
        <w:jc w:val="center"/>
        <w:rPr>
          <w:rFonts w:ascii="Times New Roman" w:eastAsia="Times New Roman" w:hAnsi="Times New Roman" w:cs="Times New Roman"/>
          <w:b/>
          <w:noProof w:val="0"/>
          <w:sz w:val="24"/>
          <w:szCs w:val="24"/>
        </w:rPr>
      </w:pPr>
      <w:r w:rsidRPr="00DC7E04">
        <w:rPr>
          <w:rFonts w:ascii="Times New Roman" w:eastAsia="Times New Roman" w:hAnsi="Times New Roman" w:cs="Times New Roman"/>
          <w:b/>
          <w:noProof w:val="0"/>
          <w:sz w:val="24"/>
          <w:szCs w:val="24"/>
        </w:rPr>
        <w:t>О Б Я В А</w:t>
      </w:r>
      <w:bookmarkStart w:id="0" w:name="_GoBack"/>
      <w:bookmarkEnd w:id="0"/>
    </w:p>
    <w:p w:rsidR="007346C1" w:rsidRPr="00DC7E04" w:rsidRDefault="007346C1" w:rsidP="008070FB">
      <w:pPr>
        <w:snapToGrid w:val="0"/>
        <w:spacing w:before="120" w:after="120" w:line="240" w:lineRule="auto"/>
        <w:jc w:val="center"/>
        <w:rPr>
          <w:rFonts w:ascii="Times New Roman" w:eastAsia="Times New Roman" w:hAnsi="Times New Roman" w:cs="Times New Roman"/>
          <w:b/>
          <w:i/>
          <w:noProof w:val="0"/>
          <w:sz w:val="24"/>
          <w:szCs w:val="24"/>
        </w:rPr>
      </w:pPr>
      <w:r w:rsidRPr="00DC7E04">
        <w:rPr>
          <w:rFonts w:ascii="Times New Roman" w:eastAsia="Times New Roman" w:hAnsi="Times New Roman" w:cs="Times New Roman"/>
          <w:b/>
          <w:i/>
          <w:noProof w:val="0"/>
          <w:sz w:val="24"/>
          <w:szCs w:val="24"/>
        </w:rPr>
        <w:t>за открита процедура чрез подбор на проекти</w:t>
      </w:r>
    </w:p>
    <w:p w:rsidR="007346C1" w:rsidRPr="00DC7E04" w:rsidRDefault="007346C1" w:rsidP="008070FB">
      <w:pPr>
        <w:snapToGrid w:val="0"/>
        <w:spacing w:before="120" w:after="120" w:line="240" w:lineRule="auto"/>
        <w:jc w:val="both"/>
        <w:rPr>
          <w:rFonts w:ascii="Times New Roman" w:eastAsia="Times New Roman" w:hAnsi="Times New Roman" w:cs="Times New Roman"/>
          <w:b/>
          <w:noProof w:val="0"/>
          <w:sz w:val="24"/>
          <w:szCs w:val="24"/>
          <w:highlight w:val="yellow"/>
        </w:rPr>
      </w:pPr>
    </w:p>
    <w:p w:rsidR="008070FB" w:rsidRPr="00DC7E04" w:rsidRDefault="008070FB" w:rsidP="008070FB">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Дирекция „Морско дело и рибарство“ – Управляващ орган на Програмата за морско дело и рибарство 2014-2020 (ПМДР) кани желаещите да представят проектни предложения по приоритет на Съюза 6 „Насърчаване на изпълнението на интегр</w:t>
      </w:r>
      <w:r w:rsidR="00D05BDB" w:rsidRPr="00DC7E04">
        <w:rPr>
          <w:rFonts w:ascii="Times New Roman" w:eastAsia="Times New Roman" w:hAnsi="Times New Roman" w:cs="Times New Roman"/>
          <w:noProof w:val="0"/>
          <w:sz w:val="24"/>
          <w:szCs w:val="24"/>
        </w:rPr>
        <w:t>ираната морска политика”</w:t>
      </w:r>
      <w:r w:rsidRPr="00DC7E04">
        <w:rPr>
          <w:rFonts w:ascii="Times New Roman" w:eastAsia="Times New Roman" w:hAnsi="Times New Roman" w:cs="Times New Roman"/>
          <w:noProof w:val="0"/>
          <w:sz w:val="24"/>
          <w:szCs w:val="24"/>
        </w:rPr>
        <w:t xml:space="preserve">, като </w:t>
      </w:r>
    </w:p>
    <w:p w:rsidR="008070FB" w:rsidRPr="00DC7E04" w:rsidRDefault="00D05BDB" w:rsidP="008070FB">
      <w:pPr>
        <w:snapToGrid w:val="0"/>
        <w:spacing w:before="120" w:after="120" w:line="240" w:lineRule="auto"/>
        <w:ind w:firstLine="720"/>
        <w:jc w:val="both"/>
        <w:rPr>
          <w:rFonts w:ascii="Times New Roman" w:eastAsia="Times New Roman" w:hAnsi="Times New Roman" w:cs="Times New Roman"/>
          <w:b/>
          <w:noProof w:val="0"/>
          <w:sz w:val="24"/>
          <w:szCs w:val="24"/>
        </w:rPr>
      </w:pPr>
      <w:r w:rsidRPr="00DC7E04">
        <w:rPr>
          <w:rFonts w:ascii="Times New Roman" w:eastAsia="Times New Roman" w:hAnsi="Times New Roman" w:cs="Times New Roman"/>
          <w:b/>
          <w:noProof w:val="0"/>
          <w:sz w:val="24"/>
          <w:szCs w:val="24"/>
        </w:rPr>
        <w:t>ОТКРИВА</w:t>
      </w:r>
      <w:r w:rsidR="008070FB" w:rsidRPr="00DC7E04">
        <w:rPr>
          <w:rFonts w:ascii="Times New Roman" w:eastAsia="Times New Roman" w:hAnsi="Times New Roman" w:cs="Times New Roman"/>
          <w:b/>
          <w:noProof w:val="0"/>
          <w:sz w:val="24"/>
          <w:szCs w:val="24"/>
        </w:rPr>
        <w:t xml:space="preserve"> процедура BG14MFOP001-6.00</w:t>
      </w:r>
      <w:r w:rsidR="00C52AA5">
        <w:rPr>
          <w:rFonts w:ascii="Times New Roman" w:eastAsia="Times New Roman" w:hAnsi="Times New Roman" w:cs="Times New Roman"/>
          <w:b/>
          <w:noProof w:val="0"/>
          <w:sz w:val="24"/>
          <w:szCs w:val="24"/>
        </w:rPr>
        <w:t>6</w:t>
      </w:r>
      <w:r w:rsidR="008070FB" w:rsidRPr="00DC7E04">
        <w:rPr>
          <w:rFonts w:ascii="Times New Roman" w:eastAsia="Times New Roman" w:hAnsi="Times New Roman" w:cs="Times New Roman"/>
          <w:b/>
          <w:noProof w:val="0"/>
          <w:sz w:val="24"/>
          <w:szCs w:val="24"/>
        </w:rPr>
        <w:t xml:space="preserve"> „Повишаване на знанията за състоянието на морската среда“.</w:t>
      </w:r>
    </w:p>
    <w:p w:rsidR="008070FB" w:rsidRPr="00DC7E04" w:rsidRDefault="008070FB" w:rsidP="008070FB">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С процедура за подбор на проекти BG14MFOP001-6.00</w:t>
      </w:r>
      <w:r w:rsidR="00C52AA5">
        <w:rPr>
          <w:rFonts w:ascii="Times New Roman" w:eastAsia="Times New Roman" w:hAnsi="Times New Roman" w:cs="Times New Roman"/>
          <w:noProof w:val="0"/>
          <w:sz w:val="24"/>
          <w:szCs w:val="24"/>
        </w:rPr>
        <w:t>6</w:t>
      </w:r>
      <w:r w:rsidRPr="00DC7E04">
        <w:rPr>
          <w:rFonts w:ascii="Times New Roman" w:eastAsia="Times New Roman" w:hAnsi="Times New Roman" w:cs="Times New Roman"/>
          <w:noProof w:val="0"/>
          <w:sz w:val="24"/>
          <w:szCs w:val="24"/>
        </w:rPr>
        <w:t xml:space="preserve"> „Повишаване на знанията за състоянието на морската среда“ се цели чрез изпълнението на дейности, свързани с увеличаване на знанията за състоянието на морската среда в съответствие с Морската стратегия на Република България, включително и мерките за постигане или поддържане на нейното добро екологично състояние, да се гарантира запазването на биоразнообразието в морската среда, като изпълнението на същите ще допринесат за постигане на целите на „синия растеж“.</w:t>
      </w:r>
    </w:p>
    <w:p w:rsidR="008070FB" w:rsidRPr="00DC7E04" w:rsidRDefault="008070FB" w:rsidP="008070FB">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Прилагането на мярка 6.3 „Повишаване на знанията за състоянието на морската среда“ ще бъде създадена добра база от научни знания за ефективно управление на антропогенните дейности и работа за постигане на добро състояние на морската среда и ще бъде даден принос за подобряване състоянието на морската околна среда и увеличаване на приноса за реализиране на целите на „синия растеж“.</w:t>
      </w:r>
    </w:p>
    <w:p w:rsidR="00A069D8" w:rsidRDefault="00A069D8" w:rsidP="00A069D8">
      <w:pPr>
        <w:snapToGrid w:val="0"/>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Приложимият режим на държавна помощ е разписан в т. 16 на Условията за кандидатстване по настоящата процедура.</w:t>
      </w:r>
    </w:p>
    <w:p w:rsidR="00242B1A" w:rsidRDefault="008070FB" w:rsidP="008C7373">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 xml:space="preserve">Проектите </w:t>
      </w:r>
      <w:r w:rsidR="008C7373" w:rsidRPr="00DC7E04">
        <w:rPr>
          <w:rFonts w:ascii="Times New Roman" w:eastAsia="Times New Roman" w:hAnsi="Times New Roman" w:cs="Times New Roman"/>
          <w:noProof w:val="0"/>
          <w:sz w:val="24"/>
          <w:szCs w:val="24"/>
        </w:rPr>
        <w:t>по процедура BG14MFOP001-6.00</w:t>
      </w:r>
      <w:r w:rsidR="00C52AA5">
        <w:rPr>
          <w:rFonts w:ascii="Times New Roman" w:eastAsia="Times New Roman" w:hAnsi="Times New Roman" w:cs="Times New Roman"/>
          <w:noProof w:val="0"/>
          <w:sz w:val="24"/>
          <w:szCs w:val="24"/>
        </w:rPr>
        <w:t>6</w:t>
      </w:r>
      <w:r w:rsidR="008C7373" w:rsidRPr="00DC7E04">
        <w:rPr>
          <w:rFonts w:ascii="Times New Roman" w:eastAsia="Times New Roman" w:hAnsi="Times New Roman" w:cs="Times New Roman"/>
          <w:noProof w:val="0"/>
          <w:sz w:val="24"/>
          <w:szCs w:val="24"/>
        </w:rPr>
        <w:t xml:space="preserve"> „Повишаване на знанията за състоянието на морската среда“ </w:t>
      </w:r>
      <w:r w:rsidRPr="00DC7E04">
        <w:rPr>
          <w:rFonts w:ascii="Times New Roman" w:eastAsia="Times New Roman" w:hAnsi="Times New Roman" w:cs="Times New Roman"/>
          <w:noProof w:val="0"/>
          <w:sz w:val="24"/>
          <w:szCs w:val="24"/>
        </w:rPr>
        <w:t xml:space="preserve">следва да се изпълняват </w:t>
      </w:r>
      <w:r w:rsidR="00242B1A" w:rsidRPr="00242B1A">
        <w:rPr>
          <w:rFonts w:ascii="Times New Roman" w:eastAsia="Times New Roman" w:hAnsi="Times New Roman" w:cs="Times New Roman"/>
          <w:noProof w:val="0"/>
          <w:sz w:val="24"/>
          <w:szCs w:val="24"/>
        </w:rPr>
        <w:t>на територията на Република България по крайбрежието и акваторията на Черно море.</w:t>
      </w:r>
    </w:p>
    <w:p w:rsidR="008C7373" w:rsidRDefault="008070FB" w:rsidP="008C7373">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 xml:space="preserve">Общият размер на безвъзмездна финансова помощ (БФП) по процедурата е </w:t>
      </w:r>
      <w:r w:rsidR="00C52AA5">
        <w:rPr>
          <w:rFonts w:ascii="Times New Roman" w:eastAsia="Times New Roman" w:hAnsi="Times New Roman" w:cs="Times New Roman"/>
          <w:noProof w:val="0"/>
          <w:sz w:val="24"/>
          <w:szCs w:val="24"/>
        </w:rPr>
        <w:t xml:space="preserve">300 </w:t>
      </w:r>
      <w:r w:rsidR="00C52AA5" w:rsidRPr="00C52AA5">
        <w:rPr>
          <w:rFonts w:ascii="Times New Roman" w:eastAsia="Times New Roman" w:hAnsi="Times New Roman" w:cs="Times New Roman"/>
          <w:noProof w:val="0"/>
          <w:sz w:val="24"/>
          <w:szCs w:val="24"/>
        </w:rPr>
        <w:t xml:space="preserve">000 </w:t>
      </w:r>
      <w:r w:rsidR="00103218" w:rsidRPr="00103218">
        <w:rPr>
          <w:rFonts w:ascii="Times New Roman" w:eastAsia="Times New Roman" w:hAnsi="Times New Roman" w:cs="Times New Roman"/>
          <w:noProof w:val="0"/>
          <w:sz w:val="24"/>
          <w:szCs w:val="24"/>
        </w:rPr>
        <w:t xml:space="preserve"> лв.</w:t>
      </w:r>
      <w:r w:rsidRPr="00DC7E04">
        <w:rPr>
          <w:rFonts w:ascii="Times New Roman" w:eastAsia="Times New Roman" w:hAnsi="Times New Roman" w:cs="Times New Roman"/>
          <w:noProof w:val="0"/>
          <w:sz w:val="24"/>
          <w:szCs w:val="24"/>
        </w:rPr>
        <w:t xml:space="preserve">, от които </w:t>
      </w:r>
      <w:r w:rsidR="00C52AA5">
        <w:rPr>
          <w:rFonts w:ascii="Times New Roman" w:eastAsia="Times New Roman" w:hAnsi="Times New Roman" w:cs="Times New Roman"/>
          <w:noProof w:val="0"/>
          <w:sz w:val="24"/>
          <w:szCs w:val="24"/>
        </w:rPr>
        <w:t xml:space="preserve">225 000 </w:t>
      </w:r>
      <w:r w:rsidR="00103218" w:rsidRPr="00103218">
        <w:rPr>
          <w:rFonts w:ascii="Times New Roman" w:eastAsia="Times New Roman" w:hAnsi="Times New Roman" w:cs="Times New Roman"/>
          <w:noProof w:val="0"/>
          <w:sz w:val="24"/>
          <w:szCs w:val="24"/>
        </w:rPr>
        <w:t>лв.</w:t>
      </w:r>
      <w:r w:rsidR="00A545D3">
        <w:rPr>
          <w:rFonts w:ascii="Times New Roman" w:eastAsia="Times New Roman" w:hAnsi="Times New Roman" w:cs="Times New Roman"/>
          <w:noProof w:val="0"/>
          <w:sz w:val="24"/>
          <w:szCs w:val="24"/>
        </w:rPr>
        <w:t xml:space="preserve"> </w:t>
      </w:r>
      <w:r w:rsidR="00C52AA5">
        <w:rPr>
          <w:rFonts w:ascii="Times New Roman" w:eastAsia="Times New Roman" w:hAnsi="Times New Roman" w:cs="Times New Roman"/>
          <w:noProof w:val="0"/>
          <w:sz w:val="24"/>
          <w:szCs w:val="24"/>
        </w:rPr>
        <w:t xml:space="preserve">са от </w:t>
      </w:r>
      <w:r w:rsidR="00912C50" w:rsidRPr="00912C50">
        <w:rPr>
          <w:rFonts w:ascii="Times New Roman" w:eastAsia="Times New Roman" w:hAnsi="Times New Roman" w:cs="Times New Roman"/>
          <w:noProof w:val="0"/>
          <w:sz w:val="24"/>
          <w:szCs w:val="24"/>
        </w:rPr>
        <w:t xml:space="preserve">Европейския фонд за морско дело и рибарство </w:t>
      </w:r>
      <w:r w:rsidR="00912C50">
        <w:rPr>
          <w:rFonts w:ascii="Times New Roman" w:eastAsia="Times New Roman" w:hAnsi="Times New Roman" w:cs="Times New Roman"/>
          <w:noProof w:val="0"/>
          <w:sz w:val="24"/>
          <w:szCs w:val="24"/>
        </w:rPr>
        <w:t>(</w:t>
      </w:r>
      <w:r w:rsidR="00C52AA5">
        <w:rPr>
          <w:rFonts w:ascii="Times New Roman" w:eastAsia="Times New Roman" w:hAnsi="Times New Roman" w:cs="Times New Roman"/>
          <w:noProof w:val="0"/>
          <w:sz w:val="24"/>
          <w:szCs w:val="24"/>
        </w:rPr>
        <w:t>ЕФМДР</w:t>
      </w:r>
      <w:r w:rsidR="00912C50">
        <w:rPr>
          <w:rFonts w:ascii="Times New Roman" w:eastAsia="Times New Roman" w:hAnsi="Times New Roman" w:cs="Times New Roman"/>
          <w:noProof w:val="0"/>
          <w:sz w:val="24"/>
          <w:szCs w:val="24"/>
        </w:rPr>
        <w:t>)</w:t>
      </w:r>
      <w:r w:rsidR="00C52AA5">
        <w:rPr>
          <w:rFonts w:ascii="Times New Roman" w:eastAsia="Times New Roman" w:hAnsi="Times New Roman" w:cs="Times New Roman"/>
          <w:noProof w:val="0"/>
          <w:sz w:val="24"/>
          <w:szCs w:val="24"/>
        </w:rPr>
        <w:t xml:space="preserve"> и 75 000 </w:t>
      </w:r>
      <w:r w:rsidR="00103218" w:rsidRPr="00103218">
        <w:rPr>
          <w:rFonts w:ascii="Times New Roman" w:eastAsia="Times New Roman" w:hAnsi="Times New Roman" w:cs="Times New Roman"/>
          <w:noProof w:val="0"/>
          <w:sz w:val="24"/>
          <w:szCs w:val="24"/>
        </w:rPr>
        <w:t>лв.</w:t>
      </w:r>
      <w:r w:rsidR="00103218">
        <w:rPr>
          <w:rFonts w:ascii="Times New Roman" w:eastAsia="Times New Roman" w:hAnsi="Times New Roman" w:cs="Times New Roman"/>
          <w:noProof w:val="0"/>
          <w:sz w:val="24"/>
          <w:szCs w:val="24"/>
        </w:rPr>
        <w:t xml:space="preserve"> </w:t>
      </w:r>
      <w:r w:rsidR="008C7373" w:rsidRPr="00DC7E04">
        <w:rPr>
          <w:rFonts w:ascii="Times New Roman" w:eastAsia="Times New Roman" w:hAnsi="Times New Roman" w:cs="Times New Roman"/>
          <w:noProof w:val="0"/>
          <w:sz w:val="24"/>
          <w:szCs w:val="24"/>
        </w:rPr>
        <w:t>национално съфинансиране.</w:t>
      </w:r>
    </w:p>
    <w:p w:rsidR="007B71D0" w:rsidRDefault="007B71D0" w:rsidP="008C7373">
      <w:pPr>
        <w:snapToGrid w:val="0"/>
        <w:spacing w:before="120" w:after="120" w:line="240" w:lineRule="auto"/>
        <w:ind w:firstLine="720"/>
        <w:jc w:val="both"/>
        <w:rPr>
          <w:rFonts w:ascii="Times New Roman" w:eastAsia="Times New Roman" w:hAnsi="Times New Roman" w:cs="Times New Roman"/>
          <w:noProof w:val="0"/>
          <w:sz w:val="24"/>
          <w:szCs w:val="24"/>
        </w:rPr>
      </w:pPr>
    </w:p>
    <w:p w:rsidR="008C7373" w:rsidRPr="00DC7E04" w:rsidRDefault="008070FB" w:rsidP="008C7373">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Минималният размер на безвъзмездната финансова помощ за един проект не трябва да бъде по-малък от 50</w:t>
      </w:r>
      <w:r w:rsidR="008C7373" w:rsidRPr="00DC7E04">
        <w:rPr>
          <w:rFonts w:ascii="Times New Roman" w:hAnsi="Times New Roman" w:cs="Times New Roman"/>
          <w:sz w:val="24"/>
          <w:szCs w:val="24"/>
        </w:rPr>
        <w:t> </w:t>
      </w:r>
      <w:r w:rsidR="008C7373" w:rsidRPr="00DC7E04">
        <w:rPr>
          <w:rFonts w:ascii="Times New Roman" w:eastAsia="Times New Roman" w:hAnsi="Times New Roman" w:cs="Times New Roman"/>
          <w:noProof w:val="0"/>
          <w:sz w:val="24"/>
          <w:szCs w:val="24"/>
        </w:rPr>
        <w:t>000 лв.</w:t>
      </w:r>
    </w:p>
    <w:p w:rsidR="008C7373" w:rsidRPr="00DC7E04" w:rsidRDefault="008070FB" w:rsidP="008C7373">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 xml:space="preserve">Максималният размер на </w:t>
      </w:r>
      <w:r w:rsidR="008C7373" w:rsidRPr="00DC7E04">
        <w:rPr>
          <w:rFonts w:ascii="Times New Roman" w:eastAsia="Times New Roman" w:hAnsi="Times New Roman" w:cs="Times New Roman"/>
          <w:noProof w:val="0"/>
          <w:sz w:val="24"/>
          <w:szCs w:val="24"/>
        </w:rPr>
        <w:t xml:space="preserve">допустимата </w:t>
      </w:r>
      <w:r w:rsidRPr="00DC7E04">
        <w:rPr>
          <w:rFonts w:ascii="Times New Roman" w:eastAsia="Times New Roman" w:hAnsi="Times New Roman" w:cs="Times New Roman"/>
          <w:noProof w:val="0"/>
          <w:sz w:val="24"/>
          <w:szCs w:val="24"/>
        </w:rPr>
        <w:t>безвъзмездната финансова пом</w:t>
      </w:r>
      <w:r w:rsidR="008C7373" w:rsidRPr="00DC7E04">
        <w:rPr>
          <w:rFonts w:ascii="Times New Roman" w:eastAsia="Times New Roman" w:hAnsi="Times New Roman" w:cs="Times New Roman"/>
          <w:noProof w:val="0"/>
          <w:sz w:val="24"/>
          <w:szCs w:val="24"/>
        </w:rPr>
        <w:t xml:space="preserve">ощ за един проект </w:t>
      </w:r>
      <w:r w:rsidR="00A545D3">
        <w:rPr>
          <w:rFonts w:ascii="Times New Roman" w:eastAsia="Times New Roman" w:hAnsi="Times New Roman" w:cs="Times New Roman"/>
          <w:noProof w:val="0"/>
          <w:sz w:val="24"/>
          <w:szCs w:val="24"/>
        </w:rPr>
        <w:t>е до 3</w:t>
      </w:r>
      <w:r w:rsidR="008C7373" w:rsidRPr="00DC7E04">
        <w:rPr>
          <w:rFonts w:ascii="Times New Roman" w:eastAsia="Times New Roman" w:hAnsi="Times New Roman" w:cs="Times New Roman"/>
          <w:noProof w:val="0"/>
          <w:sz w:val="24"/>
          <w:szCs w:val="24"/>
        </w:rPr>
        <w:t>00</w:t>
      </w:r>
      <w:r w:rsidR="008C7373" w:rsidRPr="00DC7E04">
        <w:rPr>
          <w:rFonts w:ascii="Times New Roman" w:hAnsi="Times New Roman" w:cs="Times New Roman"/>
          <w:sz w:val="24"/>
          <w:szCs w:val="24"/>
        </w:rPr>
        <w:t> </w:t>
      </w:r>
      <w:r w:rsidR="008C7373" w:rsidRPr="00DC7E04">
        <w:rPr>
          <w:rFonts w:ascii="Times New Roman" w:eastAsia="Times New Roman" w:hAnsi="Times New Roman" w:cs="Times New Roman"/>
          <w:noProof w:val="0"/>
          <w:sz w:val="24"/>
          <w:szCs w:val="24"/>
        </w:rPr>
        <w:t>000 лв.</w:t>
      </w:r>
    </w:p>
    <w:p w:rsidR="008C7373" w:rsidRPr="00DC7E04" w:rsidRDefault="008070FB" w:rsidP="008C7373">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Безвъзмездната финансова помощ по процедурата е в разм</w:t>
      </w:r>
      <w:r w:rsidR="008C7373" w:rsidRPr="00DC7E04">
        <w:rPr>
          <w:rFonts w:ascii="Times New Roman" w:eastAsia="Times New Roman" w:hAnsi="Times New Roman" w:cs="Times New Roman"/>
          <w:noProof w:val="0"/>
          <w:sz w:val="24"/>
          <w:szCs w:val="24"/>
        </w:rPr>
        <w:t>ер до 100%</w:t>
      </w:r>
      <w:r w:rsidR="0035252D">
        <w:rPr>
          <w:rFonts w:ascii="Times New Roman" w:eastAsia="Times New Roman" w:hAnsi="Times New Roman" w:cs="Times New Roman"/>
          <w:noProof w:val="0"/>
          <w:sz w:val="24"/>
          <w:szCs w:val="24"/>
        </w:rPr>
        <w:t xml:space="preserve"> </w:t>
      </w:r>
      <w:r w:rsidR="008C7373" w:rsidRPr="00DC7E04">
        <w:rPr>
          <w:rFonts w:ascii="Times New Roman" w:eastAsia="Times New Roman" w:hAnsi="Times New Roman" w:cs="Times New Roman"/>
          <w:noProof w:val="0"/>
          <w:sz w:val="24"/>
          <w:szCs w:val="24"/>
        </w:rPr>
        <w:t xml:space="preserve">от </w:t>
      </w:r>
      <w:r w:rsidRPr="00DC7E04">
        <w:rPr>
          <w:rFonts w:ascii="Times New Roman" w:eastAsia="Times New Roman" w:hAnsi="Times New Roman" w:cs="Times New Roman"/>
          <w:noProof w:val="0"/>
          <w:sz w:val="24"/>
          <w:szCs w:val="24"/>
        </w:rPr>
        <w:t>общите допустими</w:t>
      </w:r>
      <w:r w:rsidR="008C7373" w:rsidRPr="00DC7E04">
        <w:rPr>
          <w:rFonts w:ascii="Times New Roman" w:eastAsia="Times New Roman" w:hAnsi="Times New Roman" w:cs="Times New Roman"/>
          <w:noProof w:val="0"/>
          <w:sz w:val="24"/>
          <w:szCs w:val="24"/>
        </w:rPr>
        <w:t xml:space="preserve"> разходи за дейности, от които </w:t>
      </w:r>
      <w:r w:rsidRPr="00DC7E04">
        <w:rPr>
          <w:rFonts w:ascii="Times New Roman" w:eastAsia="Times New Roman" w:hAnsi="Times New Roman" w:cs="Times New Roman"/>
          <w:noProof w:val="0"/>
          <w:sz w:val="24"/>
          <w:szCs w:val="24"/>
        </w:rPr>
        <w:t>75</w:t>
      </w:r>
      <w:r w:rsidR="008C7373" w:rsidRPr="00DC7E04">
        <w:rPr>
          <w:rFonts w:ascii="Times New Roman" w:eastAsia="Times New Roman" w:hAnsi="Times New Roman" w:cs="Times New Roman"/>
          <w:noProof w:val="0"/>
          <w:sz w:val="24"/>
          <w:szCs w:val="24"/>
        </w:rPr>
        <w:t xml:space="preserve">% са осигурени от </w:t>
      </w:r>
      <w:r w:rsidRPr="00DC7E04">
        <w:rPr>
          <w:rFonts w:ascii="Times New Roman" w:eastAsia="Times New Roman" w:hAnsi="Times New Roman" w:cs="Times New Roman"/>
          <w:noProof w:val="0"/>
          <w:sz w:val="24"/>
          <w:szCs w:val="24"/>
        </w:rPr>
        <w:t>ЕФМДР и 25</w:t>
      </w:r>
      <w:r w:rsidR="008C7373" w:rsidRPr="00DC7E04">
        <w:rPr>
          <w:rFonts w:ascii="Times New Roman" w:eastAsia="Times New Roman" w:hAnsi="Times New Roman" w:cs="Times New Roman"/>
          <w:noProof w:val="0"/>
          <w:sz w:val="24"/>
          <w:szCs w:val="24"/>
        </w:rPr>
        <w:t>% от държавния бюджет на Република България.</w:t>
      </w:r>
    </w:p>
    <w:p w:rsidR="008070FB" w:rsidRPr="00DC7E04" w:rsidRDefault="008070FB" w:rsidP="008C7373">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 xml:space="preserve">Допустими кандидати по настоящата процедура чрез подбор на проекти са: </w:t>
      </w:r>
    </w:p>
    <w:p w:rsidR="008C7373" w:rsidRPr="00DC7E04" w:rsidRDefault="00253394" w:rsidP="00217DCF">
      <w:pPr>
        <w:snapToGrid w:val="0"/>
        <w:spacing w:before="120" w:after="120" w:line="240" w:lineRule="auto"/>
        <w:ind w:firstLine="108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w:t>
      </w:r>
      <w:r w:rsidR="00420CB1" w:rsidRPr="00DC7E04">
        <w:rPr>
          <w:rFonts w:ascii="Times New Roman" w:eastAsia="Times New Roman" w:hAnsi="Times New Roman" w:cs="Times New Roman"/>
          <w:noProof w:val="0"/>
          <w:sz w:val="24"/>
          <w:szCs w:val="24"/>
        </w:rPr>
        <w:t xml:space="preserve"> н</w:t>
      </w:r>
      <w:r w:rsidR="008C7373" w:rsidRPr="00DC7E04">
        <w:rPr>
          <w:rFonts w:ascii="Times New Roman" w:eastAsia="Times New Roman" w:hAnsi="Times New Roman" w:cs="Times New Roman"/>
          <w:noProof w:val="0"/>
          <w:sz w:val="24"/>
          <w:szCs w:val="24"/>
        </w:rPr>
        <w:t>аучни организации, признати в Р</w:t>
      </w:r>
      <w:r w:rsidR="00912C50">
        <w:rPr>
          <w:rFonts w:ascii="Times New Roman" w:eastAsia="Times New Roman" w:hAnsi="Times New Roman" w:cs="Times New Roman"/>
          <w:noProof w:val="0"/>
          <w:sz w:val="24"/>
          <w:szCs w:val="24"/>
        </w:rPr>
        <w:t>епублика</w:t>
      </w:r>
      <w:r w:rsidR="00420CB1" w:rsidRPr="00DC7E04">
        <w:rPr>
          <w:rFonts w:ascii="Times New Roman" w:eastAsia="Times New Roman" w:hAnsi="Times New Roman" w:cs="Times New Roman"/>
          <w:noProof w:val="0"/>
          <w:sz w:val="24"/>
          <w:szCs w:val="24"/>
        </w:rPr>
        <w:t xml:space="preserve"> </w:t>
      </w:r>
      <w:r w:rsidR="008C7373" w:rsidRPr="00DC7E04">
        <w:rPr>
          <w:rFonts w:ascii="Times New Roman" w:eastAsia="Times New Roman" w:hAnsi="Times New Roman" w:cs="Times New Roman"/>
          <w:noProof w:val="0"/>
          <w:sz w:val="24"/>
          <w:szCs w:val="24"/>
        </w:rPr>
        <w:t>България.</w:t>
      </w:r>
    </w:p>
    <w:p w:rsidR="008C7373" w:rsidRPr="00DC7E04" w:rsidRDefault="00253394" w:rsidP="00217DCF">
      <w:pPr>
        <w:snapToGrid w:val="0"/>
        <w:spacing w:before="120" w:after="120" w:line="240" w:lineRule="auto"/>
        <w:ind w:firstLine="108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w:t>
      </w:r>
      <w:r w:rsidR="00420CB1" w:rsidRPr="00DC7E04">
        <w:rPr>
          <w:rFonts w:ascii="Times New Roman" w:eastAsia="Times New Roman" w:hAnsi="Times New Roman" w:cs="Times New Roman"/>
          <w:noProof w:val="0"/>
          <w:sz w:val="24"/>
          <w:szCs w:val="24"/>
        </w:rPr>
        <w:t xml:space="preserve"> п</w:t>
      </w:r>
      <w:r w:rsidR="008C7373" w:rsidRPr="00DC7E04">
        <w:rPr>
          <w:rFonts w:ascii="Times New Roman" w:eastAsia="Times New Roman" w:hAnsi="Times New Roman" w:cs="Times New Roman"/>
          <w:noProof w:val="0"/>
          <w:sz w:val="24"/>
          <w:szCs w:val="24"/>
        </w:rPr>
        <w:t>ублични организации в сферата на оценка на риска по хранителната верига в земеделието.</w:t>
      </w:r>
    </w:p>
    <w:p w:rsidR="008070FB" w:rsidRPr="00DC7E04" w:rsidRDefault="00253394" w:rsidP="008C7373">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Допустимите дейности са предствени</w:t>
      </w:r>
      <w:r w:rsidR="008070FB" w:rsidRPr="00DC7E04">
        <w:rPr>
          <w:rFonts w:ascii="Times New Roman" w:eastAsia="Times New Roman" w:hAnsi="Times New Roman" w:cs="Times New Roman"/>
          <w:noProof w:val="0"/>
          <w:sz w:val="24"/>
          <w:szCs w:val="24"/>
        </w:rPr>
        <w:t xml:space="preserve"> в т.13.1 от Условията за кандидатстване и включват:</w:t>
      </w:r>
    </w:p>
    <w:p w:rsidR="008C7373" w:rsidRPr="00DC7E04" w:rsidRDefault="00253394" w:rsidP="00217DCF">
      <w:pPr>
        <w:snapToGrid w:val="0"/>
        <w:spacing w:before="120" w:after="120" w:line="240" w:lineRule="auto"/>
        <w:ind w:firstLine="108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 изследване на морското дъно;</w:t>
      </w:r>
    </w:p>
    <w:p w:rsidR="008C7373" w:rsidRPr="00DC7E04" w:rsidRDefault="00253394" w:rsidP="00217DCF">
      <w:pPr>
        <w:snapToGrid w:val="0"/>
        <w:spacing w:before="120" w:after="120" w:line="240" w:lineRule="auto"/>
        <w:ind w:firstLine="108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 изследване на морската среда;</w:t>
      </w:r>
    </w:p>
    <w:p w:rsidR="00217DCF" w:rsidRPr="00DC7E04" w:rsidRDefault="00253394" w:rsidP="00217DCF">
      <w:pPr>
        <w:snapToGrid w:val="0"/>
        <w:spacing w:before="120" w:after="120" w:line="240" w:lineRule="auto"/>
        <w:ind w:firstLine="108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 н</w:t>
      </w:r>
      <w:r w:rsidR="008C7373" w:rsidRPr="00DC7E04">
        <w:rPr>
          <w:rFonts w:ascii="Times New Roman" w:eastAsia="Times New Roman" w:hAnsi="Times New Roman" w:cs="Times New Roman"/>
          <w:noProof w:val="0"/>
          <w:sz w:val="24"/>
          <w:szCs w:val="24"/>
        </w:rPr>
        <w:t>аучни дейности, водещи до повишаване на знанията за морската среда и водещи до постигане на целите на „синия растеж“.</w:t>
      </w:r>
    </w:p>
    <w:p w:rsidR="00217DCF" w:rsidRPr="00DC7E04" w:rsidRDefault="008070FB" w:rsidP="00217DCF">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 xml:space="preserve">Условията за кандидатстване, Условията за изпълнение и </w:t>
      </w:r>
      <w:r w:rsidR="00217DCF" w:rsidRPr="00DC7E04">
        <w:rPr>
          <w:rFonts w:ascii="Times New Roman" w:eastAsia="Times New Roman" w:hAnsi="Times New Roman" w:cs="Times New Roman"/>
          <w:noProof w:val="0"/>
          <w:sz w:val="24"/>
          <w:szCs w:val="24"/>
        </w:rPr>
        <w:t>приложенията към тях</w:t>
      </w:r>
      <w:r w:rsidRPr="00DC7E04">
        <w:rPr>
          <w:rFonts w:ascii="Times New Roman" w:eastAsia="Times New Roman" w:hAnsi="Times New Roman" w:cs="Times New Roman"/>
          <w:noProof w:val="0"/>
          <w:sz w:val="24"/>
          <w:szCs w:val="24"/>
        </w:rPr>
        <w:t xml:space="preserve"> по процедурата са публикувани на Единния инфо</w:t>
      </w:r>
      <w:r w:rsidR="00217DCF" w:rsidRPr="00DC7E04">
        <w:rPr>
          <w:rFonts w:ascii="Times New Roman" w:eastAsia="Times New Roman" w:hAnsi="Times New Roman" w:cs="Times New Roman"/>
          <w:noProof w:val="0"/>
          <w:sz w:val="24"/>
          <w:szCs w:val="24"/>
        </w:rPr>
        <w:t>рмационен портал за управление</w:t>
      </w:r>
      <w:r w:rsidRPr="00DC7E04">
        <w:rPr>
          <w:rFonts w:ascii="Times New Roman" w:eastAsia="Times New Roman" w:hAnsi="Times New Roman" w:cs="Times New Roman"/>
          <w:noProof w:val="0"/>
          <w:sz w:val="24"/>
          <w:szCs w:val="24"/>
        </w:rPr>
        <w:t xml:space="preserve"> на Европейските структурни и инвестиционни фондове:</w:t>
      </w:r>
      <w:r w:rsidRPr="00DC7E04">
        <w:rPr>
          <w:rFonts w:ascii="Times New Roman" w:eastAsia="Times New Roman" w:hAnsi="Times New Roman" w:cs="Times New Roman"/>
          <w:i/>
          <w:noProof w:val="0"/>
          <w:sz w:val="24"/>
          <w:szCs w:val="24"/>
        </w:rPr>
        <w:t xml:space="preserve"> </w:t>
      </w:r>
      <w:hyperlink r:id="rId6" w:history="1">
        <w:r w:rsidR="00217DCF" w:rsidRPr="00DC7E04">
          <w:rPr>
            <w:rStyle w:val="Hyperlink"/>
            <w:rFonts w:ascii="Times New Roman" w:eastAsia="Times New Roman" w:hAnsi="Times New Roman" w:cs="Times New Roman"/>
            <w:i/>
            <w:noProof w:val="0"/>
            <w:sz w:val="24"/>
            <w:szCs w:val="24"/>
          </w:rPr>
          <w:t>https://www.eufunds.bg</w:t>
        </w:r>
      </w:hyperlink>
      <w:r w:rsidR="00217DCF" w:rsidRPr="00DC7E04">
        <w:rPr>
          <w:rFonts w:ascii="Times New Roman" w:eastAsia="Times New Roman" w:hAnsi="Times New Roman" w:cs="Times New Roman"/>
          <w:i/>
          <w:noProof w:val="0"/>
          <w:sz w:val="24"/>
          <w:szCs w:val="24"/>
        </w:rPr>
        <w:t>.</w:t>
      </w:r>
    </w:p>
    <w:p w:rsidR="00217DCF" w:rsidRPr="00DC7E04" w:rsidRDefault="00217DCF" w:rsidP="00217DCF">
      <w:pPr>
        <w:snapToGrid w:val="0"/>
        <w:spacing w:before="120" w:after="120" w:line="240" w:lineRule="auto"/>
        <w:ind w:firstLine="720"/>
        <w:jc w:val="both"/>
        <w:rPr>
          <w:rFonts w:ascii="Times New Roman" w:eastAsia="Times New Roman" w:hAnsi="Times New Roman" w:cs="Times New Roman"/>
          <w:i/>
          <w:noProof w:val="0"/>
          <w:sz w:val="24"/>
          <w:szCs w:val="24"/>
        </w:rPr>
      </w:pPr>
      <w:r w:rsidRPr="00DC7E04">
        <w:rPr>
          <w:rFonts w:ascii="Times New Roman" w:eastAsia="Times New Roman" w:hAnsi="Times New Roman" w:cs="Times New Roman"/>
          <w:noProof w:val="0"/>
          <w:sz w:val="24"/>
          <w:szCs w:val="24"/>
        </w:rPr>
        <w:t>Подаване на проектни предложения</w:t>
      </w:r>
      <w:r w:rsidR="008070FB" w:rsidRPr="00DC7E04">
        <w:rPr>
          <w:rFonts w:ascii="Times New Roman" w:eastAsia="Times New Roman" w:hAnsi="Times New Roman" w:cs="Times New Roman"/>
          <w:noProof w:val="0"/>
          <w:sz w:val="24"/>
          <w:szCs w:val="24"/>
        </w:rPr>
        <w:t xml:space="preserve"> по настоящата процедура се извършва изцяло по електронен път чрез </w:t>
      </w:r>
      <w:r w:rsidRPr="00DC7E04">
        <w:rPr>
          <w:rFonts w:ascii="Times New Roman" w:eastAsia="Times New Roman" w:hAnsi="Times New Roman" w:cs="Times New Roman"/>
          <w:noProof w:val="0"/>
          <w:sz w:val="24"/>
          <w:szCs w:val="24"/>
        </w:rPr>
        <w:t xml:space="preserve">Информационната система за управление и наблюдение на средствата от </w:t>
      </w:r>
      <w:r w:rsidR="00912C50" w:rsidRPr="00912C50">
        <w:rPr>
          <w:rFonts w:ascii="Times New Roman" w:eastAsia="Times New Roman" w:hAnsi="Times New Roman" w:cs="Times New Roman"/>
          <w:noProof w:val="0"/>
          <w:sz w:val="24"/>
          <w:szCs w:val="24"/>
        </w:rPr>
        <w:t>Европейските структурни и инвестиционни фондове</w:t>
      </w:r>
      <w:r w:rsidRPr="00DC7E04">
        <w:rPr>
          <w:rFonts w:ascii="Times New Roman" w:eastAsia="Times New Roman" w:hAnsi="Times New Roman" w:cs="Times New Roman"/>
          <w:noProof w:val="0"/>
          <w:sz w:val="24"/>
          <w:szCs w:val="24"/>
        </w:rPr>
        <w:t xml:space="preserve"> (ИСУН 2020) единствено с използването на к</w:t>
      </w:r>
      <w:r w:rsidR="008070FB" w:rsidRPr="00DC7E04">
        <w:rPr>
          <w:rFonts w:ascii="Times New Roman" w:eastAsia="Times New Roman" w:hAnsi="Times New Roman" w:cs="Times New Roman"/>
          <w:noProof w:val="0"/>
          <w:sz w:val="24"/>
          <w:szCs w:val="24"/>
        </w:rPr>
        <w:t xml:space="preserve">валифициран електронен подпис (КЕП), чрез модула „Е-кандидатстване“ на следния интернет адрес: </w:t>
      </w:r>
      <w:hyperlink r:id="rId7" w:history="1">
        <w:r w:rsidRPr="00DC7E04">
          <w:rPr>
            <w:rStyle w:val="Hyperlink"/>
            <w:rFonts w:ascii="Times New Roman" w:eastAsia="Times New Roman" w:hAnsi="Times New Roman" w:cs="Times New Roman"/>
            <w:i/>
            <w:noProof w:val="0"/>
            <w:sz w:val="24"/>
            <w:szCs w:val="24"/>
          </w:rPr>
          <w:t>https://eumis2020.government.bg</w:t>
        </w:r>
      </w:hyperlink>
      <w:r w:rsidRPr="00DC7E04">
        <w:rPr>
          <w:rFonts w:ascii="Times New Roman" w:eastAsia="Times New Roman" w:hAnsi="Times New Roman" w:cs="Times New Roman"/>
          <w:i/>
          <w:noProof w:val="0"/>
          <w:sz w:val="24"/>
          <w:szCs w:val="24"/>
        </w:rPr>
        <w:t>.</w:t>
      </w:r>
    </w:p>
    <w:p w:rsidR="00217DCF" w:rsidRPr="00DC7E04" w:rsidRDefault="008070FB" w:rsidP="00217DCF">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Кандидатите могат да задават допълнителни въпроси и да искат разяснения във връзка с Условията за кандидатстване до 3 седмици преди крайния срок за п</w:t>
      </w:r>
      <w:r w:rsidR="00217DCF" w:rsidRPr="00DC7E04">
        <w:rPr>
          <w:rFonts w:ascii="Times New Roman" w:eastAsia="Times New Roman" w:hAnsi="Times New Roman" w:cs="Times New Roman"/>
          <w:noProof w:val="0"/>
          <w:sz w:val="24"/>
          <w:szCs w:val="24"/>
        </w:rPr>
        <w:t>одаване на проектни предложения</w:t>
      </w:r>
      <w:r w:rsidRPr="00DC7E04">
        <w:rPr>
          <w:rFonts w:ascii="Times New Roman" w:eastAsia="Times New Roman" w:hAnsi="Times New Roman" w:cs="Times New Roman"/>
          <w:noProof w:val="0"/>
          <w:sz w:val="24"/>
          <w:szCs w:val="24"/>
        </w:rPr>
        <w:t xml:space="preserve">. Допълнителни въпроси могат да се задават само </w:t>
      </w:r>
      <w:r w:rsidR="0035252D" w:rsidRPr="0035252D">
        <w:rPr>
          <w:rFonts w:ascii="Times New Roman" w:eastAsia="Times New Roman" w:hAnsi="Times New Roman" w:cs="Times New Roman"/>
          <w:noProof w:val="0"/>
          <w:sz w:val="24"/>
          <w:szCs w:val="24"/>
        </w:rPr>
        <w:t>в ИСУН 2020 чрез модул “Електронно кандидатстване</w:t>
      </w:r>
      <w:r w:rsidR="0035252D">
        <w:rPr>
          <w:rFonts w:ascii="Times New Roman" w:eastAsia="Times New Roman" w:hAnsi="Times New Roman" w:cs="Times New Roman"/>
          <w:noProof w:val="0"/>
          <w:sz w:val="24"/>
          <w:szCs w:val="24"/>
        </w:rPr>
        <w:t xml:space="preserve">“, </w:t>
      </w:r>
      <w:r w:rsidR="0035252D" w:rsidRPr="0035252D">
        <w:rPr>
          <w:rFonts w:ascii="Times New Roman" w:eastAsia="Times New Roman" w:hAnsi="Times New Roman" w:cs="Times New Roman"/>
          <w:noProof w:val="0"/>
          <w:sz w:val="24"/>
          <w:szCs w:val="24"/>
        </w:rPr>
        <w:t>процедура № BG14MFOP001-6.006 „Повишаване на знанията за състоянието на морската среда“, мярка 6.3 „Повишаване на знанията за състоянието на морската среда”</w:t>
      </w:r>
      <w:r w:rsidRPr="00DC7E04">
        <w:rPr>
          <w:rFonts w:ascii="Times New Roman" w:eastAsia="Times New Roman" w:hAnsi="Times New Roman" w:cs="Times New Roman"/>
          <w:noProof w:val="0"/>
          <w:sz w:val="24"/>
          <w:szCs w:val="24"/>
        </w:rPr>
        <w:t>.</w:t>
      </w:r>
    </w:p>
    <w:p w:rsidR="00217DCF" w:rsidRPr="00DC7E04" w:rsidRDefault="008070FB" w:rsidP="00217DCF">
      <w:pPr>
        <w:snapToGrid w:val="0"/>
        <w:spacing w:before="120" w:after="120" w:line="240" w:lineRule="auto"/>
        <w:ind w:firstLine="720"/>
        <w:jc w:val="both"/>
        <w:rPr>
          <w:rFonts w:ascii="Times New Roman" w:eastAsia="Times New Roman" w:hAnsi="Times New Roman" w:cs="Times New Roman"/>
          <w:noProof w:val="0"/>
          <w:sz w:val="24"/>
          <w:szCs w:val="24"/>
        </w:rPr>
      </w:pPr>
      <w:r w:rsidRPr="00DC7E04">
        <w:rPr>
          <w:rFonts w:ascii="Times New Roman" w:eastAsia="Times New Roman" w:hAnsi="Times New Roman" w:cs="Times New Roman"/>
          <w:noProof w:val="0"/>
          <w:sz w:val="24"/>
          <w:szCs w:val="24"/>
        </w:rPr>
        <w:t>Няма да се дават разяснения, които съдържат становище относно качеството на конкретно проектно предложение. Няма да се предоставят отговори на въпроси, задавани по телефона. Няма да бъдат изпращани индивидуални отговори на зададени от кандидатите по процедурата въпроси.</w:t>
      </w:r>
    </w:p>
    <w:p w:rsidR="00E92704" w:rsidRPr="00DC7E04" w:rsidRDefault="008070FB" w:rsidP="00217DCF">
      <w:pPr>
        <w:snapToGrid w:val="0"/>
        <w:spacing w:before="120" w:after="120" w:line="240" w:lineRule="auto"/>
        <w:ind w:firstLine="720"/>
        <w:jc w:val="both"/>
        <w:rPr>
          <w:rFonts w:ascii="Times New Roman" w:hAnsi="Times New Roman" w:cs="Times New Roman"/>
          <w:b/>
          <w:sz w:val="24"/>
          <w:szCs w:val="24"/>
        </w:rPr>
      </w:pPr>
      <w:r w:rsidRPr="00DC7E04">
        <w:rPr>
          <w:rFonts w:ascii="Times New Roman" w:eastAsia="Times New Roman" w:hAnsi="Times New Roman" w:cs="Times New Roman"/>
          <w:b/>
          <w:noProof w:val="0"/>
          <w:sz w:val="24"/>
          <w:szCs w:val="24"/>
        </w:rPr>
        <w:t>Крайният срок</w:t>
      </w:r>
      <w:r w:rsidRPr="00DC7E04">
        <w:rPr>
          <w:rFonts w:ascii="Times New Roman" w:eastAsia="Times New Roman" w:hAnsi="Times New Roman" w:cs="Times New Roman"/>
          <w:noProof w:val="0"/>
          <w:sz w:val="24"/>
          <w:szCs w:val="24"/>
        </w:rPr>
        <w:t xml:space="preserve"> за подаване на проектни предложения е </w:t>
      </w:r>
      <w:r w:rsidR="009624A1">
        <w:rPr>
          <w:rFonts w:ascii="Times New Roman" w:eastAsia="Times New Roman" w:hAnsi="Times New Roman" w:cs="Times New Roman"/>
          <w:b/>
          <w:noProof w:val="0"/>
          <w:sz w:val="24"/>
          <w:szCs w:val="24"/>
        </w:rPr>
        <w:t xml:space="preserve">17:00 часа на </w:t>
      </w:r>
      <w:r w:rsidR="00A719F5" w:rsidRPr="006070CF">
        <w:rPr>
          <w:rFonts w:ascii="Times New Roman" w:eastAsia="Times New Roman" w:hAnsi="Times New Roman" w:cs="Times New Roman"/>
          <w:b/>
          <w:noProof w:val="0"/>
          <w:sz w:val="24"/>
          <w:szCs w:val="24"/>
        </w:rPr>
        <w:t>1</w:t>
      </w:r>
      <w:r w:rsidR="00A719F5">
        <w:rPr>
          <w:rFonts w:ascii="Times New Roman" w:eastAsia="Times New Roman" w:hAnsi="Times New Roman" w:cs="Times New Roman"/>
          <w:b/>
          <w:noProof w:val="0"/>
          <w:sz w:val="24"/>
          <w:szCs w:val="24"/>
          <w:lang w:val="en-US"/>
        </w:rPr>
        <w:t>2</w:t>
      </w:r>
      <w:r w:rsidR="009624A1" w:rsidRPr="006070CF">
        <w:rPr>
          <w:rFonts w:ascii="Times New Roman" w:eastAsia="Times New Roman" w:hAnsi="Times New Roman" w:cs="Times New Roman"/>
          <w:b/>
          <w:noProof w:val="0"/>
          <w:sz w:val="24"/>
          <w:szCs w:val="24"/>
        </w:rPr>
        <w:t>.</w:t>
      </w:r>
      <w:r w:rsidR="006070CF" w:rsidRPr="006070CF">
        <w:rPr>
          <w:rFonts w:ascii="Times New Roman" w:eastAsia="Times New Roman" w:hAnsi="Times New Roman" w:cs="Times New Roman"/>
          <w:b/>
          <w:noProof w:val="0"/>
          <w:sz w:val="24"/>
          <w:szCs w:val="24"/>
          <w:lang w:val="en-US"/>
        </w:rPr>
        <w:t>1</w:t>
      </w:r>
      <w:r w:rsidR="006070CF" w:rsidRPr="006070CF">
        <w:rPr>
          <w:rFonts w:ascii="Times New Roman" w:eastAsia="Times New Roman" w:hAnsi="Times New Roman" w:cs="Times New Roman"/>
          <w:b/>
          <w:noProof w:val="0"/>
          <w:sz w:val="24"/>
          <w:szCs w:val="24"/>
        </w:rPr>
        <w:t>2</w:t>
      </w:r>
      <w:r w:rsidR="00217DCF" w:rsidRPr="006070CF">
        <w:rPr>
          <w:rFonts w:ascii="Times New Roman" w:eastAsia="Times New Roman" w:hAnsi="Times New Roman" w:cs="Times New Roman"/>
          <w:b/>
          <w:noProof w:val="0"/>
          <w:sz w:val="24"/>
          <w:szCs w:val="24"/>
        </w:rPr>
        <w:t>.202</w:t>
      </w:r>
      <w:r w:rsidR="00C52AA5" w:rsidRPr="006070CF">
        <w:rPr>
          <w:rFonts w:ascii="Times New Roman" w:eastAsia="Times New Roman" w:hAnsi="Times New Roman" w:cs="Times New Roman"/>
          <w:b/>
          <w:noProof w:val="0"/>
          <w:sz w:val="24"/>
          <w:szCs w:val="24"/>
        </w:rPr>
        <w:t>3</w:t>
      </w:r>
      <w:r w:rsidRPr="006070CF">
        <w:rPr>
          <w:rFonts w:ascii="Times New Roman" w:eastAsia="Times New Roman" w:hAnsi="Times New Roman" w:cs="Times New Roman"/>
          <w:b/>
          <w:noProof w:val="0"/>
          <w:sz w:val="24"/>
          <w:szCs w:val="24"/>
        </w:rPr>
        <w:t xml:space="preserve"> г.</w:t>
      </w:r>
    </w:p>
    <w:sectPr w:rsidR="00E92704" w:rsidRPr="00DC7E04" w:rsidSect="008070FB">
      <w:headerReference w:type="first" r:id="rId8"/>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D5B" w:rsidRDefault="00885D5B" w:rsidP="007346C1">
      <w:pPr>
        <w:spacing w:after="0" w:line="240" w:lineRule="auto"/>
      </w:pPr>
      <w:r>
        <w:separator/>
      </w:r>
    </w:p>
  </w:endnote>
  <w:endnote w:type="continuationSeparator" w:id="0">
    <w:p w:rsidR="00885D5B" w:rsidRDefault="00885D5B" w:rsidP="00734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D5B" w:rsidRDefault="00885D5B" w:rsidP="007346C1">
      <w:pPr>
        <w:spacing w:after="0" w:line="240" w:lineRule="auto"/>
      </w:pPr>
      <w:r>
        <w:separator/>
      </w:r>
    </w:p>
  </w:footnote>
  <w:footnote w:type="continuationSeparator" w:id="0">
    <w:p w:rsidR="00885D5B" w:rsidRDefault="00885D5B" w:rsidP="00734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09" w:type="dxa"/>
      <w:jc w:val="center"/>
      <w:tblLook w:val="04A0" w:firstRow="1" w:lastRow="0" w:firstColumn="1" w:lastColumn="0" w:noHBand="0" w:noVBand="1"/>
    </w:tblPr>
    <w:tblGrid>
      <w:gridCol w:w="2730"/>
      <w:gridCol w:w="3747"/>
      <w:gridCol w:w="2232"/>
    </w:tblGrid>
    <w:tr w:rsidR="007346C1" w:rsidRPr="007346C1" w:rsidTr="00832948">
      <w:trPr>
        <w:jc w:val="center"/>
      </w:trPr>
      <w:tc>
        <w:tcPr>
          <w:tcW w:w="2839" w:type="dxa"/>
          <w:shd w:val="clear" w:color="auto" w:fill="auto"/>
        </w:tcPr>
        <w:p w:rsidR="007346C1" w:rsidRPr="007346C1" w:rsidRDefault="007346C1" w:rsidP="007346C1">
          <w:pPr>
            <w:spacing w:after="0" w:line="240" w:lineRule="auto"/>
            <w:jc w:val="center"/>
            <w:rPr>
              <w:rFonts w:ascii="Calibri" w:eastAsia="Calibri" w:hAnsi="Calibri" w:cs="Times New Roman"/>
            </w:rPr>
          </w:pPr>
          <w:r>
            <w:rPr>
              <w:rFonts w:ascii="Calibri" w:eastAsia="Calibri" w:hAnsi="Calibri" w:cs="Times New Roman"/>
              <w:lang w:val="en-US"/>
            </w:rPr>
            <w:drawing>
              <wp:inline distT="0" distB="0" distL="0" distR="0" wp14:anchorId="269EDDEE" wp14:editId="37B4BB2B">
                <wp:extent cx="1041400" cy="723265"/>
                <wp:effectExtent l="0" t="0" r="635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23265"/>
                        </a:xfrm>
                        <a:prstGeom prst="rect">
                          <a:avLst/>
                        </a:prstGeom>
                        <a:noFill/>
                        <a:ln>
                          <a:noFill/>
                        </a:ln>
                      </pic:spPr>
                    </pic:pic>
                  </a:graphicData>
                </a:graphic>
              </wp:inline>
            </w:drawing>
          </w:r>
        </w:p>
        <w:p w:rsidR="007346C1" w:rsidRPr="007346C1" w:rsidRDefault="007346C1" w:rsidP="007346C1">
          <w:pPr>
            <w:spacing w:after="0" w:line="240" w:lineRule="auto"/>
            <w:jc w:val="center"/>
            <w:rPr>
              <w:rFonts w:ascii="Candara" w:eastAsia="Calibri" w:hAnsi="Candara" w:cs="Candara"/>
              <w:b/>
              <w:bCs/>
              <w:kern w:val="24"/>
              <w:sz w:val="16"/>
              <w:szCs w:val="16"/>
              <w:lang w:val="ru-RU"/>
            </w:rPr>
          </w:pPr>
          <w:r w:rsidRPr="007346C1">
            <w:rPr>
              <w:rFonts w:ascii="Candara" w:eastAsia="Calibri" w:hAnsi="Candara" w:cs="Candara"/>
              <w:b/>
              <w:bCs/>
              <w:kern w:val="24"/>
              <w:sz w:val="16"/>
              <w:szCs w:val="16"/>
              <w:lang w:val="ru-RU"/>
            </w:rPr>
            <w:t>ЕВРОПЕЙСКИ СЪЮЗ</w:t>
          </w:r>
        </w:p>
        <w:p w:rsidR="007346C1" w:rsidRPr="007346C1" w:rsidRDefault="007346C1" w:rsidP="007346C1">
          <w:pPr>
            <w:spacing w:after="0" w:line="240" w:lineRule="auto"/>
            <w:jc w:val="center"/>
            <w:rPr>
              <w:rFonts w:ascii="Candara" w:eastAsia="Calibri" w:hAnsi="Candara" w:cs="Candara"/>
              <w:kern w:val="24"/>
              <w:sz w:val="16"/>
              <w:szCs w:val="16"/>
              <w:lang w:val="ru-RU"/>
            </w:rPr>
          </w:pPr>
          <w:r w:rsidRPr="007346C1">
            <w:rPr>
              <w:rFonts w:ascii="Candara" w:eastAsia="Calibri" w:hAnsi="Candara" w:cs="Candara"/>
              <w:kern w:val="24"/>
              <w:sz w:val="16"/>
              <w:szCs w:val="16"/>
              <w:lang w:val="ru-RU"/>
            </w:rPr>
            <w:t>ЕВРОПЕЙСКИ ФОНД ЗА</w:t>
          </w:r>
        </w:p>
        <w:p w:rsidR="007346C1" w:rsidRPr="007346C1" w:rsidRDefault="007346C1" w:rsidP="007346C1">
          <w:pPr>
            <w:spacing w:after="0" w:line="240" w:lineRule="auto"/>
            <w:jc w:val="center"/>
            <w:rPr>
              <w:rFonts w:ascii="Calibri" w:eastAsia="Calibri" w:hAnsi="Calibri" w:cs="Times New Roman"/>
            </w:rPr>
          </w:pPr>
          <w:r w:rsidRPr="007346C1">
            <w:rPr>
              <w:rFonts w:ascii="Candara" w:eastAsia="Calibri" w:hAnsi="Candara" w:cs="Candara"/>
              <w:kern w:val="24"/>
              <w:sz w:val="16"/>
              <w:szCs w:val="16"/>
              <w:lang w:val="ru-RU"/>
            </w:rPr>
            <w:t>МОРСКО ДЕЛО И РИБАРСТВО</w:t>
          </w:r>
        </w:p>
      </w:tc>
      <w:tc>
        <w:tcPr>
          <w:tcW w:w="3880" w:type="dxa"/>
          <w:shd w:val="clear" w:color="auto" w:fill="auto"/>
        </w:tcPr>
        <w:p w:rsidR="007346C1" w:rsidRPr="007346C1" w:rsidRDefault="007346C1" w:rsidP="007346C1">
          <w:pPr>
            <w:spacing w:after="0" w:line="240" w:lineRule="auto"/>
            <w:jc w:val="center"/>
            <w:rPr>
              <w:rFonts w:ascii="Calibri" w:eastAsia="Calibri" w:hAnsi="Calibri" w:cs="Times New Roman"/>
            </w:rPr>
          </w:pPr>
          <w:r>
            <w:rPr>
              <w:rFonts w:ascii="Calibri" w:eastAsia="Calibri" w:hAnsi="Calibri" w:cs="Times New Roman"/>
              <w:lang w:val="en-US"/>
            </w:rPr>
            <w:drawing>
              <wp:inline distT="0" distB="0" distL="0" distR="0" wp14:anchorId="2B7D33F1" wp14:editId="7D3E7DC9">
                <wp:extent cx="1566545" cy="8509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6545" cy="850900"/>
                        </a:xfrm>
                        <a:prstGeom prst="rect">
                          <a:avLst/>
                        </a:prstGeom>
                        <a:noFill/>
                        <a:ln>
                          <a:noFill/>
                        </a:ln>
                      </pic:spPr>
                    </pic:pic>
                  </a:graphicData>
                </a:graphic>
              </wp:inline>
            </w:drawing>
          </w:r>
        </w:p>
        <w:p w:rsidR="007346C1" w:rsidRDefault="007346C1" w:rsidP="007346C1">
          <w:pPr>
            <w:spacing w:after="0" w:line="259" w:lineRule="auto"/>
            <w:jc w:val="center"/>
            <w:textAlignment w:val="baseline"/>
            <w:rPr>
              <w:rFonts w:ascii="Candara" w:eastAsia="Calibri" w:hAnsi="Candara" w:cs="Candara"/>
              <w:noProof w:val="0"/>
              <w:color w:val="000000"/>
              <w:kern w:val="24"/>
              <w:sz w:val="16"/>
              <w:szCs w:val="16"/>
            </w:rPr>
          </w:pPr>
          <w:r w:rsidRPr="007346C1">
            <w:rPr>
              <w:rFonts w:ascii="Candara" w:eastAsia="Calibri" w:hAnsi="Candara" w:cs="Candara"/>
              <w:noProof w:val="0"/>
              <w:color w:val="000000"/>
              <w:kern w:val="24"/>
              <w:sz w:val="16"/>
              <w:szCs w:val="16"/>
            </w:rPr>
            <w:t>МИНИСТЕРСТВО НА ЗЕМЕДЕЛИЕТО</w:t>
          </w:r>
          <w:r w:rsidR="00A6074E">
            <w:rPr>
              <w:rFonts w:ascii="Candara" w:eastAsia="Calibri" w:hAnsi="Candara" w:cs="Candara"/>
              <w:noProof w:val="0"/>
              <w:color w:val="000000"/>
              <w:kern w:val="24"/>
              <w:sz w:val="16"/>
              <w:szCs w:val="16"/>
            </w:rPr>
            <w:t xml:space="preserve"> И</w:t>
          </w:r>
        </w:p>
        <w:p w:rsidR="007346C1" w:rsidRPr="00A6074E" w:rsidRDefault="00A6074E" w:rsidP="00A6074E">
          <w:pPr>
            <w:spacing w:after="0" w:line="259" w:lineRule="auto"/>
            <w:jc w:val="center"/>
            <w:textAlignment w:val="baseline"/>
            <w:rPr>
              <w:rFonts w:ascii="Calibri" w:eastAsia="Calibri" w:hAnsi="Calibri" w:cs="Calibri"/>
              <w:noProof w:val="0"/>
              <w:sz w:val="16"/>
              <w:szCs w:val="16"/>
            </w:rPr>
          </w:pPr>
          <w:r>
            <w:rPr>
              <w:rFonts w:ascii="Candara" w:eastAsia="Calibri" w:hAnsi="Candara" w:cs="Candara"/>
              <w:noProof w:val="0"/>
              <w:color w:val="000000"/>
              <w:kern w:val="24"/>
              <w:sz w:val="16"/>
              <w:szCs w:val="16"/>
            </w:rPr>
            <w:t>ХРАНИТЕ</w:t>
          </w:r>
          <w:r>
            <w:rPr>
              <w:rFonts w:ascii="Calibri" w:eastAsia="Calibri" w:hAnsi="Calibri" w:cs="Calibri"/>
              <w:noProof w:val="0"/>
              <w:sz w:val="16"/>
              <w:szCs w:val="16"/>
            </w:rPr>
            <w:t xml:space="preserve"> </w:t>
          </w:r>
        </w:p>
      </w:tc>
      <w:tc>
        <w:tcPr>
          <w:tcW w:w="1990" w:type="dxa"/>
          <w:shd w:val="clear" w:color="auto" w:fill="auto"/>
        </w:tcPr>
        <w:p w:rsidR="007346C1" w:rsidRPr="007346C1" w:rsidRDefault="007346C1" w:rsidP="007346C1">
          <w:pPr>
            <w:spacing w:after="0" w:line="240" w:lineRule="auto"/>
            <w:jc w:val="center"/>
            <w:rPr>
              <w:rFonts w:ascii="Arial" w:eastAsia="Calibri" w:hAnsi="Arial" w:cs="Arial"/>
            </w:rPr>
          </w:pPr>
          <w:r>
            <w:rPr>
              <w:rFonts w:ascii="Arial" w:eastAsia="Calibri" w:hAnsi="Arial" w:cs="Arial"/>
              <w:lang w:val="en-US"/>
            </w:rPr>
            <w:drawing>
              <wp:inline distT="0" distB="0" distL="0" distR="0" wp14:anchorId="616C9508" wp14:editId="1D9E4E6B">
                <wp:extent cx="1280160" cy="11607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160" cy="1160780"/>
                        </a:xfrm>
                        <a:prstGeom prst="rect">
                          <a:avLst/>
                        </a:prstGeom>
                        <a:noFill/>
                        <a:ln>
                          <a:noFill/>
                        </a:ln>
                      </pic:spPr>
                    </pic:pic>
                  </a:graphicData>
                </a:graphic>
              </wp:inline>
            </w:drawing>
          </w:r>
        </w:p>
      </w:tc>
    </w:tr>
  </w:tbl>
  <w:p w:rsidR="007346C1" w:rsidRPr="007346C1" w:rsidRDefault="007346C1" w:rsidP="007346C1">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D2B"/>
    <w:rsid w:val="000156EB"/>
    <w:rsid w:val="000E0E66"/>
    <w:rsid w:val="00103218"/>
    <w:rsid w:val="001340AA"/>
    <w:rsid w:val="00195049"/>
    <w:rsid w:val="0020587C"/>
    <w:rsid w:val="00217DCF"/>
    <w:rsid w:val="00234519"/>
    <w:rsid w:val="00242B1A"/>
    <w:rsid w:val="00253394"/>
    <w:rsid w:val="00260273"/>
    <w:rsid w:val="0035252D"/>
    <w:rsid w:val="003D113F"/>
    <w:rsid w:val="00420CB1"/>
    <w:rsid w:val="004A4B3A"/>
    <w:rsid w:val="004F3347"/>
    <w:rsid w:val="005209DF"/>
    <w:rsid w:val="006070CF"/>
    <w:rsid w:val="00610870"/>
    <w:rsid w:val="00631183"/>
    <w:rsid w:val="006E5C2B"/>
    <w:rsid w:val="00733831"/>
    <w:rsid w:val="007346C1"/>
    <w:rsid w:val="0075345F"/>
    <w:rsid w:val="007B71D0"/>
    <w:rsid w:val="007B7832"/>
    <w:rsid w:val="008070FB"/>
    <w:rsid w:val="00885D5B"/>
    <w:rsid w:val="008C7373"/>
    <w:rsid w:val="00912C50"/>
    <w:rsid w:val="009624A1"/>
    <w:rsid w:val="00962CEB"/>
    <w:rsid w:val="009D447D"/>
    <w:rsid w:val="009F11F0"/>
    <w:rsid w:val="00A069D8"/>
    <w:rsid w:val="00A30CCA"/>
    <w:rsid w:val="00A545D3"/>
    <w:rsid w:val="00A6074E"/>
    <w:rsid w:val="00A719F5"/>
    <w:rsid w:val="00AE02A5"/>
    <w:rsid w:val="00B33385"/>
    <w:rsid w:val="00B66D2B"/>
    <w:rsid w:val="00BC5380"/>
    <w:rsid w:val="00C42FFD"/>
    <w:rsid w:val="00C52AA5"/>
    <w:rsid w:val="00CA154D"/>
    <w:rsid w:val="00CB5DDB"/>
    <w:rsid w:val="00D05BDB"/>
    <w:rsid w:val="00D40B6C"/>
    <w:rsid w:val="00DC7E04"/>
    <w:rsid w:val="00E66855"/>
    <w:rsid w:val="00E92704"/>
    <w:rsid w:val="00F34F3E"/>
    <w:rsid w:val="00FB1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7AF85-F3DF-4BB5-A68A-35D5AF23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bg-BG"/>
    </w:rPr>
  </w:style>
  <w:style w:type="paragraph" w:styleId="Heading2">
    <w:name w:val="heading 2"/>
    <w:basedOn w:val="Normal"/>
    <w:next w:val="Normal"/>
    <w:link w:val="Heading2Char"/>
    <w:uiPriority w:val="9"/>
    <w:semiHidden/>
    <w:unhideWhenUsed/>
    <w:qFormat/>
    <w:rsid w:val="007B78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6C1"/>
    <w:pPr>
      <w:tabs>
        <w:tab w:val="center" w:pos="4703"/>
        <w:tab w:val="right" w:pos="9406"/>
      </w:tabs>
      <w:spacing w:after="0" w:line="240" w:lineRule="auto"/>
    </w:pPr>
  </w:style>
  <w:style w:type="character" w:customStyle="1" w:styleId="HeaderChar">
    <w:name w:val="Header Char"/>
    <w:basedOn w:val="DefaultParagraphFont"/>
    <w:link w:val="Header"/>
    <w:uiPriority w:val="99"/>
    <w:rsid w:val="007346C1"/>
    <w:rPr>
      <w:noProof/>
      <w:lang w:val="bg-BG"/>
    </w:rPr>
  </w:style>
  <w:style w:type="paragraph" w:styleId="Footer">
    <w:name w:val="footer"/>
    <w:basedOn w:val="Normal"/>
    <w:link w:val="FooterChar"/>
    <w:uiPriority w:val="99"/>
    <w:unhideWhenUsed/>
    <w:rsid w:val="007346C1"/>
    <w:pPr>
      <w:tabs>
        <w:tab w:val="center" w:pos="4703"/>
        <w:tab w:val="right" w:pos="9406"/>
      </w:tabs>
      <w:spacing w:after="0" w:line="240" w:lineRule="auto"/>
    </w:pPr>
  </w:style>
  <w:style w:type="character" w:customStyle="1" w:styleId="FooterChar">
    <w:name w:val="Footer Char"/>
    <w:basedOn w:val="DefaultParagraphFont"/>
    <w:link w:val="Footer"/>
    <w:uiPriority w:val="99"/>
    <w:rsid w:val="007346C1"/>
    <w:rPr>
      <w:noProof/>
      <w:lang w:val="bg-BG"/>
    </w:rPr>
  </w:style>
  <w:style w:type="paragraph" w:styleId="BalloonText">
    <w:name w:val="Balloon Text"/>
    <w:basedOn w:val="Normal"/>
    <w:link w:val="BalloonTextChar"/>
    <w:uiPriority w:val="99"/>
    <w:semiHidden/>
    <w:unhideWhenUsed/>
    <w:rsid w:val="00734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6C1"/>
    <w:rPr>
      <w:rFonts w:ascii="Tahoma" w:hAnsi="Tahoma" w:cs="Tahoma"/>
      <w:noProof/>
      <w:sz w:val="16"/>
      <w:szCs w:val="16"/>
      <w:lang w:val="bg-BG"/>
    </w:rPr>
  </w:style>
  <w:style w:type="character" w:styleId="Hyperlink">
    <w:name w:val="Hyperlink"/>
    <w:basedOn w:val="DefaultParagraphFont"/>
    <w:uiPriority w:val="99"/>
    <w:unhideWhenUsed/>
    <w:rsid w:val="00217DCF"/>
    <w:rPr>
      <w:color w:val="0000FF" w:themeColor="hyperlink"/>
      <w:u w:val="single"/>
    </w:rPr>
  </w:style>
  <w:style w:type="character" w:customStyle="1" w:styleId="Heading2Char">
    <w:name w:val="Heading 2 Char"/>
    <w:basedOn w:val="DefaultParagraphFont"/>
    <w:link w:val="Heading2"/>
    <w:uiPriority w:val="9"/>
    <w:semiHidden/>
    <w:rsid w:val="007B7832"/>
    <w:rPr>
      <w:rFonts w:asciiTheme="majorHAnsi" w:eastAsiaTheme="majorEastAsia" w:hAnsiTheme="majorHAnsi" w:cstheme="majorBidi"/>
      <w:b/>
      <w:bCs/>
      <w:noProof/>
      <w:color w:val="4F81BD" w:themeColor="accent1"/>
      <w:sz w:val="26"/>
      <w:szCs w:val="2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4636">
      <w:bodyDiv w:val="1"/>
      <w:marLeft w:val="0"/>
      <w:marRight w:val="0"/>
      <w:marTop w:val="0"/>
      <w:marBottom w:val="0"/>
      <w:divBdr>
        <w:top w:val="none" w:sz="0" w:space="0" w:color="auto"/>
        <w:left w:val="none" w:sz="0" w:space="0" w:color="auto"/>
        <w:bottom w:val="none" w:sz="0" w:space="0" w:color="auto"/>
        <w:right w:val="none" w:sz="0" w:space="0" w:color="auto"/>
      </w:divBdr>
    </w:div>
    <w:div w:id="18449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umis2020.government.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funds.b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Stoimen Yochev</dc:creator>
  <cp:lastModifiedBy>Krasimira Dankova</cp:lastModifiedBy>
  <cp:revision>8</cp:revision>
  <dcterms:created xsi:type="dcterms:W3CDTF">2023-10-13T13:37:00Z</dcterms:created>
  <dcterms:modified xsi:type="dcterms:W3CDTF">2023-10-16T14:27:00Z</dcterms:modified>
</cp:coreProperties>
</file>