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166AF4">
        <w:rPr>
          <w:rFonts w:ascii="Times New Roman" w:hAnsi="Times New Roman" w:cs="Times New Roman"/>
          <w:sz w:val="24"/>
          <w:szCs w:val="24"/>
          <w:lang w:val="bg-BG"/>
        </w:rPr>
        <w:t xml:space="preserve"> </w:t>
      </w:r>
      <w:bookmarkStart w:id="0" w:name="_GoBack"/>
      <w:bookmarkEnd w:id="0"/>
      <w:r w:rsidR="00166AF4">
        <w:rPr>
          <w:rFonts w:ascii="Times New Roman" w:hAnsi="Times New Roman" w:cs="Times New Roman"/>
          <w:sz w:val="24"/>
          <w:szCs w:val="24"/>
          <w:lang w:val="bg-BG"/>
        </w:rPr>
        <w:t>7</w:t>
      </w:r>
      <w:r w:rsidR="000E110B">
        <w:rPr>
          <w:rFonts w:ascii="Times New Roman" w:hAnsi="Times New Roman" w:cs="Times New Roman"/>
          <w:sz w:val="24"/>
          <w:szCs w:val="24"/>
          <w:lang w:val="bg-BG"/>
        </w:rPr>
        <w:t xml:space="preserve"> </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082FB9" w:rsidRDefault="005F3B7F" w:rsidP="00B142C2">
      <w:pPr>
        <w:spacing w:after="0"/>
        <w:jc w:val="both"/>
        <w:rPr>
          <w:rFonts w:ascii="Times New Roman" w:hAnsi="Times New Roman" w:cs="Times New Roman"/>
          <w:b/>
          <w:sz w:val="24"/>
          <w:szCs w:val="24"/>
        </w:rPr>
      </w:pPr>
      <w:r w:rsidRPr="00082FB9">
        <w:rPr>
          <w:rFonts w:ascii="Times New Roman" w:hAnsi="Times New Roman" w:cs="Times New Roman"/>
          <w:b/>
          <w:sz w:val="24"/>
          <w:szCs w:val="24"/>
        </w:rPr>
        <w:t xml:space="preserve">В </w:t>
      </w:r>
      <w:proofErr w:type="spellStart"/>
      <w:r w:rsidRPr="00082FB9">
        <w:rPr>
          <w:rFonts w:ascii="Times New Roman" w:hAnsi="Times New Roman" w:cs="Times New Roman"/>
          <w:b/>
          <w:sz w:val="24"/>
          <w:szCs w:val="24"/>
        </w:rPr>
        <w:t>качеството</w:t>
      </w:r>
      <w:proofErr w:type="spellEnd"/>
      <w:r w:rsidRPr="00082FB9">
        <w:rPr>
          <w:rFonts w:ascii="Times New Roman" w:hAnsi="Times New Roman" w:cs="Times New Roman"/>
          <w:b/>
          <w:sz w:val="24"/>
          <w:szCs w:val="24"/>
        </w:rPr>
        <w:t xml:space="preserve"> </w:t>
      </w:r>
      <w:proofErr w:type="spellStart"/>
      <w:r w:rsidRPr="00082FB9">
        <w:rPr>
          <w:rFonts w:ascii="Times New Roman" w:hAnsi="Times New Roman" w:cs="Times New Roman"/>
          <w:b/>
          <w:sz w:val="24"/>
          <w:szCs w:val="24"/>
        </w:rPr>
        <w:t>ми</w:t>
      </w:r>
      <w:proofErr w:type="spellEnd"/>
      <w:r w:rsidRPr="00082FB9">
        <w:rPr>
          <w:rFonts w:ascii="Times New Roman" w:hAnsi="Times New Roman" w:cs="Times New Roman"/>
          <w:b/>
          <w:sz w:val="24"/>
          <w:szCs w:val="24"/>
        </w:rPr>
        <w:t xml:space="preserve">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1060/2021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Програмата за морско дело, </w:t>
      </w:r>
      <w:proofErr w:type="spellStart"/>
      <w:r w:rsidRPr="0060718B">
        <w:rPr>
          <w:rFonts w:ascii="Times New Roman" w:hAnsi="Times New Roman" w:cs="Times New Roman"/>
          <w:sz w:val="24"/>
          <w:szCs w:val="24"/>
          <w:lang w:val="bg-BG"/>
        </w:rPr>
        <w:t>рибарствои</w:t>
      </w:r>
      <w:proofErr w:type="spellEnd"/>
      <w:r w:rsidRPr="0060718B">
        <w:rPr>
          <w:rFonts w:ascii="Times New Roman" w:hAnsi="Times New Roman" w:cs="Times New Roman"/>
          <w:sz w:val="24"/>
          <w:szCs w:val="24"/>
          <w:lang w:val="bg-BG"/>
        </w:rPr>
        <w:t xml:space="preserve">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5. Запознат/а съм с Наредбата за администриране на нередности по Европейските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структурни и инвестиционни фондове, приета с Постановление № 173 на Министерския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съвет от 13.07.2016 г.</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1139/2022.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166AF4">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9"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10"/>
      <w:headerReference w:type="default" r:id="rId11"/>
      <w:footerReference w:type="even" r:id="rId12"/>
      <w:footerReference w:type="default" r:id="rId13"/>
      <w:headerReference w:type="first" r:id="rId14"/>
      <w:footerReference w:type="first" r:id="rId15"/>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се и се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gramStart"/>
      <w:r w:rsidRPr="00587AAD">
        <w:t xml:space="preserve">се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лица, </w:t>
      </w:r>
      <w:proofErr w:type="spellStart"/>
      <w:r w:rsidRPr="00587AAD">
        <w:t>декларацията</w:t>
      </w:r>
      <w:proofErr w:type="spellEnd"/>
      <w:r w:rsidRPr="00587AAD">
        <w:t xml:space="preserve"> се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bookmarkStart w:id="1" w:name="_GoBack"/>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bookmarkEnd w:id="1"/>
                  <w:p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0E110B"/>
    <w:rsid w:val="001216F9"/>
    <w:rsid w:val="0015564B"/>
    <w:rsid w:val="0016057D"/>
    <w:rsid w:val="00166AF4"/>
    <w:rsid w:val="001938C0"/>
    <w:rsid w:val="0019579E"/>
    <w:rsid w:val="001A443A"/>
    <w:rsid w:val="00275F49"/>
    <w:rsid w:val="00294750"/>
    <w:rsid w:val="002E6141"/>
    <w:rsid w:val="00342BAB"/>
    <w:rsid w:val="00376647"/>
    <w:rsid w:val="00377CFA"/>
    <w:rsid w:val="0038619D"/>
    <w:rsid w:val="00395B9B"/>
    <w:rsid w:val="003A5980"/>
    <w:rsid w:val="003C7229"/>
    <w:rsid w:val="003D264A"/>
    <w:rsid w:val="003F11FA"/>
    <w:rsid w:val="004038B3"/>
    <w:rsid w:val="00433AAE"/>
    <w:rsid w:val="004976F8"/>
    <w:rsid w:val="00587AAD"/>
    <w:rsid w:val="005F3B7F"/>
    <w:rsid w:val="005F6D9E"/>
    <w:rsid w:val="0060718B"/>
    <w:rsid w:val="0063155A"/>
    <w:rsid w:val="00693384"/>
    <w:rsid w:val="00697C2D"/>
    <w:rsid w:val="006B0DBC"/>
    <w:rsid w:val="00713070"/>
    <w:rsid w:val="00722B71"/>
    <w:rsid w:val="00734479"/>
    <w:rsid w:val="007B05CB"/>
    <w:rsid w:val="008D4699"/>
    <w:rsid w:val="00930822"/>
    <w:rsid w:val="009371EF"/>
    <w:rsid w:val="009404BD"/>
    <w:rsid w:val="00966808"/>
    <w:rsid w:val="00A7508A"/>
    <w:rsid w:val="00AC1C9B"/>
    <w:rsid w:val="00AF3D40"/>
    <w:rsid w:val="00AF65FB"/>
    <w:rsid w:val="00B142C2"/>
    <w:rsid w:val="00BE6FDF"/>
    <w:rsid w:val="00BE75A9"/>
    <w:rsid w:val="00C80AD2"/>
    <w:rsid w:val="00C92693"/>
    <w:rsid w:val="00C949DD"/>
    <w:rsid w:val="00D16973"/>
    <w:rsid w:val="00D66273"/>
    <w:rsid w:val="00DC3A42"/>
    <w:rsid w:val="00DE1E03"/>
    <w:rsid w:val="00E10093"/>
    <w:rsid w:val="00E2141C"/>
    <w:rsid w:val="00EA6337"/>
    <w:rsid w:val="00F32768"/>
    <w:rsid w:val="00F658BA"/>
    <w:rsid w:val="00F87A73"/>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166A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A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166A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A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64478-4725-48B9-A397-F8F644A54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11</Pages>
  <Words>2875</Words>
  <Characters>16394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119</cp:revision>
  <dcterms:created xsi:type="dcterms:W3CDTF">2023-06-23T11:19:00Z</dcterms:created>
  <dcterms:modified xsi:type="dcterms:W3CDTF">2023-12-11T14:30:00Z</dcterms:modified>
</cp:coreProperties>
</file>