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3EC6" w:rsidRPr="00354CE4" w:rsidRDefault="00835325" w:rsidP="005F67FF">
      <w:bookmarkStart w:id="0" w:name="_Toc377036716"/>
      <w:bookmarkStart w:id="1" w:name="_Toc122968181"/>
      <w:r w:rsidRPr="0062376D">
        <w:rPr>
          <w:noProof/>
          <w:lang w:val="en-US"/>
        </w:rPr>
        <w:drawing>
          <wp:anchor distT="0" distB="0" distL="114300" distR="114300" simplePos="0" relativeHeight="251659264" behindDoc="1" locked="0" layoutInCell="1" allowOverlap="1" wp14:anchorId="0ED0CA0F" wp14:editId="7AE457C5">
            <wp:simplePos x="0" y="0"/>
            <wp:positionH relativeFrom="margin">
              <wp:posOffset>-1905</wp:posOffset>
            </wp:positionH>
            <wp:positionV relativeFrom="paragraph">
              <wp:posOffset>247650</wp:posOffset>
            </wp:positionV>
            <wp:extent cx="6103620" cy="1042035"/>
            <wp:effectExtent l="0" t="0" r="0" b="5715"/>
            <wp:wrapThrough wrapText="bothSides">
              <wp:wrapPolygon edited="0">
                <wp:start x="0" y="0"/>
                <wp:lineTo x="0" y="21324"/>
                <wp:lineTo x="21506" y="21324"/>
                <wp:lineTo x="21506" y="0"/>
                <wp:lineTo x="0" y="0"/>
              </wp:wrapPolygon>
            </wp:wrapThrough>
            <wp:docPr id="484103938" name="Картина 484103938" descr="C:\Users\kdankova\Pictures\Logo shapka PMD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dankova\Pictures\Logo shapka PMDRA.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03620" cy="104203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13EC6" w:rsidRPr="00354CE4" w:rsidRDefault="00413EC6" w:rsidP="005F67FF"/>
    <w:p w:rsidR="00413EC6" w:rsidRPr="00354CE4" w:rsidRDefault="00413EC6" w:rsidP="005F67FF"/>
    <w:p w:rsidR="00835325" w:rsidRPr="00354CE4" w:rsidRDefault="00835325" w:rsidP="005F67FF"/>
    <w:p w:rsidR="00835325" w:rsidRPr="00354CE4" w:rsidRDefault="00835325" w:rsidP="005F67FF"/>
    <w:p w:rsidR="00413EC6" w:rsidRPr="00354CE4" w:rsidRDefault="00413EC6" w:rsidP="005F67FF"/>
    <w:p w:rsidR="00413EC6" w:rsidRPr="00354CE4" w:rsidRDefault="00413EC6" w:rsidP="005F67FF"/>
    <w:p w:rsidR="00413EC6" w:rsidRPr="00354CE4" w:rsidRDefault="00413EC6" w:rsidP="005F67FF"/>
    <w:p w:rsidR="00117A34" w:rsidRPr="00354CE4" w:rsidRDefault="00117A34" w:rsidP="00117A34">
      <w:pPr>
        <w:shd w:val="clear" w:color="auto" w:fill="D9D9D9"/>
        <w:spacing w:after="0" w:line="240" w:lineRule="auto"/>
        <w:contextualSpacing/>
        <w:jc w:val="center"/>
        <w:rPr>
          <w:rFonts w:ascii="Times New Roman" w:eastAsia="Times New Roman" w:hAnsi="Times New Roman" w:cs="Times New Roman"/>
          <w:b/>
          <w:smallCaps/>
          <w:color w:val="2E74B5"/>
          <w:spacing w:val="-10"/>
          <w:kern w:val="28"/>
          <w:sz w:val="72"/>
          <w:szCs w:val="56"/>
          <w14:shadow w14:blurRad="50800" w14:dist="38100" w14:dir="16200000" w14:sx="100000" w14:sy="100000" w14:kx="0" w14:ky="0" w14:algn="b">
            <w14:srgbClr w14:val="000000">
              <w14:alpha w14:val="60000"/>
            </w14:srgbClr>
          </w14:shadow>
        </w:rPr>
      </w:pPr>
      <w:r w:rsidRPr="00354CE4">
        <w:rPr>
          <w:rFonts w:ascii="Times New Roman" w:eastAsia="Times New Roman" w:hAnsi="Times New Roman" w:cs="Times New Roman"/>
          <w:b/>
          <w:smallCaps/>
          <w:color w:val="2E74B5"/>
          <w:spacing w:val="-10"/>
          <w:kern w:val="28"/>
          <w:sz w:val="72"/>
          <w:szCs w:val="56"/>
          <w14:shadow w14:blurRad="50800" w14:dist="38100" w14:dir="16200000" w14:sx="100000" w14:sy="100000" w14:kx="0" w14:ky="0" w14:algn="b">
            <w14:srgbClr w14:val="000000">
              <w14:alpha w14:val="60000"/>
            </w14:srgbClr>
          </w14:shadow>
        </w:rPr>
        <w:t>План за оценка на</w:t>
      </w:r>
      <w:r w:rsidRPr="00354CE4">
        <w:rPr>
          <w:rFonts w:ascii="Times New Roman" w:eastAsia="Times New Roman" w:hAnsi="Times New Roman" w:cs="Times New Roman"/>
          <w:b/>
          <w:smallCaps/>
          <w:color w:val="2E74B5"/>
          <w:spacing w:val="-10"/>
          <w:kern w:val="28"/>
          <w:sz w:val="72"/>
          <w:szCs w:val="56"/>
          <w14:shadow w14:blurRad="50800" w14:dist="38100" w14:dir="16200000" w14:sx="100000" w14:sy="100000" w14:kx="0" w14:ky="0" w14:algn="b">
            <w14:srgbClr w14:val="000000">
              <w14:alpha w14:val="60000"/>
            </w14:srgbClr>
          </w14:shadow>
        </w:rPr>
        <w:br/>
        <w:t xml:space="preserve">ПРОГРАМА ЗА МОРСКО ДЕЛО, РИБАРСТВО И АКВАКУЛТУРИ </w:t>
      </w:r>
      <w:r w:rsidRPr="00354CE4">
        <w:rPr>
          <w:rFonts w:ascii="Times New Roman" w:eastAsia="Times New Roman" w:hAnsi="Times New Roman" w:cs="Times New Roman"/>
          <w:b/>
          <w:smallCaps/>
          <w:color w:val="2E74B5"/>
          <w:spacing w:val="-10"/>
          <w:kern w:val="28"/>
          <w:sz w:val="72"/>
          <w:szCs w:val="56"/>
          <w14:shadow w14:blurRad="50800" w14:dist="38100" w14:dir="16200000" w14:sx="100000" w14:sy="100000" w14:kx="0" w14:ky="0" w14:algn="b">
            <w14:srgbClr w14:val="000000">
              <w14:alpha w14:val="60000"/>
            </w14:srgbClr>
          </w14:shadow>
        </w:rPr>
        <w:br/>
        <w:t>2021 – 2027 (ПМДРА)</w:t>
      </w:r>
    </w:p>
    <w:p w:rsidR="00BE31C2" w:rsidRPr="00354CE4" w:rsidRDefault="00BE31C2" w:rsidP="005F67FF"/>
    <w:p w:rsidR="00835325" w:rsidRPr="00354CE4" w:rsidRDefault="00835325" w:rsidP="005F67FF"/>
    <w:p w:rsidR="00835325" w:rsidRPr="00354CE4" w:rsidRDefault="00835325" w:rsidP="005F67FF"/>
    <w:p w:rsidR="00835325" w:rsidRPr="00354CE4" w:rsidRDefault="00835325" w:rsidP="005F67FF"/>
    <w:p w:rsidR="00835325" w:rsidRPr="00354CE4" w:rsidRDefault="00835325" w:rsidP="005F67FF"/>
    <w:p w:rsidR="00835325" w:rsidRPr="00354CE4" w:rsidRDefault="00835325" w:rsidP="005F67FF"/>
    <w:p w:rsidR="00835325" w:rsidRPr="00354CE4" w:rsidRDefault="00835325" w:rsidP="005F67FF"/>
    <w:p w:rsidR="00835325" w:rsidRPr="00354CE4" w:rsidRDefault="00835325" w:rsidP="005F67FF"/>
    <w:p w:rsidR="00835325" w:rsidRPr="00354CE4" w:rsidRDefault="00835325" w:rsidP="005F67FF"/>
    <w:p w:rsidR="00BE31C2" w:rsidRPr="00354CE4" w:rsidRDefault="00835325" w:rsidP="00117A34">
      <w:pPr>
        <w:jc w:val="center"/>
      </w:pPr>
      <w:r w:rsidRPr="00354CE4">
        <w:t>София, ноември 2023 г.</w:t>
      </w:r>
    </w:p>
    <w:p w:rsidR="00BE31C2" w:rsidRPr="00354CE4" w:rsidRDefault="00BE31C2" w:rsidP="005F67FF">
      <w:r w:rsidRPr="00354CE4">
        <w:lastRenderedPageBreak/>
        <w:br w:type="page"/>
      </w:r>
    </w:p>
    <w:p w:rsidR="00835325" w:rsidRPr="00354CE4" w:rsidRDefault="00835325" w:rsidP="005F67FF">
      <w:pPr>
        <w:sectPr w:rsidR="00835325" w:rsidRPr="00354CE4" w:rsidSect="000E0B39">
          <w:footerReference w:type="default" r:id="rId10"/>
          <w:footerReference w:type="first" r:id="rId11"/>
          <w:pgSz w:w="11907" w:h="16839" w:code="9"/>
          <w:pgMar w:top="1134" w:right="1134" w:bottom="1134" w:left="1134" w:header="708" w:footer="708" w:gutter="0"/>
          <w:cols w:space="708"/>
          <w:titlePg/>
          <w:docGrid w:linePitch="360"/>
        </w:sectPr>
      </w:pPr>
    </w:p>
    <w:sdt>
      <w:sdtPr>
        <w:rPr>
          <w:rFonts w:ascii="Calibri Light" w:hAnsi="Calibri Light" w:cstheme="minorBidi"/>
          <w:b w:val="0"/>
          <w:smallCaps w:val="0"/>
          <w:color w:val="000000"/>
          <w:sz w:val="22"/>
          <w:szCs w:val="22"/>
          <w:lang w:eastAsia="en-US"/>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rPr>
        <w:id w:val="1733889965"/>
        <w:docPartObj>
          <w:docPartGallery w:val="Table of Contents"/>
          <w:docPartUnique/>
        </w:docPartObj>
      </w:sdtPr>
      <w:sdtEndPr>
        <w:rPr>
          <w:sz w:val="24"/>
          <w:szCs w:val="24"/>
        </w:rPr>
      </w:sdtEndPr>
      <w:sdtContent>
        <w:p w:rsidR="003A0DAB" w:rsidRDefault="003A0DAB" w:rsidP="0069306E">
          <w:pPr>
            <w:pStyle w:val="TOCHeading"/>
          </w:pPr>
          <w:r w:rsidRPr="00354CE4">
            <w:t>Съдържание</w:t>
          </w:r>
        </w:p>
        <w:p w:rsidR="008406BD" w:rsidRDefault="003A0DAB">
          <w:pPr>
            <w:pStyle w:val="TOC1"/>
            <w:rPr>
              <w:rFonts w:asciiTheme="minorHAnsi" w:eastAsiaTheme="minorEastAsia" w:hAnsiTheme="minorHAnsi"/>
              <w:b w:val="0"/>
              <w:smallCaps w:val="0"/>
              <w:color w:val="auto"/>
              <w:kern w:val="2"/>
              <w:lang w:val="en-US"/>
              <w14:shadow w14:blurRad="0" w14:dist="0" w14:dir="0" w14:sx="0" w14:sy="0" w14:kx="0" w14:ky="0" w14:algn="none">
                <w14:srgbClr w14:val="000000"/>
              </w14:shadow>
              <w14:textOutline w14:w="0" w14:cap="rnd" w14:cmpd="sng" w14:algn="ctr">
                <w14:noFill/>
                <w14:prstDash w14:val="solid"/>
                <w14:bevel/>
              </w14:textOutline>
              <w14:ligatures w14:val="standardContextual"/>
            </w:rPr>
          </w:pPr>
          <w:r w:rsidRPr="00354CE4">
            <w:fldChar w:fldCharType="begin"/>
          </w:r>
          <w:r w:rsidRPr="0062376D">
            <w:rPr>
              <w:noProof w:val="0"/>
            </w:rPr>
            <w:instrText xml:space="preserve"> TOC \o "1-3" \h \z \u </w:instrText>
          </w:r>
          <w:r w:rsidRPr="00354CE4">
            <w:rPr>
              <w:noProof w:val="0"/>
            </w:rPr>
            <w:fldChar w:fldCharType="separate"/>
          </w:r>
          <w:hyperlink w:anchor="_Toc160622919" w:history="1">
            <w:r w:rsidR="008406BD" w:rsidRPr="00D34EA2">
              <w:rPr>
                <w:rStyle w:val="Hyperlink"/>
              </w:rPr>
              <w:t>I.</w:t>
            </w:r>
            <w:r w:rsidR="008406BD">
              <w:rPr>
                <w:rFonts w:asciiTheme="minorHAnsi" w:eastAsiaTheme="minorEastAsia" w:hAnsiTheme="minorHAnsi"/>
                <w:b w:val="0"/>
                <w:smallCaps w:val="0"/>
                <w:color w:val="auto"/>
                <w:kern w:val="2"/>
                <w:lang w:val="en-US"/>
                <w14:shadow w14:blurRad="0" w14:dist="0" w14:dir="0" w14:sx="0" w14:sy="0" w14:kx="0" w14:ky="0" w14:algn="none">
                  <w14:srgbClr w14:val="000000"/>
                </w14:shadow>
                <w14:textOutline w14:w="0" w14:cap="rnd" w14:cmpd="sng" w14:algn="ctr">
                  <w14:noFill/>
                  <w14:prstDash w14:val="solid"/>
                  <w14:bevel/>
                </w14:textOutline>
                <w14:ligatures w14:val="standardContextual"/>
              </w:rPr>
              <w:tab/>
            </w:r>
            <w:r w:rsidR="008406BD" w:rsidRPr="00D34EA2">
              <w:rPr>
                <w:rStyle w:val="Hyperlink"/>
              </w:rPr>
              <w:t>Въведение</w:t>
            </w:r>
            <w:r w:rsidR="008406BD">
              <w:rPr>
                <w:webHidden/>
              </w:rPr>
              <w:tab/>
            </w:r>
            <w:r w:rsidR="008406BD">
              <w:rPr>
                <w:webHidden/>
              </w:rPr>
              <w:fldChar w:fldCharType="begin"/>
            </w:r>
            <w:r w:rsidR="008406BD">
              <w:rPr>
                <w:webHidden/>
              </w:rPr>
              <w:instrText xml:space="preserve"> PAGEREF _Toc160622919 \h </w:instrText>
            </w:r>
            <w:r w:rsidR="008406BD">
              <w:rPr>
                <w:webHidden/>
              </w:rPr>
            </w:r>
            <w:r w:rsidR="008406BD">
              <w:rPr>
                <w:webHidden/>
              </w:rPr>
              <w:fldChar w:fldCharType="separate"/>
            </w:r>
            <w:r w:rsidR="008406BD">
              <w:rPr>
                <w:webHidden/>
              </w:rPr>
              <w:t>6</w:t>
            </w:r>
            <w:r w:rsidR="008406BD">
              <w:rPr>
                <w:webHidden/>
              </w:rPr>
              <w:fldChar w:fldCharType="end"/>
            </w:r>
          </w:hyperlink>
        </w:p>
        <w:p w:rsidR="008406BD" w:rsidRDefault="003D5DA3">
          <w:pPr>
            <w:pStyle w:val="TOC1"/>
            <w:rPr>
              <w:rFonts w:asciiTheme="minorHAnsi" w:eastAsiaTheme="minorEastAsia" w:hAnsiTheme="minorHAnsi"/>
              <w:b w:val="0"/>
              <w:smallCaps w:val="0"/>
              <w:color w:val="auto"/>
              <w:kern w:val="2"/>
              <w:lang w:val="en-US"/>
              <w14:shadow w14:blurRad="0" w14:dist="0" w14:dir="0" w14:sx="0" w14:sy="0" w14:kx="0" w14:ky="0" w14:algn="none">
                <w14:srgbClr w14:val="000000"/>
              </w14:shadow>
              <w14:textOutline w14:w="0" w14:cap="rnd" w14:cmpd="sng" w14:algn="ctr">
                <w14:noFill/>
                <w14:prstDash w14:val="solid"/>
                <w14:bevel/>
              </w14:textOutline>
              <w14:ligatures w14:val="standardContextual"/>
            </w:rPr>
          </w:pPr>
          <w:hyperlink w:anchor="_Toc160622920" w:history="1">
            <w:r w:rsidR="008406BD" w:rsidRPr="00D34EA2">
              <w:rPr>
                <w:rStyle w:val="Hyperlink"/>
              </w:rPr>
              <w:t>II.</w:t>
            </w:r>
            <w:r w:rsidR="008406BD">
              <w:rPr>
                <w:rFonts w:asciiTheme="minorHAnsi" w:eastAsiaTheme="minorEastAsia" w:hAnsiTheme="minorHAnsi"/>
                <w:b w:val="0"/>
                <w:smallCaps w:val="0"/>
                <w:color w:val="auto"/>
                <w:kern w:val="2"/>
                <w:lang w:val="en-US"/>
                <w14:shadow w14:blurRad="0" w14:dist="0" w14:dir="0" w14:sx="0" w14:sy="0" w14:kx="0" w14:ky="0" w14:algn="none">
                  <w14:srgbClr w14:val="000000"/>
                </w14:shadow>
                <w14:textOutline w14:w="0" w14:cap="rnd" w14:cmpd="sng" w14:algn="ctr">
                  <w14:noFill/>
                  <w14:prstDash w14:val="solid"/>
                  <w14:bevel/>
                </w14:textOutline>
                <w14:ligatures w14:val="standardContextual"/>
              </w:rPr>
              <w:tab/>
            </w:r>
            <w:r w:rsidR="008406BD" w:rsidRPr="00D34EA2">
              <w:rPr>
                <w:rStyle w:val="Hyperlink"/>
              </w:rPr>
              <w:t>Цели на Плана за оценка</w:t>
            </w:r>
            <w:r w:rsidR="008406BD">
              <w:rPr>
                <w:webHidden/>
              </w:rPr>
              <w:tab/>
            </w:r>
            <w:r w:rsidR="008406BD">
              <w:rPr>
                <w:webHidden/>
              </w:rPr>
              <w:fldChar w:fldCharType="begin"/>
            </w:r>
            <w:r w:rsidR="008406BD">
              <w:rPr>
                <w:webHidden/>
              </w:rPr>
              <w:instrText xml:space="preserve"> PAGEREF _Toc160622920 \h </w:instrText>
            </w:r>
            <w:r w:rsidR="008406BD">
              <w:rPr>
                <w:webHidden/>
              </w:rPr>
            </w:r>
            <w:r w:rsidR="008406BD">
              <w:rPr>
                <w:webHidden/>
              </w:rPr>
              <w:fldChar w:fldCharType="separate"/>
            </w:r>
            <w:r w:rsidR="008406BD">
              <w:rPr>
                <w:webHidden/>
              </w:rPr>
              <w:t>10</w:t>
            </w:r>
            <w:r w:rsidR="008406BD">
              <w:rPr>
                <w:webHidden/>
              </w:rPr>
              <w:fldChar w:fldCharType="end"/>
            </w:r>
          </w:hyperlink>
        </w:p>
        <w:p w:rsidR="008406BD" w:rsidRDefault="003D5DA3">
          <w:pPr>
            <w:pStyle w:val="TOC1"/>
            <w:rPr>
              <w:rFonts w:asciiTheme="minorHAnsi" w:eastAsiaTheme="minorEastAsia" w:hAnsiTheme="minorHAnsi"/>
              <w:b w:val="0"/>
              <w:smallCaps w:val="0"/>
              <w:color w:val="auto"/>
              <w:kern w:val="2"/>
              <w:lang w:val="en-US"/>
              <w14:shadow w14:blurRad="0" w14:dist="0" w14:dir="0" w14:sx="0" w14:sy="0" w14:kx="0" w14:ky="0" w14:algn="none">
                <w14:srgbClr w14:val="000000"/>
              </w14:shadow>
              <w14:textOutline w14:w="0" w14:cap="rnd" w14:cmpd="sng" w14:algn="ctr">
                <w14:noFill/>
                <w14:prstDash w14:val="solid"/>
                <w14:bevel/>
              </w14:textOutline>
              <w14:ligatures w14:val="standardContextual"/>
            </w:rPr>
          </w:pPr>
          <w:hyperlink w:anchor="_Toc160622921" w:history="1">
            <w:r w:rsidR="008406BD" w:rsidRPr="00D34EA2">
              <w:rPr>
                <w:rStyle w:val="Hyperlink"/>
              </w:rPr>
              <w:t>III.</w:t>
            </w:r>
            <w:r w:rsidR="008406BD">
              <w:rPr>
                <w:rFonts w:asciiTheme="minorHAnsi" w:eastAsiaTheme="minorEastAsia" w:hAnsiTheme="minorHAnsi"/>
                <w:b w:val="0"/>
                <w:smallCaps w:val="0"/>
                <w:color w:val="auto"/>
                <w:kern w:val="2"/>
                <w:lang w:val="en-US"/>
                <w14:shadow w14:blurRad="0" w14:dist="0" w14:dir="0" w14:sx="0" w14:sy="0" w14:kx="0" w14:ky="0" w14:algn="none">
                  <w14:srgbClr w14:val="000000"/>
                </w14:shadow>
                <w14:textOutline w14:w="0" w14:cap="rnd" w14:cmpd="sng" w14:algn="ctr">
                  <w14:noFill/>
                  <w14:prstDash w14:val="solid"/>
                  <w14:bevel/>
                </w14:textOutline>
                <w14:ligatures w14:val="standardContextual"/>
              </w:rPr>
              <w:tab/>
            </w:r>
            <w:r w:rsidR="008406BD" w:rsidRPr="00D34EA2">
              <w:rPr>
                <w:rStyle w:val="Hyperlink"/>
              </w:rPr>
              <w:t>Обхват на Плана за оценка</w:t>
            </w:r>
            <w:r w:rsidR="008406BD">
              <w:rPr>
                <w:webHidden/>
              </w:rPr>
              <w:tab/>
            </w:r>
            <w:r w:rsidR="008406BD">
              <w:rPr>
                <w:webHidden/>
              </w:rPr>
              <w:fldChar w:fldCharType="begin"/>
            </w:r>
            <w:r w:rsidR="008406BD">
              <w:rPr>
                <w:webHidden/>
              </w:rPr>
              <w:instrText xml:space="preserve"> PAGEREF _Toc160622921 \h </w:instrText>
            </w:r>
            <w:r w:rsidR="008406BD">
              <w:rPr>
                <w:webHidden/>
              </w:rPr>
            </w:r>
            <w:r w:rsidR="008406BD">
              <w:rPr>
                <w:webHidden/>
              </w:rPr>
              <w:fldChar w:fldCharType="separate"/>
            </w:r>
            <w:r w:rsidR="008406BD">
              <w:rPr>
                <w:webHidden/>
              </w:rPr>
              <w:t>11</w:t>
            </w:r>
            <w:r w:rsidR="008406BD">
              <w:rPr>
                <w:webHidden/>
              </w:rPr>
              <w:fldChar w:fldCharType="end"/>
            </w:r>
          </w:hyperlink>
        </w:p>
        <w:p w:rsidR="008406BD" w:rsidRDefault="003D5DA3">
          <w:pPr>
            <w:pStyle w:val="TOC1"/>
            <w:rPr>
              <w:rFonts w:asciiTheme="minorHAnsi" w:eastAsiaTheme="minorEastAsia" w:hAnsiTheme="minorHAnsi"/>
              <w:b w:val="0"/>
              <w:smallCaps w:val="0"/>
              <w:color w:val="auto"/>
              <w:kern w:val="2"/>
              <w:lang w:val="en-US"/>
              <w14:shadow w14:blurRad="0" w14:dist="0" w14:dir="0" w14:sx="0" w14:sy="0" w14:kx="0" w14:ky="0" w14:algn="none">
                <w14:srgbClr w14:val="000000"/>
              </w14:shadow>
              <w14:textOutline w14:w="0" w14:cap="rnd" w14:cmpd="sng" w14:algn="ctr">
                <w14:noFill/>
                <w14:prstDash w14:val="solid"/>
                <w14:bevel/>
              </w14:textOutline>
              <w14:ligatures w14:val="standardContextual"/>
            </w:rPr>
          </w:pPr>
          <w:hyperlink w:anchor="_Toc160622922" w:history="1">
            <w:r w:rsidR="008406BD" w:rsidRPr="00D34EA2">
              <w:rPr>
                <w:rStyle w:val="Hyperlink"/>
              </w:rPr>
              <w:t>IV.</w:t>
            </w:r>
            <w:r w:rsidR="008406BD">
              <w:rPr>
                <w:rFonts w:asciiTheme="minorHAnsi" w:eastAsiaTheme="minorEastAsia" w:hAnsiTheme="minorHAnsi"/>
                <w:b w:val="0"/>
                <w:smallCaps w:val="0"/>
                <w:color w:val="auto"/>
                <w:kern w:val="2"/>
                <w:lang w:val="en-US"/>
                <w14:shadow w14:blurRad="0" w14:dist="0" w14:dir="0" w14:sx="0" w14:sy="0" w14:kx="0" w14:ky="0" w14:algn="none">
                  <w14:srgbClr w14:val="000000"/>
                </w14:shadow>
                <w14:textOutline w14:w="0" w14:cap="rnd" w14:cmpd="sng" w14:algn="ctr">
                  <w14:noFill/>
                  <w14:prstDash w14:val="solid"/>
                  <w14:bevel/>
                </w14:textOutline>
                <w14:ligatures w14:val="standardContextual"/>
              </w:rPr>
              <w:tab/>
            </w:r>
            <w:r w:rsidR="008406BD" w:rsidRPr="00D34EA2">
              <w:rPr>
                <w:rStyle w:val="Hyperlink"/>
              </w:rPr>
              <w:t>Рамка за изпълнение - роля и отговорности на органите и институционалните участници в процесите по организация и координация за изпълнение на Плана за оценка</w:t>
            </w:r>
            <w:r w:rsidR="008406BD">
              <w:rPr>
                <w:webHidden/>
              </w:rPr>
              <w:tab/>
            </w:r>
            <w:r w:rsidR="008406BD">
              <w:rPr>
                <w:webHidden/>
              </w:rPr>
              <w:fldChar w:fldCharType="begin"/>
            </w:r>
            <w:r w:rsidR="008406BD">
              <w:rPr>
                <w:webHidden/>
              </w:rPr>
              <w:instrText xml:space="preserve"> PAGEREF _Toc160622922 \h </w:instrText>
            </w:r>
            <w:r w:rsidR="008406BD">
              <w:rPr>
                <w:webHidden/>
              </w:rPr>
            </w:r>
            <w:r w:rsidR="008406BD">
              <w:rPr>
                <w:webHidden/>
              </w:rPr>
              <w:fldChar w:fldCharType="separate"/>
            </w:r>
            <w:r w:rsidR="008406BD">
              <w:rPr>
                <w:webHidden/>
              </w:rPr>
              <w:t>14</w:t>
            </w:r>
            <w:r w:rsidR="008406BD">
              <w:rPr>
                <w:webHidden/>
              </w:rPr>
              <w:fldChar w:fldCharType="end"/>
            </w:r>
          </w:hyperlink>
        </w:p>
        <w:p w:rsidR="008406BD" w:rsidRDefault="003D5DA3">
          <w:pPr>
            <w:pStyle w:val="TOC2"/>
            <w:rPr>
              <w:rFonts w:asciiTheme="minorHAnsi" w:eastAsiaTheme="minorEastAsia" w:hAnsiTheme="minorHAnsi"/>
              <w:noProof/>
              <w:kern w:val="2"/>
              <w:lang w:val="en-US"/>
              <w14:ligatures w14:val="standardContextual"/>
            </w:rPr>
          </w:pPr>
          <w:hyperlink w:anchor="_Toc160622923" w:history="1">
            <w:r w:rsidR="008406BD" w:rsidRPr="00D34EA2">
              <w:rPr>
                <w:rStyle w:val="Hyperlink"/>
                <w:noProof/>
              </w:rPr>
              <w:t>1.</w:t>
            </w:r>
            <w:r w:rsidR="008406BD">
              <w:rPr>
                <w:rFonts w:asciiTheme="minorHAnsi" w:eastAsiaTheme="minorEastAsia" w:hAnsiTheme="minorHAnsi"/>
                <w:noProof/>
                <w:kern w:val="2"/>
                <w:lang w:val="en-US"/>
                <w14:ligatures w14:val="standardContextual"/>
              </w:rPr>
              <w:tab/>
            </w:r>
            <w:r w:rsidR="008406BD" w:rsidRPr="00D34EA2">
              <w:rPr>
                <w:rStyle w:val="Hyperlink"/>
                <w:noProof/>
              </w:rPr>
              <w:t>Управляващ орган на ПМДРА</w:t>
            </w:r>
            <w:r w:rsidR="008406BD">
              <w:rPr>
                <w:noProof/>
                <w:webHidden/>
              </w:rPr>
              <w:tab/>
            </w:r>
            <w:r w:rsidR="008406BD">
              <w:rPr>
                <w:noProof/>
                <w:webHidden/>
              </w:rPr>
              <w:fldChar w:fldCharType="begin"/>
            </w:r>
            <w:r w:rsidR="008406BD">
              <w:rPr>
                <w:noProof/>
                <w:webHidden/>
              </w:rPr>
              <w:instrText xml:space="preserve"> PAGEREF _Toc160622923 \h </w:instrText>
            </w:r>
            <w:r w:rsidR="008406BD">
              <w:rPr>
                <w:noProof/>
                <w:webHidden/>
              </w:rPr>
            </w:r>
            <w:r w:rsidR="008406BD">
              <w:rPr>
                <w:noProof/>
                <w:webHidden/>
              </w:rPr>
              <w:fldChar w:fldCharType="separate"/>
            </w:r>
            <w:r w:rsidR="008406BD">
              <w:rPr>
                <w:noProof/>
                <w:webHidden/>
              </w:rPr>
              <w:t>14</w:t>
            </w:r>
            <w:r w:rsidR="008406BD">
              <w:rPr>
                <w:noProof/>
                <w:webHidden/>
              </w:rPr>
              <w:fldChar w:fldCharType="end"/>
            </w:r>
          </w:hyperlink>
        </w:p>
        <w:p w:rsidR="008406BD" w:rsidRDefault="003D5DA3">
          <w:pPr>
            <w:pStyle w:val="TOC2"/>
            <w:rPr>
              <w:rFonts w:asciiTheme="minorHAnsi" w:eastAsiaTheme="minorEastAsia" w:hAnsiTheme="minorHAnsi"/>
              <w:noProof/>
              <w:kern w:val="2"/>
              <w:lang w:val="en-US"/>
              <w14:ligatures w14:val="standardContextual"/>
            </w:rPr>
          </w:pPr>
          <w:hyperlink w:anchor="_Toc160622924" w:history="1">
            <w:r w:rsidR="008406BD" w:rsidRPr="00D34EA2">
              <w:rPr>
                <w:rStyle w:val="Hyperlink"/>
                <w:noProof/>
              </w:rPr>
              <w:t>2.</w:t>
            </w:r>
            <w:r w:rsidR="008406BD">
              <w:rPr>
                <w:rFonts w:asciiTheme="minorHAnsi" w:eastAsiaTheme="minorEastAsia" w:hAnsiTheme="minorHAnsi"/>
                <w:noProof/>
                <w:kern w:val="2"/>
                <w:lang w:val="en-US"/>
                <w14:ligatures w14:val="standardContextual"/>
              </w:rPr>
              <w:tab/>
            </w:r>
            <w:r w:rsidR="008406BD" w:rsidRPr="00D34EA2">
              <w:rPr>
                <w:rStyle w:val="Hyperlink"/>
                <w:noProof/>
              </w:rPr>
              <w:t>Комитет за наблюдение на ПМДРА 2021-2027</w:t>
            </w:r>
            <w:r w:rsidR="008406BD">
              <w:rPr>
                <w:noProof/>
                <w:webHidden/>
              </w:rPr>
              <w:tab/>
            </w:r>
            <w:r w:rsidR="008406BD">
              <w:rPr>
                <w:noProof/>
                <w:webHidden/>
              </w:rPr>
              <w:fldChar w:fldCharType="begin"/>
            </w:r>
            <w:r w:rsidR="008406BD">
              <w:rPr>
                <w:noProof/>
                <w:webHidden/>
              </w:rPr>
              <w:instrText xml:space="preserve"> PAGEREF _Toc160622924 \h </w:instrText>
            </w:r>
            <w:r w:rsidR="008406BD">
              <w:rPr>
                <w:noProof/>
                <w:webHidden/>
              </w:rPr>
            </w:r>
            <w:r w:rsidR="008406BD">
              <w:rPr>
                <w:noProof/>
                <w:webHidden/>
              </w:rPr>
              <w:fldChar w:fldCharType="separate"/>
            </w:r>
            <w:r w:rsidR="008406BD">
              <w:rPr>
                <w:noProof/>
                <w:webHidden/>
              </w:rPr>
              <w:t>15</w:t>
            </w:r>
            <w:r w:rsidR="008406BD">
              <w:rPr>
                <w:noProof/>
                <w:webHidden/>
              </w:rPr>
              <w:fldChar w:fldCharType="end"/>
            </w:r>
          </w:hyperlink>
        </w:p>
        <w:p w:rsidR="008406BD" w:rsidRDefault="003D5DA3">
          <w:pPr>
            <w:pStyle w:val="TOC2"/>
            <w:rPr>
              <w:rFonts w:asciiTheme="minorHAnsi" w:eastAsiaTheme="minorEastAsia" w:hAnsiTheme="minorHAnsi"/>
              <w:noProof/>
              <w:kern w:val="2"/>
              <w:lang w:val="en-US"/>
              <w14:ligatures w14:val="standardContextual"/>
            </w:rPr>
          </w:pPr>
          <w:hyperlink w:anchor="_Toc160622925" w:history="1">
            <w:r w:rsidR="008406BD" w:rsidRPr="00D34EA2">
              <w:rPr>
                <w:rStyle w:val="Hyperlink"/>
                <w:noProof/>
              </w:rPr>
              <w:t>3.</w:t>
            </w:r>
            <w:r w:rsidR="008406BD">
              <w:rPr>
                <w:rFonts w:asciiTheme="minorHAnsi" w:eastAsiaTheme="minorEastAsia" w:hAnsiTheme="minorHAnsi"/>
                <w:noProof/>
                <w:kern w:val="2"/>
                <w:lang w:val="en-US"/>
                <w14:ligatures w14:val="standardContextual"/>
              </w:rPr>
              <w:tab/>
            </w:r>
            <w:r w:rsidR="008406BD" w:rsidRPr="00D34EA2">
              <w:rPr>
                <w:rStyle w:val="Hyperlink"/>
                <w:noProof/>
              </w:rPr>
              <w:t>Постоянна междуведомствена работна група за оценка на ЕСИФ 2014-2020 (ЕФСУ 2021-2027) на национално ниво</w:t>
            </w:r>
            <w:r w:rsidR="008406BD">
              <w:rPr>
                <w:noProof/>
                <w:webHidden/>
              </w:rPr>
              <w:tab/>
            </w:r>
            <w:r w:rsidR="008406BD">
              <w:rPr>
                <w:noProof/>
                <w:webHidden/>
              </w:rPr>
              <w:fldChar w:fldCharType="begin"/>
            </w:r>
            <w:r w:rsidR="008406BD">
              <w:rPr>
                <w:noProof/>
                <w:webHidden/>
              </w:rPr>
              <w:instrText xml:space="preserve"> PAGEREF _Toc160622925 \h </w:instrText>
            </w:r>
            <w:r w:rsidR="008406BD">
              <w:rPr>
                <w:noProof/>
                <w:webHidden/>
              </w:rPr>
            </w:r>
            <w:r w:rsidR="008406BD">
              <w:rPr>
                <w:noProof/>
                <w:webHidden/>
              </w:rPr>
              <w:fldChar w:fldCharType="separate"/>
            </w:r>
            <w:r w:rsidR="008406BD">
              <w:rPr>
                <w:noProof/>
                <w:webHidden/>
              </w:rPr>
              <w:t>16</w:t>
            </w:r>
            <w:r w:rsidR="008406BD">
              <w:rPr>
                <w:noProof/>
                <w:webHidden/>
              </w:rPr>
              <w:fldChar w:fldCharType="end"/>
            </w:r>
          </w:hyperlink>
        </w:p>
        <w:p w:rsidR="008406BD" w:rsidRDefault="003D5DA3">
          <w:pPr>
            <w:pStyle w:val="TOC2"/>
            <w:rPr>
              <w:rFonts w:asciiTheme="minorHAnsi" w:eastAsiaTheme="minorEastAsia" w:hAnsiTheme="minorHAnsi"/>
              <w:noProof/>
              <w:kern w:val="2"/>
              <w:lang w:val="en-US"/>
              <w14:ligatures w14:val="standardContextual"/>
            </w:rPr>
          </w:pPr>
          <w:hyperlink w:anchor="_Toc160622926" w:history="1">
            <w:r w:rsidR="008406BD" w:rsidRPr="00D34EA2">
              <w:rPr>
                <w:rStyle w:val="Hyperlink"/>
                <w:noProof/>
              </w:rPr>
              <w:t>4.</w:t>
            </w:r>
            <w:r w:rsidR="008406BD">
              <w:rPr>
                <w:rFonts w:asciiTheme="minorHAnsi" w:eastAsiaTheme="minorEastAsia" w:hAnsiTheme="minorHAnsi"/>
                <w:noProof/>
                <w:kern w:val="2"/>
                <w:lang w:val="en-US"/>
                <w14:ligatures w14:val="standardContextual"/>
              </w:rPr>
              <w:tab/>
            </w:r>
            <w:r w:rsidR="008406BD" w:rsidRPr="00D34EA2">
              <w:rPr>
                <w:rStyle w:val="Hyperlink"/>
                <w:noProof/>
              </w:rPr>
              <w:t>FAMENET</w:t>
            </w:r>
            <w:r w:rsidR="008406BD">
              <w:rPr>
                <w:noProof/>
                <w:webHidden/>
              </w:rPr>
              <w:tab/>
            </w:r>
            <w:r w:rsidR="008406BD">
              <w:rPr>
                <w:noProof/>
                <w:webHidden/>
              </w:rPr>
              <w:fldChar w:fldCharType="begin"/>
            </w:r>
            <w:r w:rsidR="008406BD">
              <w:rPr>
                <w:noProof/>
                <w:webHidden/>
              </w:rPr>
              <w:instrText xml:space="preserve"> PAGEREF _Toc160622926 \h </w:instrText>
            </w:r>
            <w:r w:rsidR="008406BD">
              <w:rPr>
                <w:noProof/>
                <w:webHidden/>
              </w:rPr>
            </w:r>
            <w:r w:rsidR="008406BD">
              <w:rPr>
                <w:noProof/>
                <w:webHidden/>
              </w:rPr>
              <w:fldChar w:fldCharType="separate"/>
            </w:r>
            <w:r w:rsidR="008406BD">
              <w:rPr>
                <w:noProof/>
                <w:webHidden/>
              </w:rPr>
              <w:t>17</w:t>
            </w:r>
            <w:r w:rsidR="008406BD">
              <w:rPr>
                <w:noProof/>
                <w:webHidden/>
              </w:rPr>
              <w:fldChar w:fldCharType="end"/>
            </w:r>
          </w:hyperlink>
        </w:p>
        <w:p w:rsidR="008406BD" w:rsidRDefault="003D5DA3">
          <w:pPr>
            <w:pStyle w:val="TOC2"/>
            <w:rPr>
              <w:rFonts w:asciiTheme="minorHAnsi" w:eastAsiaTheme="minorEastAsia" w:hAnsiTheme="minorHAnsi"/>
              <w:noProof/>
              <w:kern w:val="2"/>
              <w:lang w:val="en-US"/>
              <w14:ligatures w14:val="standardContextual"/>
            </w:rPr>
          </w:pPr>
          <w:hyperlink w:anchor="_Toc160622927" w:history="1">
            <w:r w:rsidR="008406BD" w:rsidRPr="00D34EA2">
              <w:rPr>
                <w:rStyle w:val="Hyperlink"/>
                <w:noProof/>
              </w:rPr>
              <w:t>5.</w:t>
            </w:r>
            <w:r w:rsidR="008406BD">
              <w:rPr>
                <w:rFonts w:asciiTheme="minorHAnsi" w:eastAsiaTheme="minorEastAsia" w:hAnsiTheme="minorHAnsi"/>
                <w:noProof/>
                <w:kern w:val="2"/>
                <w:lang w:val="en-US"/>
                <w14:ligatures w14:val="standardContextual"/>
              </w:rPr>
              <w:tab/>
            </w:r>
            <w:r w:rsidR="008406BD" w:rsidRPr="00D34EA2">
              <w:rPr>
                <w:rStyle w:val="Hyperlink"/>
                <w:noProof/>
              </w:rPr>
              <w:t>Европейска комисия</w:t>
            </w:r>
            <w:r w:rsidR="008406BD">
              <w:rPr>
                <w:noProof/>
                <w:webHidden/>
              </w:rPr>
              <w:tab/>
            </w:r>
            <w:r w:rsidR="008406BD">
              <w:rPr>
                <w:noProof/>
                <w:webHidden/>
              </w:rPr>
              <w:fldChar w:fldCharType="begin"/>
            </w:r>
            <w:r w:rsidR="008406BD">
              <w:rPr>
                <w:noProof/>
                <w:webHidden/>
              </w:rPr>
              <w:instrText xml:space="preserve"> PAGEREF _Toc160622927 \h </w:instrText>
            </w:r>
            <w:r w:rsidR="008406BD">
              <w:rPr>
                <w:noProof/>
                <w:webHidden/>
              </w:rPr>
            </w:r>
            <w:r w:rsidR="008406BD">
              <w:rPr>
                <w:noProof/>
                <w:webHidden/>
              </w:rPr>
              <w:fldChar w:fldCharType="separate"/>
            </w:r>
            <w:r w:rsidR="008406BD">
              <w:rPr>
                <w:noProof/>
                <w:webHidden/>
              </w:rPr>
              <w:t>17</w:t>
            </w:r>
            <w:r w:rsidR="008406BD">
              <w:rPr>
                <w:noProof/>
                <w:webHidden/>
              </w:rPr>
              <w:fldChar w:fldCharType="end"/>
            </w:r>
          </w:hyperlink>
        </w:p>
        <w:p w:rsidR="008406BD" w:rsidRDefault="003D5DA3">
          <w:pPr>
            <w:pStyle w:val="TOC1"/>
            <w:rPr>
              <w:rFonts w:asciiTheme="minorHAnsi" w:eastAsiaTheme="minorEastAsia" w:hAnsiTheme="minorHAnsi"/>
              <w:b w:val="0"/>
              <w:smallCaps w:val="0"/>
              <w:color w:val="auto"/>
              <w:kern w:val="2"/>
              <w:lang w:val="en-US"/>
              <w14:shadow w14:blurRad="0" w14:dist="0" w14:dir="0" w14:sx="0" w14:sy="0" w14:kx="0" w14:ky="0" w14:algn="none">
                <w14:srgbClr w14:val="000000"/>
              </w14:shadow>
              <w14:textOutline w14:w="0" w14:cap="rnd" w14:cmpd="sng" w14:algn="ctr">
                <w14:noFill/>
                <w14:prstDash w14:val="solid"/>
                <w14:bevel/>
              </w14:textOutline>
              <w14:ligatures w14:val="standardContextual"/>
            </w:rPr>
          </w:pPr>
          <w:hyperlink w:anchor="_Toc160622928" w:history="1">
            <w:r w:rsidR="008406BD" w:rsidRPr="00D34EA2">
              <w:rPr>
                <w:rStyle w:val="Hyperlink"/>
              </w:rPr>
              <w:t>V.</w:t>
            </w:r>
            <w:r w:rsidR="008406BD">
              <w:rPr>
                <w:rFonts w:asciiTheme="minorHAnsi" w:eastAsiaTheme="minorEastAsia" w:hAnsiTheme="minorHAnsi"/>
                <w:b w:val="0"/>
                <w:smallCaps w:val="0"/>
                <w:color w:val="auto"/>
                <w:kern w:val="2"/>
                <w:lang w:val="en-US"/>
                <w14:shadow w14:blurRad="0" w14:dist="0" w14:dir="0" w14:sx="0" w14:sy="0" w14:kx="0" w14:ky="0" w14:algn="none">
                  <w14:srgbClr w14:val="000000"/>
                </w14:shadow>
                <w14:textOutline w14:w="0" w14:cap="rnd" w14:cmpd="sng" w14:algn="ctr">
                  <w14:noFill/>
                  <w14:prstDash w14:val="solid"/>
                  <w14:bevel/>
                </w14:textOutline>
                <w14:ligatures w14:val="standardContextual"/>
              </w:rPr>
              <w:tab/>
            </w:r>
            <w:r w:rsidR="008406BD" w:rsidRPr="00D34EA2">
              <w:rPr>
                <w:rStyle w:val="Hyperlink"/>
              </w:rPr>
              <w:t>Стратегия за управление на качеството на процеса по оценка</w:t>
            </w:r>
            <w:r w:rsidR="008406BD">
              <w:rPr>
                <w:webHidden/>
              </w:rPr>
              <w:tab/>
            </w:r>
            <w:r w:rsidR="008406BD">
              <w:rPr>
                <w:webHidden/>
              </w:rPr>
              <w:fldChar w:fldCharType="begin"/>
            </w:r>
            <w:r w:rsidR="008406BD">
              <w:rPr>
                <w:webHidden/>
              </w:rPr>
              <w:instrText xml:space="preserve"> PAGEREF _Toc160622928 \h </w:instrText>
            </w:r>
            <w:r w:rsidR="008406BD">
              <w:rPr>
                <w:webHidden/>
              </w:rPr>
            </w:r>
            <w:r w:rsidR="008406BD">
              <w:rPr>
                <w:webHidden/>
              </w:rPr>
              <w:fldChar w:fldCharType="separate"/>
            </w:r>
            <w:r w:rsidR="008406BD">
              <w:rPr>
                <w:webHidden/>
              </w:rPr>
              <w:t>19</w:t>
            </w:r>
            <w:r w:rsidR="008406BD">
              <w:rPr>
                <w:webHidden/>
              </w:rPr>
              <w:fldChar w:fldCharType="end"/>
            </w:r>
          </w:hyperlink>
        </w:p>
        <w:p w:rsidR="008406BD" w:rsidRDefault="003D5DA3">
          <w:pPr>
            <w:pStyle w:val="TOC1"/>
            <w:rPr>
              <w:rFonts w:asciiTheme="minorHAnsi" w:eastAsiaTheme="minorEastAsia" w:hAnsiTheme="minorHAnsi"/>
              <w:b w:val="0"/>
              <w:smallCaps w:val="0"/>
              <w:color w:val="auto"/>
              <w:kern w:val="2"/>
              <w:lang w:val="en-US"/>
              <w14:shadow w14:blurRad="0" w14:dist="0" w14:dir="0" w14:sx="0" w14:sy="0" w14:kx="0" w14:ky="0" w14:algn="none">
                <w14:srgbClr w14:val="000000"/>
              </w14:shadow>
              <w14:textOutline w14:w="0" w14:cap="rnd" w14:cmpd="sng" w14:algn="ctr">
                <w14:noFill/>
                <w14:prstDash w14:val="solid"/>
                <w14:bevel/>
              </w14:textOutline>
              <w14:ligatures w14:val="standardContextual"/>
            </w:rPr>
          </w:pPr>
          <w:hyperlink w:anchor="_Toc160622929" w:history="1">
            <w:r w:rsidR="008406BD" w:rsidRPr="00D34EA2">
              <w:rPr>
                <w:rStyle w:val="Hyperlink"/>
              </w:rPr>
              <w:t>VI.</w:t>
            </w:r>
            <w:r w:rsidR="008406BD">
              <w:rPr>
                <w:rFonts w:asciiTheme="minorHAnsi" w:eastAsiaTheme="minorEastAsia" w:hAnsiTheme="minorHAnsi"/>
                <w:b w:val="0"/>
                <w:smallCaps w:val="0"/>
                <w:color w:val="auto"/>
                <w:kern w:val="2"/>
                <w:lang w:val="en-US"/>
                <w14:shadow w14:blurRad="0" w14:dist="0" w14:dir="0" w14:sx="0" w14:sy="0" w14:kx="0" w14:ky="0" w14:algn="none">
                  <w14:srgbClr w14:val="000000"/>
                </w14:shadow>
                <w14:textOutline w14:w="0" w14:cap="rnd" w14:cmpd="sng" w14:algn="ctr">
                  <w14:noFill/>
                  <w14:prstDash w14:val="solid"/>
                  <w14:bevel/>
                </w14:textOutline>
                <w14:ligatures w14:val="standardContextual"/>
              </w:rPr>
              <w:tab/>
            </w:r>
            <w:r w:rsidR="008406BD" w:rsidRPr="00D34EA2">
              <w:rPr>
                <w:rStyle w:val="Hyperlink"/>
              </w:rPr>
              <w:t>Стратегия за гарантиране използването на резултатите от проведените оценки на ПМДРА 2021-2027 и осигуряване на публичност</w:t>
            </w:r>
            <w:r w:rsidR="008406BD">
              <w:rPr>
                <w:webHidden/>
              </w:rPr>
              <w:tab/>
            </w:r>
            <w:r w:rsidR="008406BD">
              <w:rPr>
                <w:webHidden/>
              </w:rPr>
              <w:fldChar w:fldCharType="begin"/>
            </w:r>
            <w:r w:rsidR="008406BD">
              <w:rPr>
                <w:webHidden/>
              </w:rPr>
              <w:instrText xml:space="preserve"> PAGEREF _Toc160622929 \h </w:instrText>
            </w:r>
            <w:r w:rsidR="008406BD">
              <w:rPr>
                <w:webHidden/>
              </w:rPr>
            </w:r>
            <w:r w:rsidR="008406BD">
              <w:rPr>
                <w:webHidden/>
              </w:rPr>
              <w:fldChar w:fldCharType="separate"/>
            </w:r>
            <w:r w:rsidR="008406BD">
              <w:rPr>
                <w:webHidden/>
              </w:rPr>
              <w:t>20</w:t>
            </w:r>
            <w:r w:rsidR="008406BD">
              <w:rPr>
                <w:webHidden/>
              </w:rPr>
              <w:fldChar w:fldCharType="end"/>
            </w:r>
          </w:hyperlink>
        </w:p>
        <w:p w:rsidR="008406BD" w:rsidRDefault="003D5DA3">
          <w:pPr>
            <w:pStyle w:val="TOC2"/>
            <w:rPr>
              <w:rFonts w:asciiTheme="minorHAnsi" w:eastAsiaTheme="minorEastAsia" w:hAnsiTheme="minorHAnsi"/>
              <w:noProof/>
              <w:kern w:val="2"/>
              <w:lang w:val="en-US"/>
              <w14:ligatures w14:val="standardContextual"/>
            </w:rPr>
          </w:pPr>
          <w:hyperlink w:anchor="_Toc160622930" w:history="1">
            <w:r w:rsidR="008406BD" w:rsidRPr="00D34EA2">
              <w:rPr>
                <w:rStyle w:val="Hyperlink"/>
                <w:noProof/>
              </w:rPr>
              <w:t>1.</w:t>
            </w:r>
            <w:r w:rsidR="008406BD">
              <w:rPr>
                <w:rFonts w:asciiTheme="minorHAnsi" w:eastAsiaTheme="minorEastAsia" w:hAnsiTheme="minorHAnsi"/>
                <w:noProof/>
                <w:kern w:val="2"/>
                <w:lang w:val="en-US"/>
                <w14:ligatures w14:val="standardContextual"/>
              </w:rPr>
              <w:tab/>
            </w:r>
            <w:r w:rsidR="008406BD" w:rsidRPr="00D34EA2">
              <w:rPr>
                <w:rStyle w:val="Hyperlink"/>
                <w:noProof/>
              </w:rPr>
              <w:t>Действия за осигуряване прилагането на оценките</w:t>
            </w:r>
            <w:r w:rsidR="008406BD">
              <w:rPr>
                <w:noProof/>
                <w:webHidden/>
              </w:rPr>
              <w:tab/>
            </w:r>
            <w:r w:rsidR="008406BD">
              <w:rPr>
                <w:noProof/>
                <w:webHidden/>
              </w:rPr>
              <w:fldChar w:fldCharType="begin"/>
            </w:r>
            <w:r w:rsidR="008406BD">
              <w:rPr>
                <w:noProof/>
                <w:webHidden/>
              </w:rPr>
              <w:instrText xml:space="preserve"> PAGEREF _Toc160622930 \h </w:instrText>
            </w:r>
            <w:r w:rsidR="008406BD">
              <w:rPr>
                <w:noProof/>
                <w:webHidden/>
              </w:rPr>
            </w:r>
            <w:r w:rsidR="008406BD">
              <w:rPr>
                <w:noProof/>
                <w:webHidden/>
              </w:rPr>
              <w:fldChar w:fldCharType="separate"/>
            </w:r>
            <w:r w:rsidR="008406BD">
              <w:rPr>
                <w:noProof/>
                <w:webHidden/>
              </w:rPr>
              <w:t>20</w:t>
            </w:r>
            <w:r w:rsidR="008406BD">
              <w:rPr>
                <w:noProof/>
                <w:webHidden/>
              </w:rPr>
              <w:fldChar w:fldCharType="end"/>
            </w:r>
          </w:hyperlink>
        </w:p>
        <w:p w:rsidR="008406BD" w:rsidRDefault="003D5DA3">
          <w:pPr>
            <w:pStyle w:val="TOC2"/>
            <w:rPr>
              <w:rFonts w:asciiTheme="minorHAnsi" w:eastAsiaTheme="minorEastAsia" w:hAnsiTheme="minorHAnsi"/>
              <w:noProof/>
              <w:kern w:val="2"/>
              <w:lang w:val="en-US"/>
              <w14:ligatures w14:val="standardContextual"/>
            </w:rPr>
          </w:pPr>
          <w:hyperlink w:anchor="_Toc160622931" w:history="1">
            <w:r w:rsidR="008406BD" w:rsidRPr="00D34EA2">
              <w:rPr>
                <w:rStyle w:val="Hyperlink"/>
                <w:noProof/>
              </w:rPr>
              <w:t>2.</w:t>
            </w:r>
            <w:r w:rsidR="008406BD">
              <w:rPr>
                <w:rFonts w:asciiTheme="minorHAnsi" w:eastAsiaTheme="minorEastAsia" w:hAnsiTheme="minorHAnsi"/>
                <w:noProof/>
                <w:kern w:val="2"/>
                <w:lang w:val="en-US"/>
                <w14:ligatures w14:val="standardContextual"/>
              </w:rPr>
              <w:tab/>
            </w:r>
            <w:r w:rsidR="008406BD" w:rsidRPr="00D34EA2">
              <w:rPr>
                <w:rStyle w:val="Hyperlink"/>
                <w:noProof/>
              </w:rPr>
              <w:t>Комуникация и осигуряване на публичност на резултатите от проведените оценки и дейностите по оценка</w:t>
            </w:r>
            <w:r w:rsidR="008406BD">
              <w:rPr>
                <w:noProof/>
                <w:webHidden/>
              </w:rPr>
              <w:tab/>
            </w:r>
            <w:r w:rsidR="008406BD">
              <w:rPr>
                <w:noProof/>
                <w:webHidden/>
              </w:rPr>
              <w:fldChar w:fldCharType="begin"/>
            </w:r>
            <w:r w:rsidR="008406BD">
              <w:rPr>
                <w:noProof/>
                <w:webHidden/>
              </w:rPr>
              <w:instrText xml:space="preserve"> PAGEREF _Toc160622931 \h </w:instrText>
            </w:r>
            <w:r w:rsidR="008406BD">
              <w:rPr>
                <w:noProof/>
                <w:webHidden/>
              </w:rPr>
            </w:r>
            <w:r w:rsidR="008406BD">
              <w:rPr>
                <w:noProof/>
                <w:webHidden/>
              </w:rPr>
              <w:fldChar w:fldCharType="separate"/>
            </w:r>
            <w:r w:rsidR="008406BD">
              <w:rPr>
                <w:noProof/>
                <w:webHidden/>
              </w:rPr>
              <w:t>21</w:t>
            </w:r>
            <w:r w:rsidR="008406BD">
              <w:rPr>
                <w:noProof/>
                <w:webHidden/>
              </w:rPr>
              <w:fldChar w:fldCharType="end"/>
            </w:r>
          </w:hyperlink>
        </w:p>
        <w:p w:rsidR="008406BD" w:rsidRDefault="003D5DA3">
          <w:pPr>
            <w:pStyle w:val="TOC2"/>
            <w:rPr>
              <w:rFonts w:asciiTheme="minorHAnsi" w:eastAsiaTheme="minorEastAsia" w:hAnsiTheme="minorHAnsi"/>
              <w:noProof/>
              <w:kern w:val="2"/>
              <w:lang w:val="en-US"/>
              <w14:ligatures w14:val="standardContextual"/>
            </w:rPr>
          </w:pPr>
          <w:hyperlink w:anchor="_Toc160622932" w:history="1">
            <w:r w:rsidR="008406BD" w:rsidRPr="00D34EA2">
              <w:rPr>
                <w:rStyle w:val="Hyperlink"/>
                <w:noProof/>
              </w:rPr>
              <w:t>3.</w:t>
            </w:r>
            <w:r w:rsidR="008406BD">
              <w:rPr>
                <w:rFonts w:asciiTheme="minorHAnsi" w:eastAsiaTheme="minorEastAsia" w:hAnsiTheme="minorHAnsi"/>
                <w:noProof/>
                <w:kern w:val="2"/>
                <w:lang w:val="en-US"/>
                <w14:ligatures w14:val="standardContextual"/>
              </w:rPr>
              <w:tab/>
            </w:r>
            <w:r w:rsidR="008406BD" w:rsidRPr="00D34EA2">
              <w:rPr>
                <w:rStyle w:val="Hyperlink"/>
                <w:noProof/>
              </w:rPr>
              <w:t>Налични ресурси за изпълнение на Плана за оценка на ПМДРА  2021-2027</w:t>
            </w:r>
            <w:r w:rsidR="008406BD">
              <w:rPr>
                <w:noProof/>
                <w:webHidden/>
              </w:rPr>
              <w:tab/>
            </w:r>
            <w:r w:rsidR="008406BD">
              <w:rPr>
                <w:noProof/>
                <w:webHidden/>
              </w:rPr>
              <w:fldChar w:fldCharType="begin"/>
            </w:r>
            <w:r w:rsidR="008406BD">
              <w:rPr>
                <w:noProof/>
                <w:webHidden/>
              </w:rPr>
              <w:instrText xml:space="preserve"> PAGEREF _Toc160622932 \h </w:instrText>
            </w:r>
            <w:r w:rsidR="008406BD">
              <w:rPr>
                <w:noProof/>
                <w:webHidden/>
              </w:rPr>
            </w:r>
            <w:r w:rsidR="008406BD">
              <w:rPr>
                <w:noProof/>
                <w:webHidden/>
              </w:rPr>
              <w:fldChar w:fldCharType="separate"/>
            </w:r>
            <w:r w:rsidR="008406BD">
              <w:rPr>
                <w:noProof/>
                <w:webHidden/>
              </w:rPr>
              <w:t>22</w:t>
            </w:r>
            <w:r w:rsidR="008406BD">
              <w:rPr>
                <w:noProof/>
                <w:webHidden/>
              </w:rPr>
              <w:fldChar w:fldCharType="end"/>
            </w:r>
          </w:hyperlink>
        </w:p>
        <w:p w:rsidR="008406BD" w:rsidRDefault="003D5DA3">
          <w:pPr>
            <w:pStyle w:val="TOC1"/>
            <w:rPr>
              <w:rFonts w:asciiTheme="minorHAnsi" w:eastAsiaTheme="minorEastAsia" w:hAnsiTheme="minorHAnsi"/>
              <w:b w:val="0"/>
              <w:smallCaps w:val="0"/>
              <w:color w:val="auto"/>
              <w:kern w:val="2"/>
              <w:lang w:val="en-US"/>
              <w14:shadow w14:blurRad="0" w14:dist="0" w14:dir="0" w14:sx="0" w14:sy="0" w14:kx="0" w14:ky="0" w14:algn="none">
                <w14:srgbClr w14:val="000000"/>
              </w14:shadow>
              <w14:textOutline w14:w="0" w14:cap="rnd" w14:cmpd="sng" w14:algn="ctr">
                <w14:noFill/>
                <w14:prstDash w14:val="solid"/>
                <w14:bevel/>
              </w14:textOutline>
              <w14:ligatures w14:val="standardContextual"/>
            </w:rPr>
          </w:pPr>
          <w:hyperlink w:anchor="_Toc160622933" w:history="1">
            <w:r w:rsidR="008406BD" w:rsidRPr="00D34EA2">
              <w:rPr>
                <w:rStyle w:val="Hyperlink"/>
              </w:rPr>
              <w:t>VII.</w:t>
            </w:r>
            <w:r w:rsidR="008406BD">
              <w:rPr>
                <w:rFonts w:asciiTheme="minorHAnsi" w:eastAsiaTheme="minorEastAsia" w:hAnsiTheme="minorHAnsi"/>
                <w:b w:val="0"/>
                <w:smallCaps w:val="0"/>
                <w:color w:val="auto"/>
                <w:kern w:val="2"/>
                <w:lang w:val="en-US"/>
                <w14:shadow w14:blurRad="0" w14:dist="0" w14:dir="0" w14:sx="0" w14:sy="0" w14:kx="0" w14:ky="0" w14:algn="none">
                  <w14:srgbClr w14:val="000000"/>
                </w14:shadow>
                <w14:textOutline w14:w="0" w14:cap="rnd" w14:cmpd="sng" w14:algn="ctr">
                  <w14:noFill/>
                  <w14:prstDash w14:val="solid"/>
                  <w14:bevel/>
                </w14:textOutline>
                <w14:ligatures w14:val="standardContextual"/>
              </w:rPr>
              <w:tab/>
            </w:r>
            <w:r w:rsidR="008406BD" w:rsidRPr="00D34EA2">
              <w:rPr>
                <w:rStyle w:val="Hyperlink"/>
              </w:rPr>
              <w:t>Приемане и актуализация на Плана за оценка</w:t>
            </w:r>
            <w:r w:rsidR="008406BD">
              <w:rPr>
                <w:webHidden/>
              </w:rPr>
              <w:tab/>
            </w:r>
            <w:r w:rsidR="008406BD">
              <w:rPr>
                <w:webHidden/>
              </w:rPr>
              <w:fldChar w:fldCharType="begin"/>
            </w:r>
            <w:r w:rsidR="008406BD">
              <w:rPr>
                <w:webHidden/>
              </w:rPr>
              <w:instrText xml:space="preserve"> PAGEREF _Toc160622933 \h </w:instrText>
            </w:r>
            <w:r w:rsidR="008406BD">
              <w:rPr>
                <w:webHidden/>
              </w:rPr>
            </w:r>
            <w:r w:rsidR="008406BD">
              <w:rPr>
                <w:webHidden/>
              </w:rPr>
              <w:fldChar w:fldCharType="separate"/>
            </w:r>
            <w:r w:rsidR="008406BD">
              <w:rPr>
                <w:webHidden/>
              </w:rPr>
              <w:t>24</w:t>
            </w:r>
            <w:r w:rsidR="008406BD">
              <w:rPr>
                <w:webHidden/>
              </w:rPr>
              <w:fldChar w:fldCharType="end"/>
            </w:r>
          </w:hyperlink>
        </w:p>
        <w:p w:rsidR="008406BD" w:rsidRDefault="003D5DA3">
          <w:pPr>
            <w:pStyle w:val="TOC1"/>
            <w:rPr>
              <w:rFonts w:asciiTheme="minorHAnsi" w:eastAsiaTheme="minorEastAsia" w:hAnsiTheme="minorHAnsi"/>
              <w:b w:val="0"/>
              <w:smallCaps w:val="0"/>
              <w:color w:val="auto"/>
              <w:kern w:val="2"/>
              <w:lang w:val="en-US"/>
              <w14:shadow w14:blurRad="0" w14:dist="0" w14:dir="0" w14:sx="0" w14:sy="0" w14:kx="0" w14:ky="0" w14:algn="none">
                <w14:srgbClr w14:val="000000"/>
              </w14:shadow>
              <w14:textOutline w14:w="0" w14:cap="rnd" w14:cmpd="sng" w14:algn="ctr">
                <w14:noFill/>
                <w14:prstDash w14:val="solid"/>
                <w14:bevel/>
              </w14:textOutline>
              <w14:ligatures w14:val="standardContextual"/>
            </w:rPr>
          </w:pPr>
          <w:hyperlink w:anchor="_Toc160622934" w:history="1">
            <w:r w:rsidR="008406BD" w:rsidRPr="00D34EA2">
              <w:rPr>
                <w:rStyle w:val="Hyperlink"/>
              </w:rPr>
              <w:t>VIII.</w:t>
            </w:r>
            <w:r w:rsidR="008406BD">
              <w:rPr>
                <w:rFonts w:asciiTheme="minorHAnsi" w:eastAsiaTheme="minorEastAsia" w:hAnsiTheme="minorHAnsi"/>
                <w:b w:val="0"/>
                <w:smallCaps w:val="0"/>
                <w:color w:val="auto"/>
                <w:kern w:val="2"/>
                <w:lang w:val="en-US"/>
                <w14:shadow w14:blurRad="0" w14:dist="0" w14:dir="0" w14:sx="0" w14:sy="0" w14:kx="0" w14:ky="0" w14:algn="none">
                  <w14:srgbClr w14:val="000000"/>
                </w14:shadow>
                <w14:textOutline w14:w="0" w14:cap="rnd" w14:cmpd="sng" w14:algn="ctr">
                  <w14:noFill/>
                  <w14:prstDash w14:val="solid"/>
                  <w14:bevel/>
                </w14:textOutline>
                <w14:ligatures w14:val="standardContextual"/>
              </w:rPr>
              <w:tab/>
            </w:r>
            <w:r w:rsidR="008406BD" w:rsidRPr="00D34EA2">
              <w:rPr>
                <w:rStyle w:val="Hyperlink"/>
              </w:rPr>
              <w:t>Планирани оценки</w:t>
            </w:r>
            <w:r w:rsidR="008406BD">
              <w:rPr>
                <w:webHidden/>
              </w:rPr>
              <w:tab/>
            </w:r>
            <w:r w:rsidR="008406BD">
              <w:rPr>
                <w:webHidden/>
              </w:rPr>
              <w:fldChar w:fldCharType="begin"/>
            </w:r>
            <w:r w:rsidR="008406BD">
              <w:rPr>
                <w:webHidden/>
              </w:rPr>
              <w:instrText xml:space="preserve"> PAGEREF _Toc160622934 \h </w:instrText>
            </w:r>
            <w:r w:rsidR="008406BD">
              <w:rPr>
                <w:webHidden/>
              </w:rPr>
            </w:r>
            <w:r w:rsidR="008406BD">
              <w:rPr>
                <w:webHidden/>
              </w:rPr>
              <w:fldChar w:fldCharType="separate"/>
            </w:r>
            <w:r w:rsidR="008406BD">
              <w:rPr>
                <w:webHidden/>
              </w:rPr>
              <w:t>25</w:t>
            </w:r>
            <w:r w:rsidR="008406BD">
              <w:rPr>
                <w:webHidden/>
              </w:rPr>
              <w:fldChar w:fldCharType="end"/>
            </w:r>
          </w:hyperlink>
        </w:p>
        <w:p w:rsidR="008406BD" w:rsidRDefault="003D5DA3">
          <w:pPr>
            <w:pStyle w:val="TOC2"/>
            <w:rPr>
              <w:rFonts w:asciiTheme="minorHAnsi" w:eastAsiaTheme="minorEastAsia" w:hAnsiTheme="minorHAnsi"/>
              <w:noProof/>
              <w:kern w:val="2"/>
              <w:lang w:val="en-US"/>
              <w14:ligatures w14:val="standardContextual"/>
            </w:rPr>
          </w:pPr>
          <w:hyperlink w:anchor="_Toc160622935" w:history="1">
            <w:r w:rsidR="008406BD" w:rsidRPr="00D34EA2">
              <w:rPr>
                <w:rStyle w:val="Hyperlink"/>
                <w:noProof/>
              </w:rPr>
              <w:t>1.</w:t>
            </w:r>
            <w:r w:rsidR="008406BD">
              <w:rPr>
                <w:rFonts w:asciiTheme="minorHAnsi" w:eastAsiaTheme="minorEastAsia" w:hAnsiTheme="minorHAnsi"/>
                <w:noProof/>
                <w:kern w:val="2"/>
                <w:lang w:val="en-US"/>
                <w14:ligatures w14:val="standardContextual"/>
              </w:rPr>
              <w:tab/>
            </w:r>
            <w:r w:rsidR="008406BD" w:rsidRPr="00D34EA2">
              <w:rPr>
                <w:rStyle w:val="Hyperlink"/>
                <w:noProof/>
              </w:rPr>
              <w:t>Актуализация на Предварителна оценка за прилагане на финансов инструмент по ПМДРА 2014-2020 г.</w:t>
            </w:r>
            <w:r w:rsidR="008406BD">
              <w:rPr>
                <w:noProof/>
                <w:webHidden/>
              </w:rPr>
              <w:tab/>
            </w:r>
            <w:r w:rsidR="008406BD">
              <w:rPr>
                <w:noProof/>
                <w:webHidden/>
              </w:rPr>
              <w:fldChar w:fldCharType="begin"/>
            </w:r>
            <w:r w:rsidR="008406BD">
              <w:rPr>
                <w:noProof/>
                <w:webHidden/>
              </w:rPr>
              <w:instrText xml:space="preserve"> PAGEREF _Toc160622935 \h </w:instrText>
            </w:r>
            <w:r w:rsidR="008406BD">
              <w:rPr>
                <w:noProof/>
                <w:webHidden/>
              </w:rPr>
            </w:r>
            <w:r w:rsidR="008406BD">
              <w:rPr>
                <w:noProof/>
                <w:webHidden/>
              </w:rPr>
              <w:fldChar w:fldCharType="separate"/>
            </w:r>
            <w:r w:rsidR="008406BD">
              <w:rPr>
                <w:noProof/>
                <w:webHidden/>
              </w:rPr>
              <w:t>25</w:t>
            </w:r>
            <w:r w:rsidR="008406BD">
              <w:rPr>
                <w:noProof/>
                <w:webHidden/>
              </w:rPr>
              <w:fldChar w:fldCharType="end"/>
            </w:r>
          </w:hyperlink>
        </w:p>
        <w:p w:rsidR="008406BD" w:rsidRDefault="003D5DA3">
          <w:pPr>
            <w:pStyle w:val="TOC2"/>
            <w:rPr>
              <w:rFonts w:asciiTheme="minorHAnsi" w:eastAsiaTheme="minorEastAsia" w:hAnsiTheme="minorHAnsi"/>
              <w:noProof/>
              <w:kern w:val="2"/>
              <w:lang w:val="en-US"/>
              <w14:ligatures w14:val="standardContextual"/>
            </w:rPr>
          </w:pPr>
          <w:hyperlink w:anchor="_Toc160622936" w:history="1">
            <w:r w:rsidR="008406BD" w:rsidRPr="00D34EA2">
              <w:rPr>
                <w:rStyle w:val="Hyperlink"/>
                <w:noProof/>
              </w:rPr>
              <w:t>2.</w:t>
            </w:r>
            <w:r w:rsidR="008406BD">
              <w:rPr>
                <w:rFonts w:asciiTheme="minorHAnsi" w:eastAsiaTheme="minorEastAsia" w:hAnsiTheme="minorHAnsi"/>
                <w:noProof/>
                <w:kern w:val="2"/>
                <w:lang w:val="en-US"/>
                <w14:ligatures w14:val="standardContextual"/>
              </w:rPr>
              <w:tab/>
            </w:r>
            <w:r w:rsidR="008406BD" w:rsidRPr="00D34EA2">
              <w:rPr>
                <w:rStyle w:val="Hyperlink"/>
                <w:noProof/>
              </w:rPr>
              <w:t>Оценка на рамката на изпълнението</w:t>
            </w:r>
            <w:r w:rsidR="008406BD">
              <w:rPr>
                <w:noProof/>
                <w:webHidden/>
              </w:rPr>
              <w:tab/>
            </w:r>
            <w:r w:rsidR="008406BD">
              <w:rPr>
                <w:noProof/>
                <w:webHidden/>
              </w:rPr>
              <w:fldChar w:fldCharType="begin"/>
            </w:r>
            <w:r w:rsidR="008406BD">
              <w:rPr>
                <w:noProof/>
                <w:webHidden/>
              </w:rPr>
              <w:instrText xml:space="preserve"> PAGEREF _Toc160622936 \h </w:instrText>
            </w:r>
            <w:r w:rsidR="008406BD">
              <w:rPr>
                <w:noProof/>
                <w:webHidden/>
              </w:rPr>
            </w:r>
            <w:r w:rsidR="008406BD">
              <w:rPr>
                <w:noProof/>
                <w:webHidden/>
              </w:rPr>
              <w:fldChar w:fldCharType="separate"/>
            </w:r>
            <w:r w:rsidR="008406BD">
              <w:rPr>
                <w:noProof/>
                <w:webHidden/>
              </w:rPr>
              <w:t>26</w:t>
            </w:r>
            <w:r w:rsidR="008406BD">
              <w:rPr>
                <w:noProof/>
                <w:webHidden/>
              </w:rPr>
              <w:fldChar w:fldCharType="end"/>
            </w:r>
          </w:hyperlink>
        </w:p>
        <w:p w:rsidR="008406BD" w:rsidRDefault="003D5DA3">
          <w:pPr>
            <w:pStyle w:val="TOC2"/>
            <w:rPr>
              <w:rFonts w:asciiTheme="minorHAnsi" w:eastAsiaTheme="minorEastAsia" w:hAnsiTheme="minorHAnsi"/>
              <w:noProof/>
              <w:kern w:val="2"/>
              <w:lang w:val="en-US"/>
              <w14:ligatures w14:val="standardContextual"/>
            </w:rPr>
          </w:pPr>
          <w:hyperlink w:anchor="_Toc160622937" w:history="1">
            <w:r w:rsidR="008406BD" w:rsidRPr="00D34EA2">
              <w:rPr>
                <w:rStyle w:val="Hyperlink"/>
                <w:noProof/>
              </w:rPr>
              <w:t>3.</w:t>
            </w:r>
            <w:r w:rsidR="008406BD">
              <w:rPr>
                <w:rFonts w:asciiTheme="minorHAnsi" w:eastAsiaTheme="minorEastAsia" w:hAnsiTheme="minorHAnsi"/>
                <w:noProof/>
                <w:kern w:val="2"/>
                <w:lang w:val="en-US"/>
                <w14:ligatures w14:val="standardContextual"/>
              </w:rPr>
              <w:tab/>
            </w:r>
            <w:r w:rsidR="008406BD" w:rsidRPr="00D34EA2">
              <w:rPr>
                <w:rStyle w:val="Hyperlink"/>
                <w:noProof/>
              </w:rPr>
              <w:t>Тематична оценка на по приоритети на ефективността на подкрепата за иновации, устойчивост, дигитализация, енергийна ефективност, декарбонизация и диверсификация в рамките на дейностите по програмата ПМДРА 2021-2027 г.</w:t>
            </w:r>
            <w:r w:rsidR="008406BD">
              <w:rPr>
                <w:noProof/>
                <w:webHidden/>
              </w:rPr>
              <w:tab/>
            </w:r>
            <w:r w:rsidR="008406BD">
              <w:rPr>
                <w:noProof/>
                <w:webHidden/>
              </w:rPr>
              <w:fldChar w:fldCharType="begin"/>
            </w:r>
            <w:r w:rsidR="008406BD">
              <w:rPr>
                <w:noProof/>
                <w:webHidden/>
              </w:rPr>
              <w:instrText xml:space="preserve"> PAGEREF _Toc160622937 \h </w:instrText>
            </w:r>
            <w:r w:rsidR="008406BD">
              <w:rPr>
                <w:noProof/>
                <w:webHidden/>
              </w:rPr>
            </w:r>
            <w:r w:rsidR="008406BD">
              <w:rPr>
                <w:noProof/>
                <w:webHidden/>
              </w:rPr>
              <w:fldChar w:fldCharType="separate"/>
            </w:r>
            <w:r w:rsidR="008406BD">
              <w:rPr>
                <w:noProof/>
                <w:webHidden/>
              </w:rPr>
              <w:t>27</w:t>
            </w:r>
            <w:r w:rsidR="008406BD">
              <w:rPr>
                <w:noProof/>
                <w:webHidden/>
              </w:rPr>
              <w:fldChar w:fldCharType="end"/>
            </w:r>
          </w:hyperlink>
        </w:p>
        <w:p w:rsidR="008406BD" w:rsidRDefault="003D5DA3">
          <w:pPr>
            <w:pStyle w:val="TOC2"/>
            <w:rPr>
              <w:rFonts w:asciiTheme="minorHAnsi" w:eastAsiaTheme="minorEastAsia" w:hAnsiTheme="minorHAnsi"/>
              <w:noProof/>
              <w:kern w:val="2"/>
              <w:lang w:val="en-US"/>
              <w14:ligatures w14:val="standardContextual"/>
            </w:rPr>
          </w:pPr>
          <w:hyperlink w:anchor="_Toc160622938" w:history="1">
            <w:r w:rsidR="008406BD" w:rsidRPr="00D34EA2">
              <w:rPr>
                <w:rStyle w:val="Hyperlink"/>
                <w:noProof/>
              </w:rPr>
              <w:t>4.</w:t>
            </w:r>
            <w:r w:rsidR="008406BD">
              <w:rPr>
                <w:rFonts w:asciiTheme="minorHAnsi" w:eastAsiaTheme="minorEastAsia" w:hAnsiTheme="minorHAnsi"/>
                <w:noProof/>
                <w:kern w:val="2"/>
                <w:lang w:val="en-US"/>
                <w14:ligatures w14:val="standardContextual"/>
              </w:rPr>
              <w:tab/>
            </w:r>
            <w:r w:rsidR="008406BD" w:rsidRPr="00D34EA2">
              <w:rPr>
                <w:rStyle w:val="Hyperlink"/>
                <w:noProof/>
              </w:rPr>
              <w:t>Тематична оценка за ефективността на приложените дейности по видимост и комуникация по ПМДРА 2021-2027 г.</w:t>
            </w:r>
            <w:r w:rsidR="008406BD">
              <w:rPr>
                <w:noProof/>
                <w:webHidden/>
              </w:rPr>
              <w:tab/>
            </w:r>
            <w:r w:rsidR="008406BD">
              <w:rPr>
                <w:noProof/>
                <w:webHidden/>
              </w:rPr>
              <w:fldChar w:fldCharType="begin"/>
            </w:r>
            <w:r w:rsidR="008406BD">
              <w:rPr>
                <w:noProof/>
                <w:webHidden/>
              </w:rPr>
              <w:instrText xml:space="preserve"> PAGEREF _Toc160622938 \h </w:instrText>
            </w:r>
            <w:r w:rsidR="008406BD">
              <w:rPr>
                <w:noProof/>
                <w:webHidden/>
              </w:rPr>
            </w:r>
            <w:r w:rsidR="008406BD">
              <w:rPr>
                <w:noProof/>
                <w:webHidden/>
              </w:rPr>
              <w:fldChar w:fldCharType="separate"/>
            </w:r>
            <w:r w:rsidR="008406BD">
              <w:rPr>
                <w:noProof/>
                <w:webHidden/>
              </w:rPr>
              <w:t>29</w:t>
            </w:r>
            <w:r w:rsidR="008406BD">
              <w:rPr>
                <w:noProof/>
                <w:webHidden/>
              </w:rPr>
              <w:fldChar w:fldCharType="end"/>
            </w:r>
          </w:hyperlink>
        </w:p>
        <w:p w:rsidR="008406BD" w:rsidRDefault="003D5DA3">
          <w:pPr>
            <w:pStyle w:val="TOC2"/>
            <w:rPr>
              <w:rFonts w:asciiTheme="minorHAnsi" w:eastAsiaTheme="minorEastAsia" w:hAnsiTheme="minorHAnsi"/>
              <w:noProof/>
              <w:kern w:val="2"/>
              <w:lang w:val="en-US"/>
              <w14:ligatures w14:val="standardContextual"/>
            </w:rPr>
          </w:pPr>
          <w:hyperlink w:anchor="_Toc160622939" w:history="1">
            <w:r w:rsidR="008406BD" w:rsidRPr="00D34EA2">
              <w:rPr>
                <w:rStyle w:val="Hyperlink"/>
                <w:noProof/>
              </w:rPr>
              <w:t>5.</w:t>
            </w:r>
            <w:r w:rsidR="008406BD">
              <w:rPr>
                <w:rFonts w:asciiTheme="minorHAnsi" w:eastAsiaTheme="minorEastAsia" w:hAnsiTheme="minorHAnsi"/>
                <w:noProof/>
                <w:kern w:val="2"/>
                <w:lang w:val="en-US"/>
                <w14:ligatures w14:val="standardContextual"/>
              </w:rPr>
              <w:tab/>
            </w:r>
            <w:r w:rsidR="008406BD" w:rsidRPr="00D34EA2">
              <w:rPr>
                <w:rStyle w:val="Hyperlink"/>
                <w:noProof/>
              </w:rPr>
              <w:t>Междинна оценка на напредъка на ПМДРА 2021-2027 г.</w:t>
            </w:r>
            <w:r w:rsidR="008406BD">
              <w:rPr>
                <w:noProof/>
                <w:webHidden/>
              </w:rPr>
              <w:tab/>
            </w:r>
            <w:r w:rsidR="008406BD">
              <w:rPr>
                <w:noProof/>
                <w:webHidden/>
              </w:rPr>
              <w:fldChar w:fldCharType="begin"/>
            </w:r>
            <w:r w:rsidR="008406BD">
              <w:rPr>
                <w:noProof/>
                <w:webHidden/>
              </w:rPr>
              <w:instrText xml:space="preserve"> PAGEREF _Toc160622939 \h </w:instrText>
            </w:r>
            <w:r w:rsidR="008406BD">
              <w:rPr>
                <w:noProof/>
                <w:webHidden/>
              </w:rPr>
            </w:r>
            <w:r w:rsidR="008406BD">
              <w:rPr>
                <w:noProof/>
                <w:webHidden/>
              </w:rPr>
              <w:fldChar w:fldCharType="separate"/>
            </w:r>
            <w:r w:rsidR="008406BD">
              <w:rPr>
                <w:noProof/>
                <w:webHidden/>
              </w:rPr>
              <w:t>30</w:t>
            </w:r>
            <w:r w:rsidR="008406BD">
              <w:rPr>
                <w:noProof/>
                <w:webHidden/>
              </w:rPr>
              <w:fldChar w:fldCharType="end"/>
            </w:r>
          </w:hyperlink>
        </w:p>
        <w:p w:rsidR="008406BD" w:rsidRDefault="003D5DA3">
          <w:pPr>
            <w:pStyle w:val="TOC2"/>
            <w:rPr>
              <w:rFonts w:asciiTheme="minorHAnsi" w:eastAsiaTheme="minorEastAsia" w:hAnsiTheme="minorHAnsi"/>
              <w:noProof/>
              <w:kern w:val="2"/>
              <w:lang w:val="en-US"/>
              <w14:ligatures w14:val="standardContextual"/>
            </w:rPr>
          </w:pPr>
          <w:hyperlink w:anchor="_Toc160622940" w:history="1">
            <w:r w:rsidR="008406BD" w:rsidRPr="00D34EA2">
              <w:rPr>
                <w:rStyle w:val="Hyperlink"/>
                <w:noProof/>
              </w:rPr>
              <w:t>6.</w:t>
            </w:r>
            <w:r w:rsidR="008406BD">
              <w:rPr>
                <w:rFonts w:asciiTheme="minorHAnsi" w:eastAsiaTheme="minorEastAsia" w:hAnsiTheme="minorHAnsi"/>
                <w:noProof/>
                <w:kern w:val="2"/>
                <w:lang w:val="en-US"/>
                <w14:ligatures w14:val="standardContextual"/>
              </w:rPr>
              <w:tab/>
            </w:r>
            <w:r w:rsidR="008406BD" w:rsidRPr="00D34EA2">
              <w:rPr>
                <w:rStyle w:val="Hyperlink"/>
                <w:noProof/>
              </w:rPr>
              <w:t>Анализ състоянието на сектор „Рибарство“ в България за подготовка на програмния период 2028+</w:t>
            </w:r>
            <w:r w:rsidR="008406BD">
              <w:rPr>
                <w:noProof/>
                <w:webHidden/>
              </w:rPr>
              <w:tab/>
            </w:r>
            <w:r w:rsidR="008406BD">
              <w:rPr>
                <w:noProof/>
                <w:webHidden/>
              </w:rPr>
              <w:fldChar w:fldCharType="begin"/>
            </w:r>
            <w:r w:rsidR="008406BD">
              <w:rPr>
                <w:noProof/>
                <w:webHidden/>
              </w:rPr>
              <w:instrText xml:space="preserve"> PAGEREF _Toc160622940 \h </w:instrText>
            </w:r>
            <w:r w:rsidR="008406BD">
              <w:rPr>
                <w:noProof/>
                <w:webHidden/>
              </w:rPr>
            </w:r>
            <w:r w:rsidR="008406BD">
              <w:rPr>
                <w:noProof/>
                <w:webHidden/>
              </w:rPr>
              <w:fldChar w:fldCharType="separate"/>
            </w:r>
            <w:r w:rsidR="008406BD">
              <w:rPr>
                <w:noProof/>
                <w:webHidden/>
              </w:rPr>
              <w:t>33</w:t>
            </w:r>
            <w:r w:rsidR="008406BD">
              <w:rPr>
                <w:noProof/>
                <w:webHidden/>
              </w:rPr>
              <w:fldChar w:fldCharType="end"/>
            </w:r>
          </w:hyperlink>
        </w:p>
        <w:p w:rsidR="008406BD" w:rsidRDefault="003D5DA3">
          <w:pPr>
            <w:pStyle w:val="TOC2"/>
            <w:rPr>
              <w:rFonts w:asciiTheme="minorHAnsi" w:eastAsiaTheme="minorEastAsia" w:hAnsiTheme="minorHAnsi"/>
              <w:noProof/>
              <w:kern w:val="2"/>
              <w:lang w:val="en-US"/>
              <w14:ligatures w14:val="standardContextual"/>
            </w:rPr>
          </w:pPr>
          <w:hyperlink w:anchor="_Toc160622941" w:history="1">
            <w:r w:rsidR="008406BD" w:rsidRPr="00D34EA2">
              <w:rPr>
                <w:rStyle w:val="Hyperlink"/>
                <w:noProof/>
              </w:rPr>
              <w:t>7.</w:t>
            </w:r>
            <w:r w:rsidR="008406BD">
              <w:rPr>
                <w:rFonts w:asciiTheme="minorHAnsi" w:eastAsiaTheme="minorEastAsia" w:hAnsiTheme="minorHAnsi"/>
                <w:noProof/>
                <w:kern w:val="2"/>
                <w:lang w:val="en-US"/>
                <w14:ligatures w14:val="standardContextual"/>
              </w:rPr>
              <w:tab/>
            </w:r>
            <w:r w:rsidR="008406BD" w:rsidRPr="00D34EA2">
              <w:rPr>
                <w:rStyle w:val="Hyperlink"/>
                <w:noProof/>
              </w:rPr>
              <w:t>Изготвяне на Многогодишен национален стратегически план за аквакултурите в България като част от подготовка на програмния период 2028+</w:t>
            </w:r>
            <w:r w:rsidR="008406BD">
              <w:rPr>
                <w:noProof/>
                <w:webHidden/>
              </w:rPr>
              <w:tab/>
            </w:r>
            <w:r w:rsidR="008406BD">
              <w:rPr>
                <w:noProof/>
                <w:webHidden/>
              </w:rPr>
              <w:fldChar w:fldCharType="begin"/>
            </w:r>
            <w:r w:rsidR="008406BD">
              <w:rPr>
                <w:noProof/>
                <w:webHidden/>
              </w:rPr>
              <w:instrText xml:space="preserve"> PAGEREF _Toc160622941 \h </w:instrText>
            </w:r>
            <w:r w:rsidR="008406BD">
              <w:rPr>
                <w:noProof/>
                <w:webHidden/>
              </w:rPr>
            </w:r>
            <w:r w:rsidR="008406BD">
              <w:rPr>
                <w:noProof/>
                <w:webHidden/>
              </w:rPr>
              <w:fldChar w:fldCharType="separate"/>
            </w:r>
            <w:r w:rsidR="008406BD">
              <w:rPr>
                <w:noProof/>
                <w:webHidden/>
              </w:rPr>
              <w:t>35</w:t>
            </w:r>
            <w:r w:rsidR="008406BD">
              <w:rPr>
                <w:noProof/>
                <w:webHidden/>
              </w:rPr>
              <w:fldChar w:fldCharType="end"/>
            </w:r>
          </w:hyperlink>
        </w:p>
        <w:p w:rsidR="008406BD" w:rsidRDefault="003D5DA3">
          <w:pPr>
            <w:pStyle w:val="TOC2"/>
            <w:rPr>
              <w:rFonts w:asciiTheme="minorHAnsi" w:eastAsiaTheme="minorEastAsia" w:hAnsiTheme="minorHAnsi"/>
              <w:noProof/>
              <w:kern w:val="2"/>
              <w:lang w:val="en-US"/>
              <w14:ligatures w14:val="standardContextual"/>
            </w:rPr>
          </w:pPr>
          <w:hyperlink w:anchor="_Toc160622942" w:history="1">
            <w:r w:rsidR="008406BD" w:rsidRPr="00D34EA2">
              <w:rPr>
                <w:rStyle w:val="Hyperlink"/>
                <w:noProof/>
              </w:rPr>
              <w:t>8.</w:t>
            </w:r>
            <w:r w:rsidR="008406BD">
              <w:rPr>
                <w:rFonts w:asciiTheme="minorHAnsi" w:eastAsiaTheme="minorEastAsia" w:hAnsiTheme="minorHAnsi"/>
                <w:noProof/>
                <w:kern w:val="2"/>
                <w:lang w:val="en-US"/>
                <w14:ligatures w14:val="standardContextual"/>
              </w:rPr>
              <w:tab/>
            </w:r>
            <w:r w:rsidR="008406BD" w:rsidRPr="00D34EA2">
              <w:rPr>
                <w:rStyle w:val="Hyperlink"/>
                <w:noProof/>
              </w:rPr>
              <w:t>Предварителна оценка и стратегическа оценка на околната среда на Програма за програмен период 2028+</w:t>
            </w:r>
            <w:r w:rsidR="008406BD">
              <w:rPr>
                <w:noProof/>
                <w:webHidden/>
              </w:rPr>
              <w:tab/>
            </w:r>
            <w:r w:rsidR="008406BD">
              <w:rPr>
                <w:noProof/>
                <w:webHidden/>
              </w:rPr>
              <w:fldChar w:fldCharType="begin"/>
            </w:r>
            <w:r w:rsidR="008406BD">
              <w:rPr>
                <w:noProof/>
                <w:webHidden/>
              </w:rPr>
              <w:instrText xml:space="preserve"> PAGEREF _Toc160622942 \h </w:instrText>
            </w:r>
            <w:r w:rsidR="008406BD">
              <w:rPr>
                <w:noProof/>
                <w:webHidden/>
              </w:rPr>
            </w:r>
            <w:r w:rsidR="008406BD">
              <w:rPr>
                <w:noProof/>
                <w:webHidden/>
              </w:rPr>
              <w:fldChar w:fldCharType="separate"/>
            </w:r>
            <w:r w:rsidR="008406BD">
              <w:rPr>
                <w:noProof/>
                <w:webHidden/>
              </w:rPr>
              <w:t>37</w:t>
            </w:r>
            <w:r w:rsidR="008406BD">
              <w:rPr>
                <w:noProof/>
                <w:webHidden/>
              </w:rPr>
              <w:fldChar w:fldCharType="end"/>
            </w:r>
          </w:hyperlink>
        </w:p>
        <w:p w:rsidR="008406BD" w:rsidRDefault="003D5DA3">
          <w:pPr>
            <w:pStyle w:val="TOC2"/>
            <w:rPr>
              <w:rFonts w:asciiTheme="minorHAnsi" w:eastAsiaTheme="minorEastAsia" w:hAnsiTheme="minorHAnsi"/>
              <w:noProof/>
              <w:kern w:val="2"/>
              <w:lang w:val="en-US"/>
              <w14:ligatures w14:val="standardContextual"/>
            </w:rPr>
          </w:pPr>
          <w:hyperlink w:anchor="_Toc160622943" w:history="1">
            <w:r w:rsidR="008406BD" w:rsidRPr="00D34EA2">
              <w:rPr>
                <w:rStyle w:val="Hyperlink"/>
                <w:noProof/>
              </w:rPr>
              <w:t>9.</w:t>
            </w:r>
            <w:r w:rsidR="008406BD">
              <w:rPr>
                <w:rFonts w:asciiTheme="minorHAnsi" w:eastAsiaTheme="minorEastAsia" w:hAnsiTheme="minorHAnsi"/>
                <w:noProof/>
                <w:kern w:val="2"/>
                <w:lang w:val="en-US"/>
                <w14:ligatures w14:val="standardContextual"/>
              </w:rPr>
              <w:tab/>
            </w:r>
            <w:r w:rsidR="008406BD" w:rsidRPr="00D34EA2">
              <w:rPr>
                <w:rStyle w:val="Hyperlink"/>
                <w:noProof/>
              </w:rPr>
              <w:t>Оценка на въздействието на ПМДРА 2021-2027 г.</w:t>
            </w:r>
            <w:r w:rsidR="008406BD">
              <w:rPr>
                <w:noProof/>
                <w:webHidden/>
              </w:rPr>
              <w:tab/>
            </w:r>
            <w:r w:rsidR="008406BD">
              <w:rPr>
                <w:noProof/>
                <w:webHidden/>
              </w:rPr>
              <w:fldChar w:fldCharType="begin"/>
            </w:r>
            <w:r w:rsidR="008406BD">
              <w:rPr>
                <w:noProof/>
                <w:webHidden/>
              </w:rPr>
              <w:instrText xml:space="preserve"> PAGEREF _Toc160622943 \h </w:instrText>
            </w:r>
            <w:r w:rsidR="008406BD">
              <w:rPr>
                <w:noProof/>
                <w:webHidden/>
              </w:rPr>
            </w:r>
            <w:r w:rsidR="008406BD">
              <w:rPr>
                <w:noProof/>
                <w:webHidden/>
              </w:rPr>
              <w:fldChar w:fldCharType="separate"/>
            </w:r>
            <w:r w:rsidR="008406BD">
              <w:rPr>
                <w:noProof/>
                <w:webHidden/>
              </w:rPr>
              <w:t>38</w:t>
            </w:r>
            <w:r w:rsidR="008406BD">
              <w:rPr>
                <w:noProof/>
                <w:webHidden/>
              </w:rPr>
              <w:fldChar w:fldCharType="end"/>
            </w:r>
          </w:hyperlink>
        </w:p>
        <w:p w:rsidR="008406BD" w:rsidRDefault="003D5DA3">
          <w:pPr>
            <w:pStyle w:val="TOC1"/>
            <w:rPr>
              <w:rFonts w:asciiTheme="minorHAnsi" w:eastAsiaTheme="minorEastAsia" w:hAnsiTheme="minorHAnsi"/>
              <w:b w:val="0"/>
              <w:smallCaps w:val="0"/>
              <w:color w:val="auto"/>
              <w:kern w:val="2"/>
              <w:lang w:val="en-US"/>
              <w14:shadow w14:blurRad="0" w14:dist="0" w14:dir="0" w14:sx="0" w14:sy="0" w14:kx="0" w14:ky="0" w14:algn="none">
                <w14:srgbClr w14:val="000000"/>
              </w14:shadow>
              <w14:textOutline w14:w="0" w14:cap="rnd" w14:cmpd="sng" w14:algn="ctr">
                <w14:noFill/>
                <w14:prstDash w14:val="solid"/>
                <w14:bevel/>
              </w14:textOutline>
              <w14:ligatures w14:val="standardContextual"/>
            </w:rPr>
          </w:pPr>
          <w:hyperlink w:anchor="_Toc160622944" w:history="1">
            <w:r w:rsidR="008406BD" w:rsidRPr="00D34EA2">
              <w:rPr>
                <w:rStyle w:val="Hyperlink"/>
              </w:rPr>
              <w:t>IX.</w:t>
            </w:r>
            <w:r w:rsidR="008406BD">
              <w:rPr>
                <w:rFonts w:asciiTheme="minorHAnsi" w:eastAsiaTheme="minorEastAsia" w:hAnsiTheme="minorHAnsi"/>
                <w:b w:val="0"/>
                <w:smallCaps w:val="0"/>
                <w:color w:val="auto"/>
                <w:kern w:val="2"/>
                <w:lang w:val="en-US"/>
                <w14:shadow w14:blurRad="0" w14:dist="0" w14:dir="0" w14:sx="0" w14:sy="0" w14:kx="0" w14:ky="0" w14:algn="none">
                  <w14:srgbClr w14:val="000000"/>
                </w14:shadow>
                <w14:textOutline w14:w="0" w14:cap="rnd" w14:cmpd="sng" w14:algn="ctr">
                  <w14:noFill/>
                  <w14:prstDash w14:val="solid"/>
                  <w14:bevel/>
                </w14:textOutline>
                <w14:ligatures w14:val="standardContextual"/>
              </w:rPr>
              <w:tab/>
            </w:r>
            <w:r w:rsidR="008406BD" w:rsidRPr="00D34EA2">
              <w:rPr>
                <w:rStyle w:val="Hyperlink"/>
              </w:rPr>
              <w:t>Методи за оценка и източници на информация</w:t>
            </w:r>
            <w:r w:rsidR="008406BD">
              <w:rPr>
                <w:webHidden/>
              </w:rPr>
              <w:tab/>
            </w:r>
            <w:r w:rsidR="008406BD">
              <w:rPr>
                <w:webHidden/>
              </w:rPr>
              <w:fldChar w:fldCharType="begin"/>
            </w:r>
            <w:r w:rsidR="008406BD">
              <w:rPr>
                <w:webHidden/>
              </w:rPr>
              <w:instrText xml:space="preserve"> PAGEREF _Toc160622944 \h </w:instrText>
            </w:r>
            <w:r w:rsidR="008406BD">
              <w:rPr>
                <w:webHidden/>
              </w:rPr>
            </w:r>
            <w:r w:rsidR="008406BD">
              <w:rPr>
                <w:webHidden/>
              </w:rPr>
              <w:fldChar w:fldCharType="separate"/>
            </w:r>
            <w:r w:rsidR="008406BD">
              <w:rPr>
                <w:webHidden/>
              </w:rPr>
              <w:t>41</w:t>
            </w:r>
            <w:r w:rsidR="008406BD">
              <w:rPr>
                <w:webHidden/>
              </w:rPr>
              <w:fldChar w:fldCharType="end"/>
            </w:r>
          </w:hyperlink>
        </w:p>
        <w:p w:rsidR="008406BD" w:rsidRDefault="003D5DA3">
          <w:pPr>
            <w:pStyle w:val="TOC1"/>
            <w:rPr>
              <w:rFonts w:asciiTheme="minorHAnsi" w:eastAsiaTheme="minorEastAsia" w:hAnsiTheme="minorHAnsi"/>
              <w:b w:val="0"/>
              <w:smallCaps w:val="0"/>
              <w:color w:val="auto"/>
              <w:kern w:val="2"/>
              <w:lang w:val="en-US"/>
              <w14:shadow w14:blurRad="0" w14:dist="0" w14:dir="0" w14:sx="0" w14:sy="0" w14:kx="0" w14:ky="0" w14:algn="none">
                <w14:srgbClr w14:val="000000"/>
              </w14:shadow>
              <w14:textOutline w14:w="0" w14:cap="rnd" w14:cmpd="sng" w14:algn="ctr">
                <w14:noFill/>
                <w14:prstDash w14:val="solid"/>
                <w14:bevel/>
              </w14:textOutline>
              <w14:ligatures w14:val="standardContextual"/>
            </w:rPr>
          </w:pPr>
          <w:hyperlink w:anchor="_Toc160622945" w:history="1">
            <w:r w:rsidR="008406BD" w:rsidRPr="00D34EA2">
              <w:rPr>
                <w:rStyle w:val="Hyperlink"/>
              </w:rPr>
              <w:t>X.</w:t>
            </w:r>
            <w:r w:rsidR="008406BD">
              <w:rPr>
                <w:rFonts w:asciiTheme="minorHAnsi" w:eastAsiaTheme="minorEastAsia" w:hAnsiTheme="minorHAnsi"/>
                <w:b w:val="0"/>
                <w:smallCaps w:val="0"/>
                <w:color w:val="auto"/>
                <w:kern w:val="2"/>
                <w:lang w:val="en-US"/>
                <w14:shadow w14:blurRad="0" w14:dist="0" w14:dir="0" w14:sx="0" w14:sy="0" w14:kx="0" w14:ky="0" w14:algn="none">
                  <w14:srgbClr w14:val="000000"/>
                </w14:shadow>
                <w14:textOutline w14:w="0" w14:cap="rnd" w14:cmpd="sng" w14:algn="ctr">
                  <w14:noFill/>
                  <w14:prstDash w14:val="solid"/>
                  <w14:bevel/>
                </w14:textOutline>
                <w14:ligatures w14:val="standardContextual"/>
              </w:rPr>
              <w:tab/>
            </w:r>
            <w:r w:rsidR="008406BD" w:rsidRPr="00D34EA2">
              <w:rPr>
                <w:rStyle w:val="Hyperlink"/>
              </w:rPr>
              <w:t>Индикативен план за дейностите по оценка</w:t>
            </w:r>
            <w:r w:rsidR="008406BD">
              <w:rPr>
                <w:webHidden/>
              </w:rPr>
              <w:tab/>
            </w:r>
            <w:r w:rsidR="008406BD">
              <w:rPr>
                <w:webHidden/>
              </w:rPr>
              <w:fldChar w:fldCharType="begin"/>
            </w:r>
            <w:r w:rsidR="008406BD">
              <w:rPr>
                <w:webHidden/>
              </w:rPr>
              <w:instrText xml:space="preserve"> PAGEREF _Toc160622945 \h </w:instrText>
            </w:r>
            <w:r w:rsidR="008406BD">
              <w:rPr>
                <w:webHidden/>
              </w:rPr>
            </w:r>
            <w:r w:rsidR="008406BD">
              <w:rPr>
                <w:webHidden/>
              </w:rPr>
              <w:fldChar w:fldCharType="separate"/>
            </w:r>
            <w:r w:rsidR="008406BD">
              <w:rPr>
                <w:webHidden/>
              </w:rPr>
              <w:t>44</w:t>
            </w:r>
            <w:r w:rsidR="008406BD">
              <w:rPr>
                <w:webHidden/>
              </w:rPr>
              <w:fldChar w:fldCharType="end"/>
            </w:r>
          </w:hyperlink>
        </w:p>
        <w:p w:rsidR="003A0DAB" w:rsidRPr="00354CE4" w:rsidRDefault="003A0DAB" w:rsidP="005F67FF">
          <w:r w:rsidRPr="00354CE4">
            <w:rPr>
              <w:b/>
            </w:rPr>
            <w:fldChar w:fldCharType="end"/>
          </w:r>
        </w:p>
      </w:sdtContent>
    </w:sdt>
    <w:p w:rsidR="003A0DAB" w:rsidRPr="00354CE4" w:rsidRDefault="003A0DAB" w:rsidP="005F67FF"/>
    <w:p w:rsidR="003A0DAB" w:rsidRPr="00354CE4" w:rsidRDefault="003A0DAB" w:rsidP="005F67FF"/>
    <w:p w:rsidR="003A0DAB" w:rsidRPr="00354CE4" w:rsidRDefault="003A0DAB" w:rsidP="005F67FF">
      <w:pPr>
        <w:sectPr w:rsidR="003A0DAB" w:rsidRPr="00354CE4" w:rsidSect="000E0B39">
          <w:pgSz w:w="11907" w:h="16839" w:code="9"/>
          <w:pgMar w:top="1134" w:right="1134" w:bottom="1134" w:left="1134" w:header="708" w:footer="708" w:gutter="0"/>
          <w:cols w:space="708"/>
          <w:titlePg/>
          <w:docGrid w:linePitch="360"/>
        </w:sectPr>
      </w:pPr>
    </w:p>
    <w:p w:rsidR="003A0DAB" w:rsidRPr="00354CE4" w:rsidRDefault="003A0DAB" w:rsidP="005F67FF"/>
    <w:p w:rsidR="00835325" w:rsidRPr="00354CE4" w:rsidRDefault="00835325" w:rsidP="005F67FF">
      <w:pPr>
        <w:pStyle w:val="Subtitle"/>
        <w:rPr>
          <w:rStyle w:val="IntenseReference"/>
        </w:rPr>
      </w:pPr>
      <w:r w:rsidRPr="00354CE4">
        <w:rPr>
          <w:rStyle w:val="IntenseReference"/>
        </w:rPr>
        <w:t xml:space="preserve">Съкращения </w:t>
      </w:r>
    </w:p>
    <w:tbl>
      <w:tblPr>
        <w:tblStyle w:val="TableGrid"/>
        <w:tblW w:w="0" w:type="auto"/>
        <w:tblLook w:val="04A0" w:firstRow="1" w:lastRow="0" w:firstColumn="1" w:lastColumn="0" w:noHBand="0" w:noVBand="1"/>
      </w:tblPr>
      <w:tblGrid>
        <w:gridCol w:w="1941"/>
        <w:gridCol w:w="7688"/>
      </w:tblGrid>
      <w:tr w:rsidR="003A0DAB" w:rsidRPr="00354CE4" w:rsidTr="004B0EC8">
        <w:tc>
          <w:tcPr>
            <w:tcW w:w="1941" w:type="dxa"/>
          </w:tcPr>
          <w:p w:rsidR="003A0DAB" w:rsidRPr="00354CE4" w:rsidRDefault="003A0DAB" w:rsidP="005F67FF">
            <w:r w:rsidRPr="00354CE4">
              <w:t>ДМДР</w:t>
            </w:r>
          </w:p>
        </w:tc>
        <w:tc>
          <w:tcPr>
            <w:tcW w:w="7688" w:type="dxa"/>
          </w:tcPr>
          <w:p w:rsidR="003A0DAB" w:rsidRPr="00354CE4" w:rsidRDefault="003A0DAB" w:rsidP="005F67FF">
            <w:r w:rsidRPr="00354CE4">
              <w:t>Дирекция Морско дело и рибарство</w:t>
            </w:r>
          </w:p>
        </w:tc>
      </w:tr>
      <w:tr w:rsidR="003A0DAB" w:rsidRPr="00354CE4" w:rsidTr="004B0EC8">
        <w:tc>
          <w:tcPr>
            <w:tcW w:w="1941" w:type="dxa"/>
          </w:tcPr>
          <w:p w:rsidR="003A0DAB" w:rsidRPr="00354CE4" w:rsidRDefault="003A0DAB" w:rsidP="005F67FF">
            <w:r w:rsidRPr="00354CE4">
              <w:t>ДЧ</w:t>
            </w:r>
          </w:p>
        </w:tc>
        <w:tc>
          <w:tcPr>
            <w:tcW w:w="7688" w:type="dxa"/>
          </w:tcPr>
          <w:p w:rsidR="003A0DAB" w:rsidRPr="00354CE4" w:rsidRDefault="003A0DAB" w:rsidP="005F67FF">
            <w:r w:rsidRPr="00354CE4">
              <w:t>Държавите-членки на ЕС</w:t>
            </w:r>
          </w:p>
        </w:tc>
      </w:tr>
      <w:tr w:rsidR="003A0DAB" w:rsidRPr="00354CE4" w:rsidTr="004B0EC8">
        <w:tc>
          <w:tcPr>
            <w:tcW w:w="1941" w:type="dxa"/>
          </w:tcPr>
          <w:p w:rsidR="003A0DAB" w:rsidRPr="00354CE4" w:rsidRDefault="003A0DAB" w:rsidP="005F67FF">
            <w:r w:rsidRPr="00354CE4">
              <w:t>ЕК</w:t>
            </w:r>
          </w:p>
        </w:tc>
        <w:tc>
          <w:tcPr>
            <w:tcW w:w="7688" w:type="dxa"/>
          </w:tcPr>
          <w:p w:rsidR="003A0DAB" w:rsidRPr="00354CE4" w:rsidRDefault="003A0DAB" w:rsidP="005F67FF">
            <w:r w:rsidRPr="00354CE4">
              <w:t>Европейска комисия</w:t>
            </w:r>
          </w:p>
        </w:tc>
      </w:tr>
      <w:tr w:rsidR="003A0DAB" w:rsidRPr="00354CE4" w:rsidTr="004B0EC8">
        <w:tc>
          <w:tcPr>
            <w:tcW w:w="1941" w:type="dxa"/>
          </w:tcPr>
          <w:p w:rsidR="003A0DAB" w:rsidRPr="00354CE4" w:rsidRDefault="003A0DAB" w:rsidP="005F67FF">
            <w:r w:rsidRPr="00354CE4">
              <w:t>ЕС</w:t>
            </w:r>
          </w:p>
        </w:tc>
        <w:tc>
          <w:tcPr>
            <w:tcW w:w="7688" w:type="dxa"/>
          </w:tcPr>
          <w:p w:rsidR="003A0DAB" w:rsidRPr="00354CE4" w:rsidRDefault="003A0DAB" w:rsidP="005F67FF">
            <w:r w:rsidRPr="00354CE4">
              <w:t>Европейски съюз</w:t>
            </w:r>
          </w:p>
        </w:tc>
      </w:tr>
      <w:tr w:rsidR="003A0DAB" w:rsidRPr="00354CE4" w:rsidTr="004B0EC8">
        <w:tc>
          <w:tcPr>
            <w:tcW w:w="1941" w:type="dxa"/>
          </w:tcPr>
          <w:p w:rsidR="003A0DAB" w:rsidRPr="00354CE4" w:rsidRDefault="003A0DAB" w:rsidP="005F67FF">
            <w:r w:rsidRPr="00354CE4">
              <w:t>ЕСИФ</w:t>
            </w:r>
          </w:p>
        </w:tc>
        <w:tc>
          <w:tcPr>
            <w:tcW w:w="7688" w:type="dxa"/>
          </w:tcPr>
          <w:p w:rsidR="003A0DAB" w:rsidRPr="00354CE4" w:rsidRDefault="003A0DAB" w:rsidP="005F67FF">
            <w:r w:rsidRPr="00354CE4">
              <w:t>Европейски структурни и инвестиционни фондове</w:t>
            </w:r>
          </w:p>
        </w:tc>
      </w:tr>
      <w:tr w:rsidR="003A0DAB" w:rsidRPr="00354CE4" w:rsidTr="004B0EC8">
        <w:tc>
          <w:tcPr>
            <w:tcW w:w="1941" w:type="dxa"/>
          </w:tcPr>
          <w:p w:rsidR="003A0DAB" w:rsidRPr="00354CE4" w:rsidRDefault="003A0DAB" w:rsidP="005F67FF">
            <w:r w:rsidRPr="00354CE4">
              <w:t>ЕФМДРА</w:t>
            </w:r>
          </w:p>
        </w:tc>
        <w:tc>
          <w:tcPr>
            <w:tcW w:w="7688" w:type="dxa"/>
          </w:tcPr>
          <w:p w:rsidR="003A0DAB" w:rsidRPr="00354CE4" w:rsidRDefault="003A0DAB" w:rsidP="005F67FF">
            <w:r w:rsidRPr="00354CE4">
              <w:t>Европейския фонд за морско дело, рибарство и аквакултури</w:t>
            </w:r>
          </w:p>
        </w:tc>
      </w:tr>
      <w:tr w:rsidR="003A0DAB" w:rsidRPr="00354CE4" w:rsidTr="004B0EC8">
        <w:tc>
          <w:tcPr>
            <w:tcW w:w="1941" w:type="dxa"/>
          </w:tcPr>
          <w:p w:rsidR="003A0DAB" w:rsidRPr="00354CE4" w:rsidRDefault="003A0DAB" w:rsidP="005F67FF">
            <w:r w:rsidRPr="00354CE4">
              <w:t>ЕФСУ</w:t>
            </w:r>
          </w:p>
        </w:tc>
        <w:tc>
          <w:tcPr>
            <w:tcW w:w="7688" w:type="dxa"/>
          </w:tcPr>
          <w:p w:rsidR="003A0DAB" w:rsidRPr="00354CE4" w:rsidRDefault="003A0DAB" w:rsidP="005F67FF">
            <w:r w:rsidRPr="00354CE4">
              <w:t>Европейски фондове за споделено управление</w:t>
            </w:r>
          </w:p>
        </w:tc>
      </w:tr>
      <w:tr w:rsidR="003A0DAB" w:rsidRPr="00354CE4" w:rsidTr="004B0EC8">
        <w:tc>
          <w:tcPr>
            <w:tcW w:w="1941" w:type="dxa"/>
          </w:tcPr>
          <w:p w:rsidR="003A0DAB" w:rsidRPr="00354CE4" w:rsidRDefault="003A0DAB" w:rsidP="005F67FF">
            <w:r w:rsidRPr="00354CE4">
              <w:t>КН</w:t>
            </w:r>
          </w:p>
        </w:tc>
        <w:tc>
          <w:tcPr>
            <w:tcW w:w="7688" w:type="dxa"/>
          </w:tcPr>
          <w:p w:rsidR="003A0DAB" w:rsidRPr="00354CE4" w:rsidRDefault="003A0DAB" w:rsidP="005F67FF">
            <w:r w:rsidRPr="00354CE4">
              <w:t xml:space="preserve">Комитет за наблюдение </w:t>
            </w:r>
          </w:p>
        </w:tc>
      </w:tr>
      <w:tr w:rsidR="003A0DAB" w:rsidRPr="00354CE4" w:rsidTr="004B0EC8">
        <w:tc>
          <w:tcPr>
            <w:tcW w:w="1941" w:type="dxa"/>
          </w:tcPr>
          <w:p w:rsidR="003A0DAB" w:rsidRPr="00354CE4" w:rsidRDefault="003A0DAB" w:rsidP="005F67FF">
            <w:r w:rsidRPr="00354CE4">
              <w:t>МНСПА</w:t>
            </w:r>
          </w:p>
        </w:tc>
        <w:tc>
          <w:tcPr>
            <w:tcW w:w="7688" w:type="dxa"/>
          </w:tcPr>
          <w:p w:rsidR="003A0DAB" w:rsidRPr="00354CE4" w:rsidRDefault="003A0DAB" w:rsidP="005F67FF">
            <w:r w:rsidRPr="00354CE4">
              <w:t>Многогодишен национален стратегически план за аквакултурите в България</w:t>
            </w:r>
          </w:p>
        </w:tc>
      </w:tr>
      <w:tr w:rsidR="003A0DAB" w:rsidRPr="00354CE4" w:rsidTr="004B0EC8">
        <w:tc>
          <w:tcPr>
            <w:tcW w:w="1941" w:type="dxa"/>
          </w:tcPr>
          <w:p w:rsidR="003A0DAB" w:rsidRPr="00354CE4" w:rsidRDefault="003A0DAB" w:rsidP="005F67FF">
            <w:r w:rsidRPr="00354CE4">
              <w:t>ПО</w:t>
            </w:r>
          </w:p>
        </w:tc>
        <w:tc>
          <w:tcPr>
            <w:tcW w:w="7688" w:type="dxa"/>
          </w:tcPr>
          <w:p w:rsidR="003A0DAB" w:rsidRPr="00354CE4" w:rsidRDefault="003A0DAB" w:rsidP="005F67FF">
            <w:r w:rsidRPr="00354CE4">
              <w:t>План за оценка</w:t>
            </w:r>
          </w:p>
        </w:tc>
      </w:tr>
      <w:tr w:rsidR="003A0DAB" w:rsidRPr="00354CE4" w:rsidTr="004B0EC8">
        <w:tc>
          <w:tcPr>
            <w:tcW w:w="1941" w:type="dxa"/>
          </w:tcPr>
          <w:p w:rsidR="003A0DAB" w:rsidRPr="00354CE4" w:rsidRDefault="003A0DAB" w:rsidP="005F67FF">
            <w:r w:rsidRPr="00354CE4">
              <w:t>ПМДР</w:t>
            </w:r>
          </w:p>
        </w:tc>
        <w:tc>
          <w:tcPr>
            <w:tcW w:w="7688" w:type="dxa"/>
          </w:tcPr>
          <w:p w:rsidR="003A0DAB" w:rsidRPr="00354CE4" w:rsidRDefault="003A0DAB" w:rsidP="005F67FF">
            <w:r w:rsidRPr="00354CE4">
              <w:t>Програмата за морско дело и рибарство 2014 – 2020 г.</w:t>
            </w:r>
          </w:p>
        </w:tc>
      </w:tr>
      <w:tr w:rsidR="003A0DAB" w:rsidRPr="00354CE4" w:rsidTr="004B0EC8">
        <w:tc>
          <w:tcPr>
            <w:tcW w:w="1941" w:type="dxa"/>
          </w:tcPr>
          <w:p w:rsidR="003A0DAB" w:rsidRPr="00354CE4" w:rsidRDefault="003A0DAB" w:rsidP="005F67FF">
            <w:r w:rsidRPr="00354CE4">
              <w:t>ПМДРА</w:t>
            </w:r>
          </w:p>
        </w:tc>
        <w:tc>
          <w:tcPr>
            <w:tcW w:w="7688" w:type="dxa"/>
          </w:tcPr>
          <w:p w:rsidR="003A0DAB" w:rsidRPr="00354CE4" w:rsidRDefault="003A0DAB" w:rsidP="005F67FF">
            <w:pPr>
              <w:rPr>
                <w:b/>
                <w:i/>
              </w:rPr>
            </w:pPr>
            <w:r w:rsidRPr="00354CE4">
              <w:t>Програмата за морско дело, рибарство и аквакултури 2021-2027</w:t>
            </w:r>
          </w:p>
        </w:tc>
      </w:tr>
      <w:tr w:rsidR="003A0DAB" w:rsidRPr="00354CE4" w:rsidTr="004B0EC8">
        <w:tc>
          <w:tcPr>
            <w:tcW w:w="1941" w:type="dxa"/>
          </w:tcPr>
          <w:p w:rsidR="003A0DAB" w:rsidRPr="00354CE4" w:rsidRDefault="003A0DAB" w:rsidP="005F67FF">
            <w:r w:rsidRPr="00354CE4">
              <w:t>РГ</w:t>
            </w:r>
          </w:p>
        </w:tc>
        <w:tc>
          <w:tcPr>
            <w:tcW w:w="7688" w:type="dxa"/>
          </w:tcPr>
          <w:p w:rsidR="003A0DAB" w:rsidRPr="00354CE4" w:rsidRDefault="003A0DAB" w:rsidP="005F67FF">
            <w:r w:rsidRPr="00354CE4">
              <w:t>Работната група</w:t>
            </w:r>
          </w:p>
        </w:tc>
      </w:tr>
      <w:tr w:rsidR="003A0DAB" w:rsidRPr="00354CE4" w:rsidTr="004B0EC8">
        <w:tc>
          <w:tcPr>
            <w:tcW w:w="1941" w:type="dxa"/>
          </w:tcPr>
          <w:p w:rsidR="003A0DAB" w:rsidRPr="00354CE4" w:rsidRDefault="003A0DAB" w:rsidP="005F67FF">
            <w:r w:rsidRPr="00354CE4">
              <w:t>РОР</w:t>
            </w:r>
          </w:p>
        </w:tc>
        <w:tc>
          <w:tcPr>
            <w:tcW w:w="7688" w:type="dxa"/>
          </w:tcPr>
          <w:p w:rsidR="003A0DAB" w:rsidRPr="00354CE4" w:rsidRDefault="003A0DAB" w:rsidP="005F67FF">
            <w:r w:rsidRPr="00354CE4">
              <w:t>Регламент (ЕС) 2021/1060 на Европейския парламент и на Съвета от 24 юни 2021 година за установяване на общоприложимите разпоредби за Европейския фонд за регионално развитие, Европейския социален фонд плюс, Кохезионния фонд, Фонда за справедлив преход и Европейския фонд за морско дело, рибарство и аквакултури, както и на финансовите правила за тях и за фонд „Убежище, миграция и интеграция“, фонд „Вътрешна сигурност“ и Инструмента за финансова подкрепа за управлението на границите и визовата политика (OB L 231, 30.6.2021 г.) Регламент за общоприложимите разпоредби</w:t>
            </w:r>
          </w:p>
        </w:tc>
      </w:tr>
      <w:tr w:rsidR="003A0DAB" w:rsidRPr="00354CE4" w:rsidTr="004B0EC8">
        <w:tc>
          <w:tcPr>
            <w:tcW w:w="1941" w:type="dxa"/>
          </w:tcPr>
          <w:p w:rsidR="003A0DAB" w:rsidRPr="00354CE4" w:rsidRDefault="003A0DAB" w:rsidP="005F67FF">
            <w:r w:rsidRPr="00354CE4">
              <w:t>УО</w:t>
            </w:r>
          </w:p>
        </w:tc>
        <w:tc>
          <w:tcPr>
            <w:tcW w:w="7688" w:type="dxa"/>
          </w:tcPr>
          <w:p w:rsidR="003A0DAB" w:rsidRPr="00354CE4" w:rsidRDefault="003A0DAB" w:rsidP="005F67FF">
            <w:r w:rsidRPr="00354CE4">
              <w:t>Управляващ орган</w:t>
            </w:r>
          </w:p>
        </w:tc>
      </w:tr>
    </w:tbl>
    <w:p w:rsidR="003A0DAB" w:rsidRPr="00354CE4" w:rsidRDefault="003A0DAB" w:rsidP="005F67FF">
      <w:pPr>
        <w:sectPr w:rsidR="003A0DAB" w:rsidRPr="00354CE4" w:rsidSect="000E0B39">
          <w:pgSz w:w="11907" w:h="16839" w:code="9"/>
          <w:pgMar w:top="1134" w:right="1134" w:bottom="1134" w:left="1134" w:header="708" w:footer="708" w:gutter="0"/>
          <w:cols w:space="708"/>
          <w:titlePg/>
          <w:docGrid w:linePitch="360"/>
        </w:sectPr>
      </w:pPr>
    </w:p>
    <w:p w:rsidR="001C15EF" w:rsidRPr="00354CE4" w:rsidRDefault="00EE67CE" w:rsidP="0069306E">
      <w:pPr>
        <w:pStyle w:val="Heading1"/>
      </w:pPr>
      <w:bookmarkStart w:id="2" w:name="_Toc153543104"/>
      <w:bookmarkStart w:id="3" w:name="_Toc160622919"/>
      <w:bookmarkEnd w:id="0"/>
      <w:bookmarkEnd w:id="1"/>
      <w:r w:rsidRPr="00354CE4">
        <w:lastRenderedPageBreak/>
        <w:t>Въведение</w:t>
      </w:r>
      <w:bookmarkEnd w:id="2"/>
      <w:bookmarkEnd w:id="3"/>
    </w:p>
    <w:p w:rsidR="008E1A42" w:rsidRPr="00354CE4" w:rsidRDefault="0070033F" w:rsidP="005F67FF">
      <w:r w:rsidRPr="00354CE4">
        <w:t>Програмата за морско дело, рибарство и аквакултури 2021-2027 (ПМДРА)</w:t>
      </w:r>
      <w:r w:rsidRPr="00354CE4">
        <w:rPr>
          <w:b/>
        </w:rPr>
        <w:t xml:space="preserve"> </w:t>
      </w:r>
      <w:r w:rsidRPr="00354CE4">
        <w:t xml:space="preserve">е одобрена от Европейската комисия на 23 ноември 2023 г. Тя е разработена съгласно разпоредбите и изискванията на </w:t>
      </w:r>
      <w:r w:rsidRPr="00354CE4">
        <w:rPr>
          <w:b/>
        </w:rPr>
        <w:t xml:space="preserve">Регламент (ЕС) 2021/1060 </w:t>
      </w:r>
      <w:r w:rsidRPr="00354CE4">
        <w:t xml:space="preserve">на Европейския парламент и на Съвета от 24 юни 2021 година за установяване на общоприложимите разпоредби за Европейския фонд за регионално развитие, Европейския социален фонд плюс, Кохезионния фонд, Фонда за справедлив преход и Европейския фонд за морско дело, рибарство и аквакултури, както и на финансовите правила за тях и за фонд „Убежище, миграция и интеграция“, фонд „Вътрешна сигурност“ и Инструмента за финансова подкрепа за управлението на границите и визовата политика (OB L 231, 30.6.2021 г.) и </w:t>
      </w:r>
      <w:r w:rsidRPr="00354CE4">
        <w:rPr>
          <w:b/>
        </w:rPr>
        <w:t>Регламент (ЕС) 2021/1139</w:t>
      </w:r>
      <w:r w:rsidRPr="00354CE4">
        <w:t xml:space="preserve"> на Европейския парламент и на Съвета от 7 юли 2021 година за създаване на Европейския фонд за морско дело, рибарство и аквакултури и за изменение на Регламент (ЕС) 2017/1004 (OB L 247, 13.7.2021 г.).</w:t>
      </w:r>
    </w:p>
    <w:p w:rsidR="008E1A42" w:rsidRPr="00354CE4" w:rsidRDefault="008E1A42" w:rsidP="005F67FF">
      <w:r w:rsidRPr="00354CE4">
        <w:t xml:space="preserve">Планът за оценка (EО) на Програмата за морско дело, рибарство и аквакултури 2021-2027 (ПМДРА), е генералният план за дейностите по оценка, извършвани от Управляващия орган (УО). </w:t>
      </w:r>
    </w:p>
    <w:p w:rsidR="008E1A42" w:rsidRPr="00354CE4" w:rsidRDefault="008E1A42" w:rsidP="005F67FF">
      <w:r w:rsidRPr="00354CE4">
        <w:t xml:space="preserve">Оценката на програмата е процес, базиран на задълбочено събиране на информация и независима експертна оценка с цел получаване на надеждни доказателства за управлението на изпълнението и вземането на стратегически решения. По този начин оценката допринася за ефективността на разходите при използването на публични средства. Оценките трябва да бъдат съществена част от жизнения цикъл на една програма и да подпомагат лицата, вземащи решения, и другите заинтересовани страни, за да предприемат навременни мерки в подкрепа на изпълнението на програмите и изготвяне на политики. </w:t>
      </w:r>
      <w:r w:rsidR="004B0EC8" w:rsidRPr="00354CE4">
        <w:t>В</w:t>
      </w:r>
      <w:r w:rsidRPr="00354CE4">
        <w:t xml:space="preserve">сички видове оценки имат свое специфично значение и роля. Оценките, подкрепящи гладкото </w:t>
      </w:r>
      <w:r w:rsidR="00BE7E79" w:rsidRPr="00354CE4">
        <w:t xml:space="preserve">постигане на целите </w:t>
      </w:r>
      <w:r w:rsidRPr="00354CE4">
        <w:t>на дадена програма, е по-вероятно да бъдат полезни в ранните етапи на изпълнение</w:t>
      </w:r>
      <w:r w:rsidR="004B61BF" w:rsidRPr="00354CE4">
        <w:t>то ѝ</w:t>
      </w:r>
      <w:r w:rsidRPr="00354CE4">
        <w:t>. Оценките, улавящи ефектите от приоритетите и разглеждащи тяхната „теория на промяната“, обикновено се случват на по-късен етап, когато ще бъдат налични достатъчно доказателства, за да се направят заключения.</w:t>
      </w:r>
      <w:r w:rsidRPr="00354CE4">
        <w:rPr>
          <w:rStyle w:val="FootnoteReference"/>
        </w:rPr>
        <w:footnoteReference w:id="1"/>
      </w:r>
    </w:p>
    <w:p w:rsidR="008E1A42" w:rsidRPr="00354CE4" w:rsidRDefault="008E1A42" w:rsidP="005F67FF">
      <w:r w:rsidRPr="00354CE4">
        <w:t>Оценките през програмния период 2021-2027 г. се извършват в съответствие с членове 44-45 от Регламент (ЕС) 2021/1060 (</w:t>
      </w:r>
      <w:r w:rsidRPr="00354CE4">
        <w:rPr>
          <w:rFonts w:ascii="Verdana" w:hAnsi="Verdana"/>
          <w:bCs/>
          <w:iCs/>
          <w:color w:val="002060"/>
          <w:sz w:val="20"/>
          <w:szCs w:val="20"/>
        </w:rPr>
        <w:t>Регламента за общоприложимите разпоредби</w:t>
      </w:r>
      <w:r w:rsidRPr="00354CE4">
        <w:t>, РОР</w:t>
      </w:r>
      <w:r w:rsidRPr="00354CE4">
        <w:rPr>
          <w:rStyle w:val="FootnoteReference"/>
        </w:rPr>
        <w:footnoteReference w:id="2"/>
      </w:r>
      <w:r w:rsidRPr="00354CE4">
        <w:t xml:space="preserve">). </w:t>
      </w:r>
    </w:p>
    <w:p w:rsidR="008E1A42" w:rsidRPr="00354CE4" w:rsidRDefault="008E1A42" w:rsidP="005F67FF">
      <w:r w:rsidRPr="00354CE4">
        <w:t xml:space="preserve">Оценката по време на програмния период трябва да отразява нуждите на програмите. Оценките могат да обхващат </w:t>
      </w:r>
      <w:r w:rsidRPr="00354CE4">
        <w:rPr>
          <w:u w:val="single"/>
        </w:rPr>
        <w:t>програми, приоритети, теми в програмите и програмните области</w:t>
      </w:r>
      <w:r w:rsidRPr="00354CE4">
        <w:t>. Общият принцип при планиране на оценки е пропорционалност и практичност.</w:t>
      </w:r>
    </w:p>
    <w:p w:rsidR="008E1A42" w:rsidRPr="00354CE4" w:rsidRDefault="008E1A42" w:rsidP="005F67FF">
      <w:r w:rsidRPr="00354CE4">
        <w:t>Оценките на програмите могат да се отнасят до един или повече от следните критерии</w:t>
      </w:r>
      <w:r w:rsidR="004B61BF" w:rsidRPr="00354CE4">
        <w:t xml:space="preserve"> </w:t>
      </w:r>
      <w:r w:rsidRPr="00354CE4">
        <w:t xml:space="preserve">(РОР, чл.44:, ал.1) </w:t>
      </w:r>
      <w:r w:rsidRPr="00354CE4">
        <w:rPr>
          <w:b/>
          <w:bCs/>
          <w:i/>
          <w:iCs/>
        </w:rPr>
        <w:t>(1) ефективност, (2) ефикасност, (3) относимост, (4) съгласуваност и (5)</w:t>
      </w:r>
      <w:r w:rsidR="004B61BF" w:rsidRPr="00354CE4">
        <w:rPr>
          <w:b/>
          <w:bCs/>
          <w:i/>
          <w:iCs/>
        </w:rPr>
        <w:t xml:space="preserve"> </w:t>
      </w:r>
      <w:r w:rsidRPr="00354CE4">
        <w:rPr>
          <w:b/>
          <w:bCs/>
          <w:i/>
          <w:iCs/>
        </w:rPr>
        <w:t>добавена стойност за ЕС</w:t>
      </w:r>
      <w:r w:rsidRPr="00354CE4">
        <w:t xml:space="preserve"> с цел подобряване на качеството на дизайна и изпълнението на програмите. </w:t>
      </w:r>
    </w:p>
    <w:p w:rsidR="008E1A42" w:rsidRPr="00354CE4" w:rsidRDefault="008E1A42" w:rsidP="005F67FF">
      <w:r w:rsidRPr="00354CE4">
        <w:lastRenderedPageBreak/>
        <w:t>Комисията препоръчва прилагането на принципите на по-доброто регулиране</w:t>
      </w:r>
      <w:r w:rsidRPr="00354CE4">
        <w:rPr>
          <w:rStyle w:val="FootnoteReference"/>
        </w:rPr>
        <w:footnoteReference w:id="3"/>
      </w:r>
      <w:r w:rsidRPr="00354CE4">
        <w:t xml:space="preserve"> при планирането и провеждането на оценки. </w:t>
      </w:r>
      <w:r w:rsidR="00BE7E79" w:rsidRPr="00354CE4">
        <w:t xml:space="preserve">РОР </w:t>
      </w:r>
      <w:r w:rsidRPr="00354CE4">
        <w:t>се отнася основно до критериите за ефективност, ефикасност, относимост, съгласуваност и добавена стойност за ЕС., които съгласно тези принципи се разбират по следния начин:</w:t>
      </w:r>
    </w:p>
    <w:p w:rsidR="008E1A42" w:rsidRPr="00354CE4" w:rsidRDefault="008E1A42" w:rsidP="005F67FF">
      <w:r w:rsidRPr="00354CE4">
        <w:rPr>
          <w:b/>
          <w:bCs/>
          <w:i/>
          <w:iCs/>
        </w:rPr>
        <w:t>Ефективност</w:t>
      </w:r>
      <w:r w:rsidRPr="00354CE4">
        <w:t>: Анализът на ефективността разглежда колко успешни са били действията на ЕС при постигането или напредъка към своите цели. Оценката формира становище относно напредъка, постигнат до момента и ролята на интервенцията за постигане на наблюдаваните промени. Ако целите (общи, специфични, оперативни) не са постигнати или нещата не вървят по план, се прави оценка на степента, в която напредъкът не е достигнал целта и какви фактори са повлияли</w:t>
      </w:r>
      <w:r w:rsidR="004B61BF" w:rsidRPr="00354CE4">
        <w:t>,</w:t>
      </w:r>
      <w:r w:rsidRPr="00354CE4">
        <w:t xml:space="preserve"> защо нещо е било неуспешно или защо е все още не е постигнато. Допълнителните съображения също включват дали целите все още могат да бъдат постигнати навреме или с какво забавяне.</w:t>
      </w:r>
    </w:p>
    <w:p w:rsidR="008E1A42" w:rsidRPr="00354CE4" w:rsidRDefault="008E1A42" w:rsidP="005F67FF">
      <w:r w:rsidRPr="00354CE4">
        <w:rPr>
          <w:b/>
          <w:bCs/>
          <w:i/>
          <w:iCs/>
        </w:rPr>
        <w:t>Ефикасност</w:t>
      </w:r>
      <w:r w:rsidRPr="00354CE4">
        <w:t xml:space="preserve">: Ефикасността разглежда връзката между ресурсите, използвани от интервенцията, и промените, генерирани от </w:t>
      </w:r>
      <w:r w:rsidR="0086027E" w:rsidRPr="00354CE4">
        <w:t xml:space="preserve">нея </w:t>
      </w:r>
      <w:r w:rsidRPr="00354CE4">
        <w:t>(които могат да бъдат положителни или отрицателни). Разликите в начина, по който се подхожда и провежда една интервенция, могат да окажат значително влияние върху ефектите, което прави интересно да се обмисли дали други избори биха постигнали същите ползи при по-малко разходи (или по-големи ползи при същите разходи)</w:t>
      </w:r>
      <w:r w:rsidR="0086027E" w:rsidRPr="00354CE4">
        <w:t>.</w:t>
      </w:r>
    </w:p>
    <w:p w:rsidR="008E1A42" w:rsidRPr="00354CE4" w:rsidRDefault="008E1A42" w:rsidP="005F67FF">
      <w:r w:rsidRPr="00354CE4">
        <w:t>Анализът на ефикасността може да се различава в зависимост от вида на интервенцията, която се оценява. Типичният анализ на ефикасността включва преглед на административните разходи, изпълнението и разглеждане на аспектите на опростяването – те са важни за всички оценки. Според Наръчника на Комисията, оценяването на ефикасността в програмите на политиката на сближаване е особено сложно на ниво програма. Въпреки че се препоръчва да се прилагат методи за анализ на разходите и ползите, ако има налични данни, в много случаи анализът е предимно качествен и се концентрира върху идентифицирането на неефективността.</w:t>
      </w:r>
    </w:p>
    <w:p w:rsidR="008E1A42" w:rsidRPr="00354CE4" w:rsidRDefault="008E1A42" w:rsidP="005F67FF">
      <w:r w:rsidRPr="00354CE4">
        <w:rPr>
          <w:b/>
          <w:bCs/>
          <w:i/>
          <w:iCs/>
        </w:rPr>
        <w:t>Относимост</w:t>
      </w:r>
      <w:r w:rsidRPr="00354CE4">
        <w:rPr>
          <w:vanish/>
        </w:rPr>
        <w:t xml:space="preserve"> (Relevance)</w:t>
      </w:r>
      <w:r w:rsidRPr="00354CE4">
        <w:t>: Относимостта разглежда връзката между нуждите и проблемите в обществото и целите на интервенцията и следователно засяга аспекти на дизайна. Обстоятелствата и контекстът се променят с времето. Някои цели могат да бъдат постигнати или заменени; нуждите и проблемите се променят и възникват нови. Анализът на относимостта е важен, защото ако дадена интервенция не помогне за справяне с настоящите нужди или проблеми, тя вече не е подходяща, независимо колко е ефективна, ефикасна или съгласувана. Ето защо съществува силна връзка между анализа на относимостта и критериите за добавена стойност на ЕС, които оценяват дали действията продължават да бъдат оправдани на ниво ЕС.</w:t>
      </w:r>
    </w:p>
    <w:p w:rsidR="008E1A42" w:rsidRPr="00354CE4" w:rsidRDefault="008E1A42" w:rsidP="005F67FF">
      <w:r w:rsidRPr="00354CE4">
        <w:rPr>
          <w:b/>
          <w:bCs/>
          <w:i/>
          <w:iCs/>
        </w:rPr>
        <w:t>Съгласуваност</w:t>
      </w:r>
      <w:r w:rsidRPr="00354CE4">
        <w:t xml:space="preserve"> (Coherence): Оценката на съгласуваността включва разглеждане на това колко добре или не различните действия работят заедно. Никоя политика не съществува във вакуум. Има много различни участници, участващи в много различни интервенции, както в ЕС, така и извън него. Дори малки промени в начина, по който една интервенция е проектирана или изпълнена, могат да предизвикат подобрения или несъответствия с други текущи действия. Сравнителните точки за съгласуваност могат да варират както в зависимост от времето, така и според нивото на съгласуваност, което се разглежда. Проверката на вътрешната </w:t>
      </w:r>
      <w:r w:rsidRPr="00354CE4">
        <w:lastRenderedPageBreak/>
        <w:t>съгласуваност включва разглеждане на начина, по който различните компоненти на програмните интервенции работят заедно за постигане на целите на програмата (</w:t>
      </w:r>
      <w:r w:rsidRPr="00354CE4">
        <w:rPr>
          <w:i/>
          <w:iCs/>
        </w:rPr>
        <w:t>съгласуваност между мерките в политика/конкретна цел, съгласуваност между политика/специфични цели</w:t>
      </w:r>
      <w:r w:rsidRPr="00354CE4">
        <w:t>). Подобни проблеми могат да възникнат извън дадена програма на различни нива: например между интервенции в рамките на една и съща област на политиката, подкрепяни от различни инструменти на ЕС или национални инструменти (напр. съгласуваност между национални и регионални програми или с инструменти извън  политиката на сближаване) или в области, които може да работят заедно (напр. политика за околната среда).</w:t>
      </w:r>
    </w:p>
    <w:p w:rsidR="008E1A42" w:rsidRPr="00354CE4" w:rsidRDefault="008E1A42" w:rsidP="005F67FF">
      <w:r w:rsidRPr="00354CE4">
        <w:rPr>
          <w:b/>
          <w:bCs/>
          <w:i/>
          <w:iCs/>
        </w:rPr>
        <w:t>Добавена стойност за ЕС:</w:t>
      </w:r>
      <w:r w:rsidRPr="00354CE4">
        <w:t xml:space="preserve"> При оценката на добавената стойност за ЕС ние търсим промени, които могат разумно да бъдат приписани на намесата на ЕС, над това, което би могло разумно да се очаква от националните действия на държавите</w:t>
      </w:r>
      <w:r w:rsidR="003F485E" w:rsidRPr="00354CE4">
        <w:t xml:space="preserve"> </w:t>
      </w:r>
      <w:r w:rsidRPr="00354CE4">
        <w:t xml:space="preserve">членки. Различни подходи могат да бъдат от значение за оценката на добавената стойност на ЕС. Добавената стойност може да бъде демонстрирана чрез показване на ролята, която финансирането от ЕС играе при </w:t>
      </w:r>
      <w:r w:rsidR="00BE7E79" w:rsidRPr="00354CE4">
        <w:t xml:space="preserve">подпомагането </w:t>
      </w:r>
      <w:r w:rsidRPr="00354CE4">
        <w:t>на действия, които иначе не биха се осъществили, които се извършват в по-голям мащаб или които се случват по-рано, отколкото иначе би било. Дизайнът и практиките на програмиране на политиката на сближаване също могат да донесат ползи по отношение на други национални практики. Оценката на добавената стойност за ЕС може също така да обедини констатациите на другите критерии, представяйки аргументите относно причинно-</w:t>
      </w:r>
      <w:r w:rsidR="003F485E" w:rsidRPr="00354CE4">
        <w:t xml:space="preserve">следствените връзки </w:t>
      </w:r>
      <w:r w:rsidRPr="00354CE4">
        <w:t>и правейки заключения, въз основа на наличните доказателства, относно ефективността на интервенцията и дали тя все още е оправдана. При интервенции, при които политиката на сближаване е основният източник на инвестиции в програмната област, отговорът на въпроса за добавената стойност за ЕС може просто да включва повторно посочване на причините, поради които интервенциите се финансират от политиката на сближаване, или чрез позоваване на анализа на ефективността и ефективността. В такива случаи оценката може да се фокусира по-силно върху разглеждането на относимостта и ефективността на интервенцията. При строг анализ на икономическата добавена стойност ще се търси дали подкрепените интервенции носят по-висока възвръщаемост над това, което би могло разумно да се очаква от инвестиции, финансирани от националните органи. Такъв подход е предизвикателство при споделеното управление, тъй като практически всички интервенции включват европейско и национално финансиране. И накрая, оценките могат да анализират как интервенциите по техните регионални и национални програми допринасят за стратегическите цели и приоритети на ЕС.</w:t>
      </w:r>
    </w:p>
    <w:p w:rsidR="008E1A42" w:rsidRPr="00354CE4" w:rsidRDefault="008E1A42" w:rsidP="005F67FF">
      <w:r w:rsidRPr="00354CE4">
        <w:t>Оценките могат да обхващат и други подходящи критерии, като приобщаване, недискриминация и видимост. Разбира се, държавите</w:t>
      </w:r>
      <w:r w:rsidR="003F485E" w:rsidRPr="00354CE4">
        <w:t xml:space="preserve"> </w:t>
      </w:r>
      <w:r w:rsidRPr="00354CE4">
        <w:t>членки могат да разгледат други критерии, свързани с нуждите на програмите.</w:t>
      </w:r>
    </w:p>
    <w:p w:rsidR="008E1A42" w:rsidRPr="00354CE4" w:rsidRDefault="008E1A42" w:rsidP="005F67FF">
      <w:r w:rsidRPr="00354CE4">
        <w:t>За нуждите на формулиране на ПО е необходимо да се направи ясно разграничение между плана за оценка и подробния дизайн на оценката, както е даден в Работен документ СТ 5.1. План за оценка на Famenet</w:t>
      </w:r>
      <w:r w:rsidRPr="00354CE4">
        <w:rPr>
          <w:rStyle w:val="FootnoteReference"/>
        </w:rPr>
        <w:footnoteReference w:id="4"/>
      </w:r>
      <w:r w:rsidRPr="00354CE4">
        <w:t>:</w:t>
      </w:r>
    </w:p>
    <w:p w:rsidR="008E1A42" w:rsidRPr="00354CE4" w:rsidRDefault="008E1A42" w:rsidP="005F67FF">
      <w:pPr>
        <w:pStyle w:val="ListParagraph"/>
        <w:numPr>
          <w:ilvl w:val="0"/>
          <w:numId w:val="13"/>
        </w:numPr>
      </w:pPr>
      <w:r w:rsidRPr="00354CE4">
        <w:rPr>
          <w:b/>
          <w:bCs/>
        </w:rPr>
        <w:t>планът за оценка</w:t>
      </w:r>
      <w:r w:rsidRPr="00354CE4">
        <w:t xml:space="preserve"> е отговорност на </w:t>
      </w:r>
      <w:r w:rsidRPr="00354CE4">
        <w:rPr>
          <w:b/>
          <w:bCs/>
          <w:i/>
          <w:iCs/>
        </w:rPr>
        <w:t>управляващия орган</w:t>
      </w:r>
      <w:r w:rsidRPr="00354CE4">
        <w:t xml:space="preserve">, </w:t>
      </w:r>
      <w:r w:rsidRPr="00354CE4">
        <w:rPr>
          <w:b/>
          <w:bCs/>
        </w:rPr>
        <w:t>комитета за наблюдение</w:t>
      </w:r>
      <w:r w:rsidRPr="00354CE4">
        <w:t xml:space="preserve"> (който одобрява плана) и група за управление на оценката (само ако е </w:t>
      </w:r>
      <w:r w:rsidRPr="00354CE4">
        <w:lastRenderedPageBreak/>
        <w:t>необходимо). Той предоставя всеобхватна рамка</w:t>
      </w:r>
      <w:r w:rsidRPr="00354CE4">
        <w:rPr>
          <w:u w:val="single"/>
        </w:rPr>
        <w:t>, без да предоставя подробна методологична информация</w:t>
      </w:r>
      <w:r w:rsidRPr="00354CE4">
        <w:t xml:space="preserve"> (последното е задача на оценителите). Оценителите могат да подкрепят изготвянето на плана, но не могат да поемат отговорност за съдържанието, за да се избегне конфликт на интереси.</w:t>
      </w:r>
    </w:p>
    <w:p w:rsidR="008E1A42" w:rsidRPr="00354CE4" w:rsidRDefault="008E1A42" w:rsidP="005F67FF">
      <w:pPr>
        <w:pStyle w:val="ListParagraph"/>
        <w:numPr>
          <w:ilvl w:val="0"/>
          <w:numId w:val="13"/>
        </w:numPr>
      </w:pPr>
      <w:r w:rsidRPr="00354CE4">
        <w:rPr>
          <w:b/>
          <w:bCs/>
        </w:rPr>
        <w:t>подробният дизайн на оценката</w:t>
      </w:r>
      <w:r w:rsidRPr="00354CE4">
        <w:t xml:space="preserve"> (в съответствие с плана за оценка) е отговорност на оценителите. Той конкретизира въпросите за оценка, първоначално очертани в плана за оценка </w:t>
      </w:r>
      <w:r w:rsidR="00F63ACE" w:rsidRPr="00354CE4">
        <w:t xml:space="preserve">и в последващите задания, изготвяни от УО за всяка оценка, </w:t>
      </w:r>
      <w:r w:rsidRPr="00354CE4">
        <w:t xml:space="preserve">по отношение на съдържанието, като разработва критериите за оценка и преценка, методите, базата с данни и прецизирания период на изпълнение. Подробният </w:t>
      </w:r>
      <w:r w:rsidR="007C3AF8" w:rsidRPr="00354CE4">
        <w:t xml:space="preserve">дизайн </w:t>
      </w:r>
      <w:r w:rsidRPr="00354CE4">
        <w:t xml:space="preserve">за оценка е за предпочитане да се изготвя отделно за </w:t>
      </w:r>
      <w:r w:rsidR="004A7C78" w:rsidRPr="00354CE4">
        <w:t>всяка отделна</w:t>
      </w:r>
      <w:r w:rsidRPr="00354CE4">
        <w:t xml:space="preserve"> оценка (напр. един подробен дизайн за оценка на процеса, един за окончателна оценка на въздействието и т.н.).</w:t>
      </w:r>
    </w:p>
    <w:p w:rsidR="008E1A42" w:rsidRPr="00354CE4" w:rsidRDefault="008E1A42" w:rsidP="005F67FF"/>
    <w:p w:rsidR="008E1A42" w:rsidRPr="00354CE4" w:rsidRDefault="008E1A42" w:rsidP="0069306E">
      <w:pPr>
        <w:pStyle w:val="Heading1"/>
      </w:pPr>
      <w:bookmarkStart w:id="4" w:name="_Toc153543105"/>
      <w:bookmarkStart w:id="5" w:name="_Toc160622920"/>
      <w:r w:rsidRPr="00354CE4">
        <w:lastRenderedPageBreak/>
        <w:t>Цели на Плана за оценка</w:t>
      </w:r>
      <w:bookmarkEnd w:id="4"/>
      <w:bookmarkEnd w:id="5"/>
    </w:p>
    <w:p w:rsidR="008E1A42" w:rsidRPr="00354CE4" w:rsidRDefault="008E1A42" w:rsidP="005F67FF">
      <w:r w:rsidRPr="00354CE4">
        <w:t>Планът за оценка (ПО) на Програмата за морско дело, рибарство и аквакултури (ПМДРА) е разработен</w:t>
      </w:r>
      <w:r w:rsidR="004A7C78" w:rsidRPr="00354CE4">
        <w:t>,</w:t>
      </w:r>
      <w:r w:rsidRPr="00354CE4">
        <w:t xml:space="preserve"> за да осигури изпълнението на чл. 44-45 от Регламента за общите разпоредби при спазване насоките на ЕК, съдържащи се в Работния документ на Комисията за изпълнение, мониторинг и оценка на програмите, финансирани от Европейския фонд за регионално развитие, Кохезионния фонд и Фонда за справедлив преход 2021-2027 г.</w:t>
      </w:r>
      <w:r w:rsidR="00F075FF" w:rsidRPr="00354CE4">
        <w:rPr>
          <w:rStyle w:val="FootnoteReference"/>
        </w:rPr>
        <w:footnoteReference w:id="5"/>
      </w:r>
      <w:r w:rsidRPr="00354CE4">
        <w:t xml:space="preserve">, както и </w:t>
      </w:r>
      <w:bookmarkStart w:id="6" w:name="_Hlk150782022"/>
      <w:r w:rsidRPr="00354CE4">
        <w:t xml:space="preserve">в Работен документ СТ 5.1. План за оценка на </w:t>
      </w:r>
      <w:r w:rsidR="0070033F" w:rsidRPr="00354CE4">
        <w:t>FAMENET</w:t>
      </w:r>
      <w:bookmarkEnd w:id="6"/>
      <w:r w:rsidR="007C3AF8" w:rsidRPr="00354CE4">
        <w:t xml:space="preserve">. Планът </w:t>
      </w:r>
      <w:r w:rsidR="0070033F" w:rsidRPr="00354CE4">
        <w:t>се позовава на Работния документ на ЕК като на водещ документ по отношение на изпълнението, мониторинга и оценка на европейските фондове за споделено управление, в т.ч. и за ЕФМДРА, както и за методическите елементи при изготвяне на ПО на (програмите) по всеки от фондовете.</w:t>
      </w:r>
    </w:p>
    <w:p w:rsidR="008E1A42" w:rsidRPr="00354CE4" w:rsidRDefault="008E1A42" w:rsidP="005F67FF">
      <w:r w:rsidRPr="00354CE4">
        <w:rPr>
          <w:b/>
          <w:bCs/>
        </w:rPr>
        <w:t>Общата цел</w:t>
      </w:r>
      <w:r w:rsidRPr="00354CE4">
        <w:t xml:space="preserve"> на ПО е да се подобри качеството на разработване и изпълнение на ПМДРА, като се използват оценките въз основа на един или няколко от следните критерии</w:t>
      </w:r>
      <w:r w:rsidRPr="0062376D">
        <w:rPr>
          <w:b/>
          <w:bCs/>
        </w:rPr>
        <w:t>: ефективност, ефикасност, относимост, съгласуваност и добавена стойност от Съюза</w:t>
      </w:r>
      <w:r w:rsidRPr="00354CE4">
        <w:t>.</w:t>
      </w:r>
    </w:p>
    <w:p w:rsidR="008E1A42" w:rsidRPr="00354CE4" w:rsidRDefault="008E1A42" w:rsidP="005F67FF">
      <w:r w:rsidRPr="00354CE4">
        <w:t>ПО играе ключова роля за гарантиране, че УО извършва достатъчни, подходящи и съгласувани дейности за оценка. Това следва да даде възможност за ефективно, ефикасно, уместно и съгласувано изпълнение на всички програми, финансирани от Европейския фонд за морско дело, рибарство и аквакултури (ЕФМДРА) и да допринесе за по-добро програмиране на програмите през следващия програмен период. Планът за оценка трябва също така да гарантира, че ресурсите и информацията, необходими за оценка на програмите, са налични по време на програмния период и последващо.</w:t>
      </w:r>
    </w:p>
    <w:p w:rsidR="008E1A42" w:rsidRPr="00354CE4" w:rsidRDefault="008E1A42" w:rsidP="005F67FF">
      <w:r w:rsidRPr="00354CE4">
        <w:t>Специфични цели на П</w:t>
      </w:r>
      <w:r w:rsidR="007460ED" w:rsidRPr="00354CE4">
        <w:t>лана за оценка</w:t>
      </w:r>
      <w:r w:rsidRPr="00354CE4">
        <w:t>:</w:t>
      </w:r>
    </w:p>
    <w:p w:rsidR="007460ED" w:rsidRPr="00354CE4" w:rsidRDefault="007460ED" w:rsidP="005F67FF">
      <w:pPr>
        <w:pStyle w:val="ListParagraph"/>
        <w:numPr>
          <w:ilvl w:val="0"/>
          <w:numId w:val="14"/>
        </w:numPr>
      </w:pPr>
      <w:r w:rsidRPr="00354CE4">
        <w:t>Осигурява рамка за правилно планиране извършването на оценки на интервенциите по ПМДРА 2021-2027 г., като способства за подобряване на качеството на оценките чрез правилно планиране, включително чрез осигуряване на въвеждането на необходимите процедури за съставяне и събиране на данните, необходими за оценките (член 44 (5) от Регламент (ЕС) №1060/2021 г.);</w:t>
      </w:r>
    </w:p>
    <w:p w:rsidR="007460ED" w:rsidRPr="00354CE4" w:rsidRDefault="007460ED" w:rsidP="005F67FF">
      <w:pPr>
        <w:pStyle w:val="ListParagraph"/>
        <w:numPr>
          <w:ilvl w:val="0"/>
          <w:numId w:val="14"/>
        </w:numPr>
      </w:pPr>
      <w:r w:rsidRPr="00354CE4">
        <w:t>Допринася за провеждането на информирано управление на ПМДРА 2021-2027 г. и вземането на управленски решения на основата на заключенията и препоръките от оценките;</w:t>
      </w:r>
    </w:p>
    <w:p w:rsidR="007460ED" w:rsidRPr="00354CE4" w:rsidRDefault="007460ED" w:rsidP="005F67FF">
      <w:pPr>
        <w:pStyle w:val="ListParagraph"/>
        <w:numPr>
          <w:ilvl w:val="0"/>
          <w:numId w:val="14"/>
        </w:numPr>
      </w:pPr>
      <w:r w:rsidRPr="00354CE4">
        <w:t>Осигурява съгласувана рамка на провеждане на оценките, така че освен на УО, резултатите да подпомагат ЕК в нейните задачи по чл. 45 от РОР и заинтересованите страни.</w:t>
      </w:r>
    </w:p>
    <w:p w:rsidR="007460ED" w:rsidRPr="00354CE4" w:rsidRDefault="007460ED" w:rsidP="005F67FF">
      <w:pPr>
        <w:pStyle w:val="ListParagraph"/>
        <w:numPr>
          <w:ilvl w:val="0"/>
          <w:numId w:val="14"/>
        </w:numPr>
      </w:pPr>
      <w:r w:rsidRPr="00354CE4">
        <w:t xml:space="preserve">Определя тематичен обхват на оценките и основни изследвани въпроси, които осигуряват възможност за оптимизиране качеството на изпълнението на ПМДРА 2021-2027. </w:t>
      </w:r>
    </w:p>
    <w:p w:rsidR="007460ED" w:rsidRPr="00354CE4" w:rsidRDefault="007460ED" w:rsidP="005F67FF">
      <w:pPr>
        <w:pStyle w:val="ListParagraph"/>
        <w:numPr>
          <w:ilvl w:val="0"/>
          <w:numId w:val="14"/>
        </w:numPr>
      </w:pPr>
      <w:r w:rsidRPr="00354CE4">
        <w:t>Осигурява последователност и взаимовръзки между процесите на мониторинг, оценка и докладване по изпълнението на ПМДРА 2021-2027 г.</w:t>
      </w:r>
    </w:p>
    <w:p w:rsidR="007460ED" w:rsidRPr="00354CE4" w:rsidRDefault="007460ED" w:rsidP="0069306E">
      <w:pPr>
        <w:pStyle w:val="Heading1"/>
      </w:pPr>
      <w:bookmarkStart w:id="7" w:name="_Toc153543106"/>
      <w:bookmarkStart w:id="8" w:name="_Toc160622921"/>
      <w:r w:rsidRPr="00354CE4">
        <w:lastRenderedPageBreak/>
        <w:t>Обхват на Плана за оценка</w:t>
      </w:r>
      <w:bookmarkEnd w:id="7"/>
      <w:bookmarkEnd w:id="8"/>
    </w:p>
    <w:p w:rsidR="007460ED" w:rsidRPr="00354CE4" w:rsidRDefault="007460ED" w:rsidP="005F67FF">
      <w:r w:rsidRPr="00354CE4">
        <w:t>Планът за оценка обхваща ПМДРА 2021-2027 и подготовката на програма за програмен период 2028+.</w:t>
      </w:r>
    </w:p>
    <w:p w:rsidR="007460ED" w:rsidRPr="00354CE4" w:rsidRDefault="007460ED" w:rsidP="005F67FF">
      <w:r w:rsidRPr="00354CE4">
        <w:t xml:space="preserve">Регламентът за основните разпоредби за програмния период 2021-2027 г. предвижда (чл.16 от РОР) всяка държава членка сама да определя рамка за качество на изпълнението, за да даде възможност за мониторинг, докладване и оценка на качеството на изпълнението на програмата по времето на изпълнението ѝ и за да допринесе за измерването на общите резултати на фондовете. </w:t>
      </w:r>
    </w:p>
    <w:p w:rsidR="007460ED" w:rsidRPr="00354CE4" w:rsidRDefault="007460ED" w:rsidP="005F67FF">
      <w:r w:rsidRPr="00354CE4">
        <w:t>Съгласно РОР рамката за качество на изпълнението се състои от:</w:t>
      </w:r>
    </w:p>
    <w:p w:rsidR="007460ED" w:rsidRPr="00354CE4" w:rsidRDefault="007460ED" w:rsidP="005F67FF">
      <w:r w:rsidRPr="00354CE4">
        <w:t>а)</w:t>
      </w:r>
      <w:r w:rsidRPr="00354CE4">
        <w:tab/>
        <w:t>показатели за краен продукт и за резултат, свързани със специфичните цели, определени в регламентите за отделните фондове и избрани за съответната програма;</w:t>
      </w:r>
    </w:p>
    <w:p w:rsidR="007460ED" w:rsidRPr="00354CE4" w:rsidRDefault="007460ED" w:rsidP="005F67FF">
      <w:r w:rsidRPr="00354CE4">
        <w:t>б)</w:t>
      </w:r>
      <w:r w:rsidRPr="00354CE4">
        <w:tab/>
        <w:t>междинни цели, които да бъдат постигнати до края на 2024 г., по отношение на показателите за краен продукт; и</w:t>
      </w:r>
    </w:p>
    <w:p w:rsidR="007460ED" w:rsidRPr="00354CE4" w:rsidRDefault="007460ED" w:rsidP="005F67FF">
      <w:r w:rsidRPr="00354CE4">
        <w:t>в)</w:t>
      </w:r>
      <w:r w:rsidRPr="00354CE4">
        <w:tab/>
        <w:t>целеви стойности, които да бъдат постигнати до края на 2029 г., по отношение на показателите за краен продукт и за резултат.</w:t>
      </w:r>
    </w:p>
    <w:p w:rsidR="007460ED" w:rsidRPr="00354CE4" w:rsidRDefault="007460ED" w:rsidP="005F67FF">
      <w:r w:rsidRPr="00354CE4">
        <w:t>Междинните цели и целевите стойности се определят във връзка с всяка специфична цел в дадена програма, с изключение на техническата помощ и на специфичната цел, насочена към материалните лишения, определена в член 4, параграф 1, буква м) от Регламента за ЕСФ+.</w:t>
      </w:r>
    </w:p>
    <w:p w:rsidR="007460ED" w:rsidRPr="00354CE4" w:rsidRDefault="007460ED" w:rsidP="005F67FF">
      <w:r w:rsidRPr="00354CE4">
        <w:t xml:space="preserve">Междинните цели и целевите стойности позволяват на Комисията и на държавите членки да </w:t>
      </w:r>
      <w:r w:rsidRPr="00354CE4">
        <w:rPr>
          <w:b/>
          <w:bCs/>
        </w:rPr>
        <w:t>измерват напредъка към постигането на специфичните цели</w:t>
      </w:r>
      <w:r w:rsidRPr="00354CE4">
        <w:t>. Те отговарят на изискванията, определени в член 33, параграф 3 от Финансовия регламент.</w:t>
      </w:r>
    </w:p>
    <w:p w:rsidR="007460ED" w:rsidRPr="00354CE4" w:rsidRDefault="007460ED" w:rsidP="005F67FF">
      <w:r w:rsidRPr="00354CE4">
        <w:t>До 31 януари, 30 април, 31 юли, 30 септември и 30 ноември всяка година държавите членки или управляващите органи подават по електронен път на Комисията кумулативни данни за всяка програма. Формата и вида на данните е определен в приложение към РОР. Регламентът предвижда първото подаване на данни се извършва до 31 януари 2022 г., а последното — до 31 януари 2030 г.</w:t>
      </w:r>
    </w:p>
    <w:p w:rsidR="007460ED" w:rsidRPr="00354CE4" w:rsidRDefault="007460ED" w:rsidP="005F67FF">
      <w:r w:rsidRPr="00354CE4">
        <w:t>Данните за всеки приоритет се представят с разбивка по специфични цели и, където е приложимо, по категории региони и се отнасят до:</w:t>
      </w:r>
    </w:p>
    <w:p w:rsidR="007460ED" w:rsidRPr="00354CE4" w:rsidRDefault="007460ED" w:rsidP="005F67FF">
      <w:r w:rsidRPr="00354CE4">
        <w:t>а) броя на подбраните операции, общата им допустима стойност, приноса от фондовете и общите допустими разходи, декларирани от бенефицие</w:t>
      </w:r>
      <w:r w:rsidR="005F67FF" w:rsidRPr="00354CE4">
        <w:t>нт</w:t>
      </w:r>
      <w:r w:rsidRPr="00354CE4">
        <w:t>ите пред управляващия орган, всички с разбивка по видове интервенции;</w:t>
      </w:r>
    </w:p>
    <w:p w:rsidR="007460ED" w:rsidRPr="00354CE4" w:rsidRDefault="007460ED" w:rsidP="005F67FF">
      <w:r w:rsidRPr="00354CE4">
        <w:t>б) стойностите на показателите за краен продукт и за резултат за подбраните операции и постигнатите от операциите стойности.</w:t>
      </w:r>
    </w:p>
    <w:p w:rsidR="007460ED" w:rsidRPr="00354CE4" w:rsidRDefault="007460ED" w:rsidP="005F67FF">
      <w:r w:rsidRPr="00354CE4">
        <w:t>За финансовите инструменти се предоставят и данни за следното:</w:t>
      </w:r>
    </w:p>
    <w:p w:rsidR="007460ED" w:rsidRPr="00354CE4" w:rsidRDefault="007460ED" w:rsidP="005F67FF">
      <w:pPr>
        <w:pStyle w:val="ListParagraph"/>
        <w:numPr>
          <w:ilvl w:val="0"/>
          <w:numId w:val="15"/>
        </w:numPr>
      </w:pPr>
      <w:r w:rsidRPr="00354CE4">
        <w:t>допустимите разходи по вид финансов продукт;</w:t>
      </w:r>
    </w:p>
    <w:p w:rsidR="007460ED" w:rsidRPr="00354CE4" w:rsidRDefault="007460ED" w:rsidP="005F67FF">
      <w:pPr>
        <w:pStyle w:val="ListParagraph"/>
        <w:numPr>
          <w:ilvl w:val="0"/>
          <w:numId w:val="15"/>
        </w:numPr>
      </w:pPr>
      <w:r w:rsidRPr="00354CE4">
        <w:t>размера на разходите и таксите за управление, декларирани като допустими разходи;</w:t>
      </w:r>
    </w:p>
    <w:p w:rsidR="007460ED" w:rsidRPr="00354CE4" w:rsidRDefault="007460ED" w:rsidP="005F67FF">
      <w:pPr>
        <w:pStyle w:val="ListParagraph"/>
        <w:numPr>
          <w:ilvl w:val="0"/>
          <w:numId w:val="15"/>
        </w:numPr>
      </w:pPr>
      <w:r w:rsidRPr="00354CE4">
        <w:t>размера по вид финансов продукт на публичните и частните ресурси, мобилизирани в допълнение към фондове;</w:t>
      </w:r>
    </w:p>
    <w:p w:rsidR="007460ED" w:rsidRPr="00354CE4" w:rsidRDefault="007460ED" w:rsidP="005F67FF">
      <w:pPr>
        <w:pStyle w:val="ListParagraph"/>
        <w:numPr>
          <w:ilvl w:val="0"/>
          <w:numId w:val="15"/>
        </w:numPr>
      </w:pPr>
      <w:r w:rsidRPr="00354CE4">
        <w:lastRenderedPageBreak/>
        <w:t>лихви и други приходи, генерирани от подкрепата от фондовете за финансови инструменти и върнати ресурси, които могат да бъдат отнесени към подкрепата от фондовете, съгласно РОР;</w:t>
      </w:r>
    </w:p>
    <w:p w:rsidR="007460ED" w:rsidRPr="00354CE4" w:rsidRDefault="007460ED" w:rsidP="005F67FF">
      <w:pPr>
        <w:pStyle w:val="ListParagraph"/>
        <w:numPr>
          <w:ilvl w:val="0"/>
          <w:numId w:val="15"/>
        </w:numPr>
      </w:pPr>
      <w:r w:rsidRPr="00354CE4">
        <w:t>общия размер на заемите, капиталовите или квазикапиталовите инвестиции в крайни получатели, които са били гарантирани с програмни ресурси и които в действителност са били изплатени на крайните получатели.</w:t>
      </w:r>
    </w:p>
    <w:p w:rsidR="007460ED" w:rsidRPr="00354CE4" w:rsidRDefault="007460ED" w:rsidP="005F67FF">
      <w:r w:rsidRPr="00354CE4">
        <w:t xml:space="preserve">ИСУН дава достъп до всички данни, предоставени от УО на Комисията. </w:t>
      </w:r>
    </w:p>
    <w:p w:rsidR="007460ED" w:rsidRPr="00354CE4" w:rsidRDefault="007460ED" w:rsidP="005F67FF">
      <w:r w:rsidRPr="00354CE4">
        <w:t>Събираните от УО данни са по приоритети, видове региони и видове интервенции. Данните, подавани към ЕК са обобщени, но са следва да се използват за нуждите на оценките.</w:t>
      </w:r>
    </w:p>
    <w:p w:rsidR="007460ED" w:rsidRPr="00354CE4" w:rsidRDefault="007460ED" w:rsidP="005F67FF">
      <w:r w:rsidRPr="00354CE4">
        <w:t xml:space="preserve">В този контекст оценките подкрепят и рамката за качество на изпълнението и основавайки се на данните, събирани по чл. 42 от РОР. </w:t>
      </w:r>
    </w:p>
    <w:p w:rsidR="007460ED" w:rsidRPr="00354CE4" w:rsidRDefault="007460ED" w:rsidP="005F67FF">
      <w:r w:rsidRPr="00354CE4">
        <w:rPr>
          <w:b/>
          <w:bCs/>
        </w:rPr>
        <w:t>Задължителните оценки и по отношение на ПМДРА</w:t>
      </w:r>
      <w:r w:rsidRPr="00354CE4">
        <w:t xml:space="preserve"> съгласно Регламент (ЕС) 2021/1060 през програмния периодэ2021-2027 са:</w:t>
      </w:r>
    </w:p>
    <w:p w:rsidR="007460ED" w:rsidRPr="00354CE4" w:rsidRDefault="007460ED" w:rsidP="005F67FF">
      <w:r w:rsidRPr="00354CE4">
        <w:rPr>
          <w:bCs/>
          <w:kern w:val="28"/>
        </w:rPr>
        <w:t>-</w:t>
      </w:r>
      <w:r w:rsidRPr="00354CE4">
        <w:rPr>
          <w:bCs/>
          <w:kern w:val="28"/>
        </w:rPr>
        <w:tab/>
      </w:r>
      <w:r w:rsidRPr="00354CE4">
        <w:t>предварителна оценка на финансовите инструменти съгласно член 58, параграф 3 (въпреки, че не част от ПО, но актуализацията ѝ е);</w:t>
      </w:r>
    </w:p>
    <w:p w:rsidR="007460ED" w:rsidRPr="00354CE4" w:rsidRDefault="007460ED" w:rsidP="005F67FF">
      <w:pPr>
        <w:rPr>
          <w:color w:val="000000"/>
          <w:lang w:eastAsia="bg-BG"/>
        </w:rPr>
      </w:pPr>
      <w:r w:rsidRPr="00354CE4">
        <w:rPr>
          <w:b/>
          <w:lang w:eastAsia="bg-BG"/>
        </w:rPr>
        <w:t>-</w:t>
      </w:r>
      <w:r w:rsidRPr="00354CE4">
        <w:rPr>
          <w:b/>
          <w:lang w:eastAsia="bg-BG"/>
        </w:rPr>
        <w:tab/>
        <w:t xml:space="preserve">оценка на резултатите от междинния преглед/ междинна оценка </w:t>
      </w:r>
      <w:r w:rsidRPr="00354CE4">
        <w:rPr>
          <w:lang w:eastAsia="bg-BG"/>
        </w:rPr>
        <w:t xml:space="preserve">на всяка програма, която включва предложение за окончателното разпределяне на сумата за гъвкавост, посочена в член 86, параграф 1, втора алинея, която се представя на </w:t>
      </w:r>
      <w:r w:rsidRPr="00354CE4">
        <w:rPr>
          <w:b/>
          <w:bCs/>
          <w:lang w:eastAsia="bg-BG"/>
        </w:rPr>
        <w:t>ЕК до 31 март 2025</w:t>
      </w:r>
      <w:r w:rsidRPr="00354CE4">
        <w:rPr>
          <w:lang w:eastAsia="bg-BG"/>
        </w:rPr>
        <w:t xml:space="preserve"> г. (чл.18, параграф 1). ;</w:t>
      </w:r>
    </w:p>
    <w:p w:rsidR="007460ED" w:rsidRPr="00354CE4" w:rsidRDefault="007460ED" w:rsidP="005F67FF">
      <w:pPr>
        <w:rPr>
          <w:b/>
          <w:lang w:eastAsia="bg-BG"/>
        </w:rPr>
      </w:pPr>
      <w:r w:rsidRPr="00354CE4">
        <w:rPr>
          <w:b/>
        </w:rPr>
        <w:t>- оценка на въздействието</w:t>
      </w:r>
      <w:r w:rsidRPr="00354CE4">
        <w:t xml:space="preserve">, която следва да </w:t>
      </w:r>
      <w:r w:rsidRPr="00354CE4">
        <w:rPr>
          <w:lang w:eastAsia="bg-BG"/>
        </w:rPr>
        <w:t>бъде</w:t>
      </w:r>
      <w:r w:rsidRPr="00354CE4">
        <w:t xml:space="preserve"> извършена за всяка програма в срок </w:t>
      </w:r>
      <w:r w:rsidRPr="00354CE4">
        <w:rPr>
          <w:b/>
        </w:rPr>
        <w:t xml:space="preserve">до 30 юни 2029 г. </w:t>
      </w:r>
      <w:r w:rsidRPr="00354CE4">
        <w:t>(чл.44, параграф 2)</w:t>
      </w:r>
    </w:p>
    <w:p w:rsidR="007460ED" w:rsidRPr="00354CE4" w:rsidRDefault="007460ED" w:rsidP="005F67FF">
      <w:pPr>
        <w:rPr>
          <w:highlight w:val="yellow"/>
        </w:rPr>
      </w:pPr>
      <w:r w:rsidRPr="00354CE4">
        <w:t xml:space="preserve">- оценки по време на програмния период за оценяване на програмите въз основа на един или </w:t>
      </w:r>
      <w:r w:rsidRPr="00354CE4">
        <w:rPr>
          <w:lang w:eastAsia="bg-BG"/>
        </w:rPr>
        <w:t>няколко</w:t>
      </w:r>
      <w:r w:rsidRPr="00354CE4">
        <w:t xml:space="preserve"> от следните критерии: ефективност, ефикасност, относимост, съгласуваност и добавена стойност от Съюза;</w:t>
      </w:r>
    </w:p>
    <w:p w:rsidR="007460ED" w:rsidRPr="00354CE4" w:rsidRDefault="007460ED" w:rsidP="005F67FF">
      <w:r w:rsidRPr="00354CE4">
        <w:t xml:space="preserve">- </w:t>
      </w:r>
      <w:r w:rsidRPr="00354CE4">
        <w:rPr>
          <w:b/>
        </w:rPr>
        <w:t>до 31 декември 2031 г. Комисията прави ретроспективна оценка</w:t>
      </w:r>
      <w:r w:rsidRPr="00354CE4">
        <w:t>, с която разглежда ефективността, ефикасността, относимостта, съгласуваността и добавената стойност от Съюза на всеки от фондовете (чл. 45, параграф 2).</w:t>
      </w:r>
    </w:p>
    <w:p w:rsidR="007460ED" w:rsidRPr="00354CE4" w:rsidRDefault="007460ED" w:rsidP="005F67FF">
      <w:r w:rsidRPr="00354CE4">
        <w:t xml:space="preserve">ПО съдържа списък на оценките, които УО планира да проведе през програмния период, като не включва вече проведената предварителна оценка на подходящата подкрепа от фондовете чрез финансови инструменти по Програмата, но включва актуализацията ѝ. </w:t>
      </w:r>
    </w:p>
    <w:p w:rsidR="007460ED" w:rsidRPr="00354CE4" w:rsidRDefault="007460ED" w:rsidP="005F67FF">
      <w:r w:rsidRPr="00354CE4">
        <w:t xml:space="preserve">Въз основа на разработения План за оценка през програмния период УО гарантира извършването на подходящи и навременни оценки, включително за оценяване на ефективността, ефикасността, относимостта, съгласуваността, добавената стойност от Съюза и въздействието на програмата, както и че резултатите и препоръките от всяка оценка са подложени на подходящо проследяване. </w:t>
      </w:r>
    </w:p>
    <w:p w:rsidR="007460ED" w:rsidRPr="00354CE4" w:rsidRDefault="007460ED" w:rsidP="005F67FF">
      <w:r w:rsidRPr="00354CE4">
        <w:t>В периода 2021-2027 г. е поставено ясно разграничение между задачите на държавите</w:t>
      </w:r>
      <w:r w:rsidR="004A7C78" w:rsidRPr="00354CE4">
        <w:t xml:space="preserve"> </w:t>
      </w:r>
      <w:r w:rsidRPr="00354CE4">
        <w:t xml:space="preserve">членки и ЕК. Акцент се поставя върху изпълнението, ориентирано към постигане на заложените междинни цели и целеви стойности, определени във връзка с всяка специфична цел на Програмата, като от междинния преглед на програмата зависи и окончателното разпределение на сумата за гъвкавост, съгл. член 18 на Регламент (ЕС) 2021/1060. </w:t>
      </w:r>
    </w:p>
    <w:p w:rsidR="007460ED" w:rsidRPr="00354CE4" w:rsidRDefault="007460ED" w:rsidP="005F67FF">
      <w:r w:rsidRPr="00354CE4">
        <w:lastRenderedPageBreak/>
        <w:t>В съответствие с член 41, параграф 1 от РОР, Комисията организира годишни прегледи на изпълнението с всяка държава</w:t>
      </w:r>
      <w:r w:rsidR="000D4C44" w:rsidRPr="00354CE4">
        <w:t xml:space="preserve"> </w:t>
      </w:r>
      <w:r w:rsidRPr="00354CE4">
        <w:t>членка, за да проучи изпълнението на всяка програма на ЕФМДРА. Данните от мониторинга (напр. данни от Infosys) и информацията от тези срещи за преглед на изпълнението ще служат като важни източници на данни за оценителите и Комисията, когато извършват своите оценки.</w:t>
      </w:r>
    </w:p>
    <w:p w:rsidR="007460ED" w:rsidRPr="00354CE4" w:rsidRDefault="007460ED" w:rsidP="005F67FF">
      <w:r w:rsidRPr="00354CE4">
        <w:t xml:space="preserve">Не на последно място ПО гарантира получаване на своевременна информация и увереност, че предприетите от УО действия водят до постигане на специфичните цели по приоритети на ПМДРА, дават своя принос за изпълнение на целите на политиката и гарантират положително въздействие върху целевите групи и икономиката на страната като цяло. В този смисъл важен акцент в ПО е и фокусът върху специфични теми и въпроси, които са от съществено значение за качественото изпълнение на ПМДРА, напр. приносът и въздействието на изпълнението на интервенциите по програмата върху устойчивия растеж, защитата и подобряването на околната среда и природните ресурси чрез минимизиране на отрицателното въздействие върху тях и/или принос за постигане на приоритета на ЕФМДРА за осигуряване на условия за устойчива синя икономика в крайбрежните, островните и вътрешните райони и насърчаване на развитието на общностите, занимаващи се с рибарство и аквакултури. </w:t>
      </w:r>
    </w:p>
    <w:p w:rsidR="007460ED" w:rsidRPr="00354CE4" w:rsidRDefault="007460ED" w:rsidP="005F67FF"/>
    <w:p w:rsidR="007460ED" w:rsidRPr="00354CE4" w:rsidRDefault="007460ED" w:rsidP="0069306E">
      <w:pPr>
        <w:pStyle w:val="Heading1"/>
      </w:pPr>
      <w:bookmarkStart w:id="9" w:name="_Toc153543107"/>
      <w:bookmarkStart w:id="10" w:name="_Toc160622922"/>
      <w:r w:rsidRPr="00354CE4">
        <w:lastRenderedPageBreak/>
        <w:t>Рамка за изпълнение</w:t>
      </w:r>
      <w:r w:rsidR="006071F1" w:rsidRPr="00354CE4">
        <w:t xml:space="preserve"> - роля и отговорности на органите и институционалните участници в процесите по организация и координация за изпълнение на Плана за оценка</w:t>
      </w:r>
      <w:bookmarkEnd w:id="9"/>
      <w:bookmarkEnd w:id="10"/>
    </w:p>
    <w:p w:rsidR="007460ED" w:rsidRPr="00354CE4" w:rsidRDefault="007460ED" w:rsidP="005F67FF">
      <w:pPr>
        <w:pStyle w:val="Heading2"/>
      </w:pPr>
      <w:bookmarkStart w:id="11" w:name="_Toc153543108"/>
      <w:bookmarkStart w:id="12" w:name="_Toc160622923"/>
      <w:r w:rsidRPr="00354CE4">
        <w:t>Управляващ орган на ПМДРА</w:t>
      </w:r>
      <w:bookmarkEnd w:id="11"/>
      <w:bookmarkEnd w:id="12"/>
    </w:p>
    <w:p w:rsidR="007460ED" w:rsidRPr="00354CE4" w:rsidRDefault="007460ED" w:rsidP="005F67FF">
      <w:r w:rsidRPr="00354CE4">
        <w:t xml:space="preserve">С Решение на Министерски съвет №196 от 2019 г. Министерство на земеделието, храните и горите е определено за водещо за ведомства за разработването на Програма морско дело, рибарство и аквакултури. С </w:t>
      </w:r>
      <w:r w:rsidRPr="00354CE4">
        <w:rPr>
          <w:b/>
          <w:bCs/>
        </w:rPr>
        <w:t xml:space="preserve">Решение на Министерски съвет №712 от 2020 г. </w:t>
      </w:r>
      <w:r w:rsidRPr="00354CE4">
        <w:t xml:space="preserve">за определяне на структурите, отговорни за управлението, контрола, отчетността, координацията и одита на програмите, съфинансирани от Европейския фонд за регионално развитие, Европейския социален фонд+, Кохезионния фонд, Европейския фонд за морско дело, рибарство и аквакултури, Фонда за справедлив преход, Европейския фонд за гарантиране на земеделието, Европейския земеделски фонд за развитие на селските райони, Фонд „вътрешна сигурност”, Фонд „убежище и миграция“ и Инструмента за финансово подпомагане на управлението на границите и за визите като част от Фонда за интегрирано управление на границите за програмен период 2021-2027 г., и програмите за сътрудничество, в които Република България участва за програмен период 2021–2027 г., </w:t>
      </w:r>
      <w:r w:rsidRPr="00354CE4">
        <w:rPr>
          <w:b/>
          <w:bCs/>
        </w:rPr>
        <w:t xml:space="preserve">функциите на управляващ орган на програмата, съфинансирана от Европейския фонд за морско дело, рибарство и аквакултури, се изпълняват от дирекция „Морско дело и рибарство“ </w:t>
      </w:r>
      <w:r w:rsidRPr="00354CE4">
        <w:t>на Министерството на земеделието, храните и горите – Управляващ орган на Програмата за морско дело, рибарство и аквакултури (т.1., буква К).</w:t>
      </w:r>
    </w:p>
    <w:p w:rsidR="009825B4" w:rsidRPr="00354CE4" w:rsidRDefault="009825B4" w:rsidP="005F67FF">
      <w:r w:rsidRPr="00354CE4">
        <w:t>Управляващият орган е отговорен за организирането на процеса на оценка на ниво програма за рибарство 2021-2027 г.</w:t>
      </w:r>
      <w:r w:rsidR="00A22FD8" w:rsidRPr="00354CE4">
        <w:t xml:space="preserve">  </w:t>
      </w:r>
    </w:p>
    <w:p w:rsidR="00A22FD8" w:rsidRPr="00354CE4" w:rsidRDefault="00A22FD8" w:rsidP="00E9695A">
      <w:r w:rsidRPr="00354CE4">
        <w:t>Глава 13 от Наръчника по Програма за морско дело, рибарство и аквакултури 2021 - 2027 (ПМДРА) регламентира функциите на УО на Програмата по отношение на организацията на оценката</w:t>
      </w:r>
      <w:r w:rsidR="00783998" w:rsidRPr="0062376D">
        <w:t xml:space="preserve">, </w:t>
      </w:r>
      <w:r w:rsidR="00783998" w:rsidRPr="00354CE4">
        <w:t xml:space="preserve">както и разпределение на отговорностите в структурата на УО на ПМДРА. </w:t>
      </w:r>
    </w:p>
    <w:p w:rsidR="00A22FD8" w:rsidRPr="00354CE4" w:rsidRDefault="00A22FD8" w:rsidP="00E9695A">
      <w:r w:rsidRPr="00354CE4">
        <w:t xml:space="preserve">Процесът по координация, организация и провеждане на оценки на </w:t>
      </w:r>
      <w:r w:rsidRPr="00354CE4">
        <w:rPr>
          <w:bCs/>
        </w:rPr>
        <w:t>ПМДРА</w:t>
      </w:r>
      <w:r w:rsidRPr="00354CE4">
        <w:t xml:space="preserve"> е ясно дефиниран в отговорностите на УО на </w:t>
      </w:r>
      <w:r w:rsidRPr="00354CE4">
        <w:rPr>
          <w:bCs/>
        </w:rPr>
        <w:t>ПМДРА</w:t>
      </w:r>
      <w:r w:rsidRPr="00354CE4">
        <w:t xml:space="preserve">. Функциите по оценката и координационните връзки са ясно определени и разделени от други дейности по отношение на изпълнение, контрол и одит на </w:t>
      </w:r>
      <w:r w:rsidRPr="00354CE4">
        <w:rPr>
          <w:bCs/>
        </w:rPr>
        <w:t>ПМДРА</w:t>
      </w:r>
      <w:r w:rsidRPr="00354CE4">
        <w:t>, като същите се извършват от отдел „Програмиране и договаряне“.</w:t>
      </w:r>
    </w:p>
    <w:p w:rsidR="00A22FD8" w:rsidRPr="00354CE4" w:rsidRDefault="00A22FD8" w:rsidP="00E9695A">
      <w:pPr>
        <w:rPr>
          <w:lang w:eastAsia="ar-SA"/>
        </w:rPr>
      </w:pPr>
      <w:r w:rsidRPr="00354CE4">
        <w:rPr>
          <w:lang w:eastAsia="ar-SA"/>
        </w:rPr>
        <w:t xml:space="preserve">Основните </w:t>
      </w:r>
      <w:r w:rsidRPr="00354CE4">
        <w:t>задачи</w:t>
      </w:r>
      <w:r w:rsidRPr="00354CE4">
        <w:rPr>
          <w:lang w:eastAsia="ar-SA"/>
        </w:rPr>
        <w:t xml:space="preserve"> на </w:t>
      </w:r>
      <w:r w:rsidRPr="00354CE4">
        <w:t xml:space="preserve">отдел „Програмиране и договаряне“ в </w:t>
      </w:r>
      <w:r w:rsidRPr="00354CE4">
        <w:rPr>
          <w:lang w:eastAsia="ar-SA"/>
        </w:rPr>
        <w:t xml:space="preserve">УО в процеса на извършване на оценка на </w:t>
      </w:r>
      <w:r w:rsidRPr="00354CE4">
        <w:rPr>
          <w:bCs/>
        </w:rPr>
        <w:t>ПМДРА</w:t>
      </w:r>
      <w:r w:rsidRPr="00354CE4">
        <w:rPr>
          <w:lang w:eastAsia="ar-SA"/>
        </w:rPr>
        <w:t xml:space="preserve"> включват:</w:t>
      </w:r>
    </w:p>
    <w:p w:rsidR="00A22FD8" w:rsidRPr="00354CE4" w:rsidRDefault="004F78EB" w:rsidP="004F78EB">
      <w:pPr>
        <w:pStyle w:val="ListParagraph"/>
        <w:numPr>
          <w:ilvl w:val="1"/>
          <w:numId w:val="20"/>
        </w:numPr>
      </w:pPr>
      <w:r w:rsidRPr="00354CE4">
        <w:t xml:space="preserve">разработване </w:t>
      </w:r>
      <w:r w:rsidR="00A22FD8" w:rsidRPr="00354CE4">
        <w:t>на План за оценка на ПМДРА</w:t>
      </w:r>
      <w:r w:rsidRPr="00354CE4">
        <w:t>; координация</w:t>
      </w:r>
      <w:r w:rsidR="00A22FD8" w:rsidRPr="00354CE4">
        <w:t>, изпълнение, актуализация и наблюдение на осъществяването на задачите, заложени в него;</w:t>
      </w:r>
    </w:p>
    <w:p w:rsidR="00A22FD8" w:rsidRPr="00354CE4" w:rsidRDefault="004F78EB" w:rsidP="004F78EB">
      <w:pPr>
        <w:pStyle w:val="ListParagraph"/>
        <w:numPr>
          <w:ilvl w:val="1"/>
          <w:numId w:val="20"/>
        </w:numPr>
      </w:pPr>
      <w:r w:rsidRPr="00354CE4">
        <w:t xml:space="preserve">анализ </w:t>
      </w:r>
      <w:r w:rsidR="00A22FD8" w:rsidRPr="00354CE4">
        <w:t>на информацията, събрана в процеса на мониторинг на ПМДРА;</w:t>
      </w:r>
    </w:p>
    <w:p w:rsidR="00A22FD8" w:rsidRPr="00354CE4" w:rsidRDefault="004F78EB" w:rsidP="004F78EB">
      <w:pPr>
        <w:pStyle w:val="ListParagraph"/>
        <w:numPr>
          <w:ilvl w:val="1"/>
          <w:numId w:val="20"/>
        </w:numPr>
      </w:pPr>
      <w:r w:rsidRPr="00354CE4">
        <w:t xml:space="preserve">организация </w:t>
      </w:r>
      <w:r w:rsidR="00A22FD8" w:rsidRPr="00354CE4">
        <w:t xml:space="preserve">и координация на дейностите по оценка на въздействието и изпълнението на ПМДРА – подпомагане провеждането на външни оценки (екологична, текуща и последваща), както и самостоятелно извършване на вътрешни оценки; </w:t>
      </w:r>
    </w:p>
    <w:p w:rsidR="00A22FD8" w:rsidRPr="00354CE4" w:rsidRDefault="004F78EB" w:rsidP="004F78EB">
      <w:pPr>
        <w:pStyle w:val="ListParagraph"/>
        <w:numPr>
          <w:ilvl w:val="1"/>
          <w:numId w:val="20"/>
        </w:numPr>
      </w:pPr>
      <w:r w:rsidRPr="00354CE4">
        <w:t xml:space="preserve">координация </w:t>
      </w:r>
      <w:r w:rsidR="00A22FD8" w:rsidRPr="00354CE4">
        <w:t xml:space="preserve">и подготовка на технически задания за избор на външни изпълнители за извършване на оценки по ПМДРА, както и контрол на дейностите на външните оценители; </w:t>
      </w:r>
    </w:p>
    <w:p w:rsidR="00A22FD8" w:rsidRPr="00354CE4" w:rsidRDefault="004F78EB" w:rsidP="004F78EB">
      <w:pPr>
        <w:pStyle w:val="ListParagraph"/>
        <w:numPr>
          <w:ilvl w:val="1"/>
          <w:numId w:val="20"/>
        </w:numPr>
      </w:pPr>
      <w:r w:rsidRPr="00354CE4">
        <w:lastRenderedPageBreak/>
        <w:t xml:space="preserve">подготовка </w:t>
      </w:r>
      <w:r w:rsidR="00A22FD8" w:rsidRPr="00354CE4">
        <w:t xml:space="preserve">на теми, методология и инструменти за извършване на оценки в съответствие със специфични теми; </w:t>
      </w:r>
    </w:p>
    <w:p w:rsidR="00A22FD8" w:rsidRPr="00354CE4" w:rsidRDefault="004F78EB" w:rsidP="004F78EB">
      <w:pPr>
        <w:pStyle w:val="ListParagraph"/>
        <w:numPr>
          <w:ilvl w:val="1"/>
          <w:numId w:val="20"/>
        </w:numPr>
      </w:pPr>
      <w:r w:rsidRPr="00354CE4">
        <w:t xml:space="preserve">координация </w:t>
      </w:r>
      <w:r w:rsidR="00A22FD8" w:rsidRPr="00354CE4">
        <w:t>и сътрудничество при набирането на информация и статистически данни за извършване на оценките;</w:t>
      </w:r>
    </w:p>
    <w:p w:rsidR="00A22FD8" w:rsidRPr="00354CE4" w:rsidRDefault="004F78EB" w:rsidP="004F78EB">
      <w:pPr>
        <w:pStyle w:val="ListParagraph"/>
        <w:numPr>
          <w:ilvl w:val="1"/>
          <w:numId w:val="20"/>
        </w:numPr>
      </w:pPr>
      <w:r w:rsidRPr="00354CE4">
        <w:t xml:space="preserve">анализ </w:t>
      </w:r>
      <w:r w:rsidR="00A22FD8" w:rsidRPr="00354CE4">
        <w:t xml:space="preserve">на данни и резултати от извършени вътрешни оценки и разработка на препоръки, базирани на резултатите от оценките; </w:t>
      </w:r>
    </w:p>
    <w:p w:rsidR="00A22FD8" w:rsidRPr="00354CE4" w:rsidRDefault="004F78EB" w:rsidP="004F78EB">
      <w:pPr>
        <w:pStyle w:val="ListParagraph"/>
        <w:numPr>
          <w:ilvl w:val="1"/>
          <w:numId w:val="20"/>
        </w:numPr>
      </w:pPr>
      <w:r w:rsidRPr="00354CE4">
        <w:t xml:space="preserve">анализ </w:t>
      </w:r>
      <w:r w:rsidR="00A22FD8" w:rsidRPr="00354CE4">
        <w:t>на препоръки, направени от външни оценители/ЕК;</w:t>
      </w:r>
    </w:p>
    <w:p w:rsidR="00A22FD8" w:rsidRPr="00354CE4" w:rsidRDefault="004F78EB" w:rsidP="004F78EB">
      <w:pPr>
        <w:pStyle w:val="ListParagraph"/>
        <w:numPr>
          <w:ilvl w:val="1"/>
          <w:numId w:val="20"/>
        </w:numPr>
      </w:pPr>
      <w:r w:rsidRPr="00354CE4">
        <w:t xml:space="preserve">изготвяне </w:t>
      </w:r>
      <w:r w:rsidR="00A22FD8" w:rsidRPr="00354CE4">
        <w:t>на предложения за промяна на ПМДРА или в начина на управление, в резултат на проведени оценки на ПМДРА;</w:t>
      </w:r>
    </w:p>
    <w:p w:rsidR="00A22FD8" w:rsidRPr="00354CE4" w:rsidRDefault="004F78EB" w:rsidP="004F78EB">
      <w:pPr>
        <w:pStyle w:val="ListParagraph"/>
        <w:numPr>
          <w:ilvl w:val="1"/>
          <w:numId w:val="20"/>
        </w:numPr>
      </w:pPr>
      <w:r w:rsidRPr="00354CE4">
        <w:t xml:space="preserve">проверка </w:t>
      </w:r>
      <w:r w:rsidR="00A22FD8" w:rsidRPr="00354CE4">
        <w:t>на степента на изпълнение на препоръки от оценките;</w:t>
      </w:r>
    </w:p>
    <w:p w:rsidR="00A22FD8" w:rsidRPr="00354CE4" w:rsidRDefault="004F78EB" w:rsidP="004F78EB">
      <w:pPr>
        <w:pStyle w:val="ListParagraph"/>
        <w:numPr>
          <w:ilvl w:val="1"/>
          <w:numId w:val="20"/>
        </w:numPr>
      </w:pPr>
      <w:r w:rsidRPr="00354CE4">
        <w:t xml:space="preserve">предоставяне </w:t>
      </w:r>
      <w:r w:rsidR="00A22FD8" w:rsidRPr="00354CE4">
        <w:t xml:space="preserve">на информация относно извършените оценки на всички заинтересовани страни и сътрудничество с Междуведомствената работна група за оценка на ЕСИФ 2014-2020 г. на национално ниво;  </w:t>
      </w:r>
    </w:p>
    <w:p w:rsidR="00A22FD8" w:rsidRPr="00354CE4" w:rsidRDefault="004F78EB" w:rsidP="004F78EB">
      <w:pPr>
        <w:pStyle w:val="ListParagraph"/>
        <w:numPr>
          <w:ilvl w:val="1"/>
          <w:numId w:val="20"/>
        </w:numPr>
      </w:pPr>
      <w:r w:rsidRPr="00354CE4">
        <w:t xml:space="preserve">координация </w:t>
      </w:r>
      <w:r w:rsidR="00A22FD8" w:rsidRPr="00354CE4">
        <w:t>и изпълнение на дейности за осигуряване на публичност на резултатите от оценката.</w:t>
      </w:r>
    </w:p>
    <w:p w:rsidR="00783998" w:rsidRPr="00354CE4" w:rsidRDefault="00783998" w:rsidP="00E9695A">
      <w:r w:rsidRPr="00354CE4">
        <w:t xml:space="preserve">Процесът по оценка в УО се осъществява в тясно сътрудничество с всички отдели в структурата на ДМДР. Повечето от мониторинговите данни се получават чрез Информационната система за управление и наблюдение ИСУН 2020, като с оглед ефективното изпълнение на функциите по оценка се осъществява и постоянна комуникация и обмен на данни между отделите в ДМДР. </w:t>
      </w:r>
    </w:p>
    <w:p w:rsidR="00783998" w:rsidRPr="00354CE4" w:rsidRDefault="00783998" w:rsidP="00E9695A">
      <w:pPr>
        <w:rPr>
          <w:bCs/>
        </w:rPr>
      </w:pPr>
      <w:r w:rsidRPr="00354CE4">
        <w:rPr>
          <w:bCs/>
        </w:rPr>
        <w:t xml:space="preserve">След завършване на дадена оценка (вътрешна или външна), експерти от </w:t>
      </w:r>
      <w:r w:rsidRPr="00354CE4">
        <w:t xml:space="preserve">отдел „Програмиране и договаряне“ изготвят и </w:t>
      </w:r>
      <w:r w:rsidRPr="00354CE4">
        <w:rPr>
          <w:bCs/>
        </w:rPr>
        <w:t>предоставят за одобрение доклад на Ръководителя на УО. КН е крайната инстанция, която разглежда докладите от оценките на ПМДРА и препоръките в тях. Резултатите от оценките на програмата се изпращат на Европейската комисия и се публикуват на Единния информационен портал за обща информация за изпълнението и управлението на средствата от ЕС.</w:t>
      </w:r>
    </w:p>
    <w:p w:rsidR="00783998" w:rsidRPr="00354CE4" w:rsidRDefault="00783998" w:rsidP="00E9695A">
      <w:pPr>
        <w:rPr>
          <w:bCs/>
        </w:rPr>
      </w:pPr>
      <w:r w:rsidRPr="00354CE4">
        <w:t xml:space="preserve">Отдел „Програмиране и договаряне“ </w:t>
      </w:r>
      <w:r w:rsidRPr="00354CE4">
        <w:rPr>
          <w:bCs/>
        </w:rPr>
        <w:t xml:space="preserve">следи за изпълнението на препоръките, като изработва план за действие за тяхното изпълнение и докладва пред КН за степента на изпълнение. </w:t>
      </w:r>
    </w:p>
    <w:p w:rsidR="007460ED" w:rsidRPr="00354CE4" w:rsidRDefault="007460ED" w:rsidP="005F67FF"/>
    <w:p w:rsidR="007460ED" w:rsidRPr="00354CE4" w:rsidRDefault="007460ED" w:rsidP="005F67FF">
      <w:pPr>
        <w:pStyle w:val="Heading2"/>
      </w:pPr>
      <w:bookmarkStart w:id="13" w:name="_Toc153543109"/>
      <w:bookmarkStart w:id="14" w:name="_Toc160622924"/>
      <w:r w:rsidRPr="00354CE4">
        <w:t>Комитет за наблюдение на ПМДРА 2021-2027</w:t>
      </w:r>
      <w:bookmarkEnd w:id="13"/>
      <w:bookmarkEnd w:id="14"/>
    </w:p>
    <w:p w:rsidR="006071F1" w:rsidRPr="00354CE4" w:rsidRDefault="006071F1" w:rsidP="005F67FF">
      <w:r w:rsidRPr="00354CE4">
        <w:t>КН на ПМДРА 2021-2027 е сформиран на 20.09.2023</w:t>
      </w:r>
      <w:r w:rsidR="000D4C44" w:rsidRPr="00354CE4">
        <w:t xml:space="preserve"> </w:t>
      </w:r>
      <w:r w:rsidRPr="00354CE4">
        <w:t>г. със Заповед №МДР-ПП-09-85/20.09.2023</w:t>
      </w:r>
      <w:r w:rsidR="000D4C44" w:rsidRPr="00354CE4">
        <w:t xml:space="preserve"> </w:t>
      </w:r>
      <w:r w:rsidRPr="00354CE4">
        <w:t>г. на Министъра на земеделието и храните и следи напредъка в постигането на целите и изпълнението на приоритетите на програмата въз основа на предоставените от УО документи и информация. КН на ПМДРА 2021-2027 осъществява следните функции по отношение на оценката:</w:t>
      </w:r>
    </w:p>
    <w:p w:rsidR="006071F1" w:rsidRPr="00354CE4" w:rsidRDefault="006071F1" w:rsidP="005F67FF">
      <w:pPr>
        <w:pStyle w:val="ListParagraph"/>
        <w:numPr>
          <w:ilvl w:val="1"/>
          <w:numId w:val="20"/>
        </w:numPr>
      </w:pPr>
      <w:r w:rsidRPr="00354CE4">
        <w:t xml:space="preserve">разглежда и одобрява Плана за оценка на ПМДРА 2021-2027 и всяко негово изменение (чл.40, параграф 2, буква в) от Регламент (ЕС) 2021/1060). Планът за оценка се представя за одобрение от страна на Комитета за наблюдение не по-късно от една година след решението за одобряване на Програмата (чл.44, параграф 6 от Регламент (ЕС) 2021/1060); </w:t>
      </w:r>
    </w:p>
    <w:p w:rsidR="006071F1" w:rsidRPr="00354CE4" w:rsidRDefault="006071F1" w:rsidP="005F67FF">
      <w:pPr>
        <w:pStyle w:val="ListParagraph"/>
        <w:numPr>
          <w:ilvl w:val="1"/>
          <w:numId w:val="18"/>
        </w:numPr>
      </w:pPr>
      <w:r w:rsidRPr="00354CE4">
        <w:lastRenderedPageBreak/>
        <w:t>разглежда елементите на предварителната оценка относно подходящата подкрепа от фондовете чрез финансови инструменти и стратегическия документ, определящ реда и условията за приноса от Програмата за финансовия инструмент (чл.40, параграф 1, буква г) от Регламент (ЕС) 2021/1060);</w:t>
      </w:r>
    </w:p>
    <w:p w:rsidR="006071F1" w:rsidRPr="00354CE4" w:rsidRDefault="006071F1" w:rsidP="005F67FF">
      <w:pPr>
        <w:pStyle w:val="ListParagraph"/>
        <w:numPr>
          <w:ilvl w:val="1"/>
          <w:numId w:val="19"/>
        </w:numPr>
      </w:pPr>
      <w:r w:rsidRPr="00354CE4">
        <w:t xml:space="preserve">получава информация от УО относно резултатите, </w:t>
      </w:r>
      <w:r w:rsidR="004F78EB" w:rsidRPr="00354CE4">
        <w:t>заключенията</w:t>
      </w:r>
      <w:r w:rsidRPr="00354CE4">
        <w:t xml:space="preserve"> и препоръките от извършените оценки, вкл. такива проведени от ЕК и касаещи Програмата;</w:t>
      </w:r>
    </w:p>
    <w:p w:rsidR="004F78EB" w:rsidRPr="00354CE4" w:rsidRDefault="004F78EB" w:rsidP="005F67FF">
      <w:pPr>
        <w:pStyle w:val="ListParagraph"/>
        <w:numPr>
          <w:ilvl w:val="1"/>
          <w:numId w:val="19"/>
        </w:numPr>
      </w:pPr>
      <w:r w:rsidRPr="00354CE4">
        <w:t>отправя искания към УО за провеждане на допълнителни специфични анализи/ оценки (невключени в Плана за оценка на ПМДРА), когато е необходимо;</w:t>
      </w:r>
    </w:p>
    <w:p w:rsidR="006071F1" w:rsidRPr="00354CE4" w:rsidRDefault="006071F1" w:rsidP="005F67FF">
      <w:pPr>
        <w:pStyle w:val="ListParagraph"/>
        <w:numPr>
          <w:ilvl w:val="1"/>
          <w:numId w:val="19"/>
        </w:numPr>
      </w:pPr>
      <w:r w:rsidRPr="00354CE4">
        <w:t>разглежда напредъка, постигнат в изпълнението на Плана за оценка и евентуалните последващи дейности във връзка с констатациите от тях (чл.40, параграф 1, буква д) от Регламент (ЕС) 2021/1060).</w:t>
      </w:r>
    </w:p>
    <w:p w:rsidR="006071F1" w:rsidRPr="00354CE4" w:rsidRDefault="006071F1" w:rsidP="005F67FF">
      <w:r w:rsidRPr="00354CE4">
        <w:t>В изпълнение на посочените задължения, КН на ПМДРА 2021-2027 се явява и един от потребителите на резултатите от оценките на Програмата.</w:t>
      </w:r>
    </w:p>
    <w:p w:rsidR="007460ED" w:rsidRPr="00354CE4" w:rsidRDefault="007460ED" w:rsidP="005F67FF"/>
    <w:p w:rsidR="006071F1" w:rsidRPr="00354CE4" w:rsidRDefault="006071F1" w:rsidP="005F67FF">
      <w:pPr>
        <w:pStyle w:val="Heading2"/>
      </w:pPr>
      <w:bookmarkStart w:id="15" w:name="_Toc153543110"/>
      <w:bookmarkStart w:id="16" w:name="_Toc160622925"/>
      <w:r w:rsidRPr="00354CE4">
        <w:t>Постоянна междуведомствена работна група за оценка на ЕСИФ 2014-2020 (ЕФСУ 2021-2027) на национално ниво</w:t>
      </w:r>
      <w:bookmarkEnd w:id="15"/>
      <w:bookmarkEnd w:id="16"/>
    </w:p>
    <w:p w:rsidR="006071F1" w:rsidRPr="00354CE4" w:rsidRDefault="006071F1" w:rsidP="005F67FF">
      <w:r w:rsidRPr="00354CE4">
        <w:t xml:space="preserve">Междуведомствената работна група за оценка на ЕСИФ/ЕФСУ е създадена със Заповед № Р-111/12.05.2015 г., посл. изм. със Заповед № Р-211/26.09.2022 г. на заместник министър-председателя по управление на европейските средства, на основание чл. 11, ал. 7 от Устройствения правилник на Министерския съвет и неговата администрация и във връзка с чл.1, ал.2, т.16 от Постановление № 70 на Министерския съвет от 2010 г. за координация при управлението на средствата от Европейския съюз. </w:t>
      </w:r>
    </w:p>
    <w:p w:rsidR="006071F1" w:rsidRPr="00354CE4" w:rsidRDefault="009825B4" w:rsidP="005F67FF">
      <w:r w:rsidRPr="00354CE4">
        <w:t>Членове на работната група са представители на Централното координационно звено, на управляващите органи на програмите, съфинансирани от ЕФСУ</w:t>
      </w:r>
      <w:r w:rsidR="00F25585" w:rsidRPr="00354CE4">
        <w:t>/ЕСИФ</w:t>
      </w:r>
      <w:r w:rsidRPr="00354CE4">
        <w:t>, на „Фонд мениджър на финансови инструменти в България“ ЕАД (ФМФИБ) и на Националния статистически институт.</w:t>
      </w:r>
    </w:p>
    <w:p w:rsidR="006071F1" w:rsidRPr="00354CE4" w:rsidRDefault="006071F1" w:rsidP="005F67FF">
      <w:r w:rsidRPr="00354CE4">
        <w:t xml:space="preserve">Основната роля на Работната група (РГ) е да подпомага заместник министър-председателя, съгл. чл. 5, ал. 1, т. 2 от Устройствения правилник на Министерския съвет и неговата администрация, Централното координационно звено (ЦКЗ) и управляващите органи (УО) при координацията на планирането и извършването на оценки на изпълнението на Европейските структурни и инвестиционни фондове за програмен период 2014-2020 г. (ЕСИФ) и Европейските фондове при споделено управление за програмен период 2021-2027 г. (ЕФСУ).  </w:t>
      </w:r>
    </w:p>
    <w:p w:rsidR="006071F1" w:rsidRPr="00354CE4" w:rsidRDefault="006071F1" w:rsidP="005F67FF">
      <w:r w:rsidRPr="00354CE4">
        <w:t>Работната група има следните функции и задачи:</w:t>
      </w:r>
    </w:p>
    <w:p w:rsidR="006071F1" w:rsidRPr="00354CE4" w:rsidRDefault="006071F1" w:rsidP="005F67FF">
      <w:r w:rsidRPr="00354CE4">
        <w:t>1. Осигуряване на централна координация на оценката на програмите, съфинансирани от ЕСИФ и ЕФСУ;</w:t>
      </w:r>
    </w:p>
    <w:p w:rsidR="006071F1" w:rsidRPr="00354CE4" w:rsidRDefault="006071F1" w:rsidP="005F67FF">
      <w:r w:rsidRPr="00354CE4">
        <w:t>2. Обсъждане на инициативите на Европейската комисия (ЕК) по отношение на оценката на ЕСИФ и ЕФСУ, включително резултатите и документите, произтичащи от работата на Мрежата за оценка към Генерална дирекция „Регионална и селищна политика“ и Партньорството за оценка към Генерална дирекция „Заетост, социални въпроси и приобщаване“ на Европейската комисия;</w:t>
      </w:r>
    </w:p>
    <w:p w:rsidR="006071F1" w:rsidRPr="00354CE4" w:rsidRDefault="006071F1" w:rsidP="005F67FF">
      <w:r w:rsidRPr="00354CE4">
        <w:lastRenderedPageBreak/>
        <w:t>3. Подпомагане на УО в разработването на планове за оценка на програми</w:t>
      </w:r>
      <w:r w:rsidR="000D4C44" w:rsidRPr="00354CE4">
        <w:t>те</w:t>
      </w:r>
      <w:r w:rsidRPr="00354CE4">
        <w:t xml:space="preserve"> съгласно чл.44, параграф 5 на Регламент (ЕС) 2021/1060 и тяхното последващо изпълнение;</w:t>
      </w:r>
    </w:p>
    <w:p w:rsidR="006071F1" w:rsidRPr="00354CE4" w:rsidRDefault="006071F1" w:rsidP="005F67FF">
      <w:r w:rsidRPr="00354CE4">
        <w:t>4. Участие в разработването на националния план за оценка на Споразумението за партньорство за програмен период 2021-2027 г.;</w:t>
      </w:r>
    </w:p>
    <w:p w:rsidR="006071F1" w:rsidRPr="00354CE4" w:rsidRDefault="006071F1" w:rsidP="005F67FF">
      <w:r w:rsidRPr="00354CE4">
        <w:t>5. Подпомагане на ЦКЗ при извършването на оценки на Споразумението за партньорство и при оценки по хоризонтални теми, свързани с изпълнението на Споразумението за партньорство и програмите;</w:t>
      </w:r>
    </w:p>
    <w:p w:rsidR="006071F1" w:rsidRPr="00354CE4" w:rsidRDefault="006071F1" w:rsidP="005F67FF">
      <w:r w:rsidRPr="00354CE4">
        <w:t>6. Обсъждане на резултатите, заключенията и препоръките от извършените оценки по хоризонтални теми, свързани с изпълнението на Споразумението за партньорство и програмите;</w:t>
      </w:r>
    </w:p>
    <w:p w:rsidR="006071F1" w:rsidRPr="00354CE4" w:rsidRDefault="006071F1" w:rsidP="005F67FF">
      <w:r w:rsidRPr="00354CE4">
        <w:t>7. Осигуряване на обмен на добри практики по отношение оценката на програмите съфинансирани от ЕСИФ и ЕФСУ, между управляващите органи, ЦКЗ и НСИ, както и между УО, ЦКЗ и НСИ и аналогични институции на други държави</w:t>
      </w:r>
      <w:r w:rsidR="000D4C44" w:rsidRPr="00354CE4">
        <w:t xml:space="preserve"> </w:t>
      </w:r>
      <w:r w:rsidRPr="00354CE4">
        <w:t>членки;</w:t>
      </w:r>
    </w:p>
    <w:p w:rsidR="006071F1" w:rsidRPr="00354CE4" w:rsidRDefault="006071F1" w:rsidP="005F67FF">
      <w:r w:rsidRPr="00354CE4">
        <w:t>8. Преглед на напредъка по индикаторите в рамките за изпълнение на програмите, съфинансирани от ЕСИФ и ЕФСУ, и обсъждане на потенциални рискове от непостигане на етапните цели, заложени в рамките за изпълнение, както и мерки за минимизиране на тези рискове.</w:t>
      </w:r>
    </w:p>
    <w:p w:rsidR="006071F1" w:rsidRPr="00354CE4" w:rsidRDefault="006071F1" w:rsidP="005F67FF"/>
    <w:p w:rsidR="006071F1" w:rsidRPr="00354CE4" w:rsidRDefault="006071F1" w:rsidP="005F67FF">
      <w:pPr>
        <w:pStyle w:val="Heading2"/>
      </w:pPr>
      <w:bookmarkStart w:id="17" w:name="_Toc153543111"/>
      <w:bookmarkStart w:id="18" w:name="_Toc160622926"/>
      <w:r w:rsidRPr="00354CE4">
        <w:t>FAMENET</w:t>
      </w:r>
      <w:bookmarkEnd w:id="17"/>
      <w:bookmarkEnd w:id="18"/>
    </w:p>
    <w:p w:rsidR="006071F1" w:rsidRPr="00354CE4" w:rsidRDefault="006071F1" w:rsidP="005F67FF">
      <w:r w:rsidRPr="00354CE4">
        <w:t>FAMENET е мрежа за мониторинг, оценка и подкрепа в областта на рибарството и аквакултурите на ниво ЕК, която подпомага държавите</w:t>
      </w:r>
      <w:r w:rsidR="000D4C44" w:rsidRPr="00354CE4">
        <w:t xml:space="preserve"> </w:t>
      </w:r>
      <w:r w:rsidRPr="00354CE4">
        <w:t>членки при прилагането на Европейския фонд за морско дело, рибарство и аквакултури (ЕФМДРА), вкл. предоставя насоки и консултации относно изготвянето на плана за оценка, методиката за оценка и други дейностите по оценка. Предоставя техническа помощ при докладването, мониторинга и оценката на националните програми на ЕФМДРА, включително подкрепа за управляващите органи и Европейската комисия. Комуникира постиженията на ЕФМДРА чрез събиране на добри практики и истории на широк кръг от аудитории.</w:t>
      </w:r>
    </w:p>
    <w:p w:rsidR="006071F1" w:rsidRPr="00354CE4" w:rsidRDefault="006071F1" w:rsidP="005F67FF"/>
    <w:p w:rsidR="006071F1" w:rsidRPr="00354CE4" w:rsidRDefault="006071F1" w:rsidP="005F67FF">
      <w:pPr>
        <w:pStyle w:val="Heading2"/>
      </w:pPr>
      <w:bookmarkStart w:id="19" w:name="_Toc153543112"/>
      <w:bookmarkStart w:id="20" w:name="_Toc160622927"/>
      <w:r w:rsidRPr="00354CE4">
        <w:t>Европейска комисия</w:t>
      </w:r>
      <w:bookmarkEnd w:id="19"/>
      <w:bookmarkEnd w:id="20"/>
    </w:p>
    <w:p w:rsidR="006071F1" w:rsidRPr="00354CE4" w:rsidRDefault="006071F1" w:rsidP="005F67FF">
      <w:r w:rsidRPr="00354CE4">
        <w:t xml:space="preserve">Представители на Европейската комисия са включени в процеса на оценка и посредством участие в заседанията на КН. Комисията работи в тясно сътрудничество </w:t>
      </w:r>
      <w:r w:rsidR="00DE54FE" w:rsidRPr="00354CE4">
        <w:t>с държавите</w:t>
      </w:r>
      <w:r w:rsidR="000D4C44" w:rsidRPr="00354CE4">
        <w:t xml:space="preserve"> </w:t>
      </w:r>
      <w:r w:rsidRPr="00354CE4">
        <w:t xml:space="preserve">членки по отношение обмена на информация (включително данни от мониторинга) и правилното и навременно приложение на препоръките от оценките. </w:t>
      </w:r>
    </w:p>
    <w:p w:rsidR="006071F1" w:rsidRPr="00354CE4" w:rsidRDefault="006071F1" w:rsidP="005F67FF">
      <w:r w:rsidRPr="00354CE4">
        <w:t xml:space="preserve">Съгласно чл. 45, (1) от Регламент (ЕС) 1060/2021 до края на 2024 г. Комисията извършва междинна оценка, при която разглежда ефективността, ефикасността, относимостта, съгласуваността и добавената стойност от Съюза на всеки от фондовете. </w:t>
      </w:r>
    </w:p>
    <w:p w:rsidR="006071F1" w:rsidRPr="00354CE4" w:rsidRDefault="006071F1" w:rsidP="005F67FF">
      <w:r w:rsidRPr="00354CE4">
        <w:t xml:space="preserve">В изпълнение на чл. 44, (2) до 31.12.2031 г. Комисията следва да направи ретроспективна оценка, с която да разгледа ефективността, ефикасността, относимостта, съгласуваността и добавената стойност от Съюза на всеки от фондовете. За ЕФРР, ЕСФ+, Кохезионния фонд и ЕФМДРА тази оценка акцентира по-специално върху социалното, икономическото и </w:t>
      </w:r>
      <w:r w:rsidRPr="00354CE4">
        <w:lastRenderedPageBreak/>
        <w:t xml:space="preserve">териториалното въздействие на изброените фондове във връзка с целите на политиката, посочени в член 5, (1). Комисията публикува резултатите от ретроспективната оценка на своя уебсайт и ги съобщава на Европейския парламент, Съвета, Европейския икономически и социален комитет и Комитета на регионите. </w:t>
      </w:r>
    </w:p>
    <w:p w:rsidR="006071F1" w:rsidRPr="00354CE4" w:rsidRDefault="006071F1" w:rsidP="005F67FF">
      <w:r w:rsidRPr="00354CE4">
        <w:t xml:space="preserve">Извън тези си задължения, Комисията дава насоки относно плановете за оценка на Програмите, методите и техниките за провеждане на оценки и анализ на данните и др., като резултатите от проведените оценки следва да бъдат представяни и на ЕК. </w:t>
      </w:r>
    </w:p>
    <w:p w:rsidR="006071F1" w:rsidRPr="00354CE4" w:rsidRDefault="006071F1" w:rsidP="005F67FF"/>
    <w:p w:rsidR="006071F1" w:rsidRPr="00354CE4" w:rsidRDefault="006071F1" w:rsidP="0069306E">
      <w:pPr>
        <w:pStyle w:val="Heading1"/>
      </w:pPr>
      <w:bookmarkStart w:id="21" w:name="_Toc153543113"/>
      <w:bookmarkStart w:id="22" w:name="_Toc160622928"/>
      <w:r w:rsidRPr="00354CE4">
        <w:lastRenderedPageBreak/>
        <w:t>Стратегия за управление на качеството на процеса по оценка</w:t>
      </w:r>
      <w:bookmarkEnd w:id="21"/>
      <w:bookmarkEnd w:id="22"/>
    </w:p>
    <w:p w:rsidR="006071F1" w:rsidRPr="00354CE4" w:rsidRDefault="006071F1" w:rsidP="005F67FF">
      <w:r w:rsidRPr="00354CE4">
        <w:t xml:space="preserve">Гарантирането на качество на оценителния процес е от съществено значение за получаване на стойностен и използваем краен продукт от всяка оценка. Качеството на оценките зависи от три взаимно свързани фактора: </w:t>
      </w:r>
    </w:p>
    <w:p w:rsidR="006071F1" w:rsidRPr="00354CE4" w:rsidRDefault="006071F1" w:rsidP="005F67FF">
      <w:pPr>
        <w:pStyle w:val="ListParagraph"/>
        <w:numPr>
          <w:ilvl w:val="1"/>
          <w:numId w:val="21"/>
        </w:numPr>
      </w:pPr>
      <w:r w:rsidRPr="00354CE4">
        <w:t>качество на планирането и дизайна на оценките (вкл. тяхното възлагане);</w:t>
      </w:r>
    </w:p>
    <w:p w:rsidR="006071F1" w:rsidRPr="00354CE4" w:rsidRDefault="006071F1" w:rsidP="005F67FF">
      <w:pPr>
        <w:pStyle w:val="ListParagraph"/>
        <w:numPr>
          <w:ilvl w:val="1"/>
          <w:numId w:val="21"/>
        </w:numPr>
      </w:pPr>
      <w:r w:rsidRPr="00354CE4">
        <w:t>качество на осъществяването на оценките и</w:t>
      </w:r>
    </w:p>
    <w:p w:rsidR="006071F1" w:rsidRPr="00354CE4" w:rsidRDefault="006071F1" w:rsidP="005F67FF">
      <w:pPr>
        <w:pStyle w:val="ListParagraph"/>
        <w:numPr>
          <w:ilvl w:val="1"/>
          <w:numId w:val="21"/>
        </w:numPr>
      </w:pPr>
      <w:r w:rsidRPr="00354CE4">
        <w:t>качество на системата за наблюдение и генерираните от нея данни.</w:t>
      </w:r>
    </w:p>
    <w:p w:rsidR="003D3FF4" w:rsidRPr="00354CE4" w:rsidRDefault="003D3FF4" w:rsidP="005F67FF">
      <w:r w:rsidRPr="00354CE4">
        <w:t xml:space="preserve">С оглед гарантиране на качеството на оценките през програмния период 2021-2027 експертите от Дирекция „морско дело и рибарство“ от МЗХ, на които са възложени функции по планиране и организация на оценка за ПМДРА 2021-2027, ще спазват </w:t>
      </w:r>
      <w:r w:rsidR="00E62363" w:rsidRPr="00354CE4">
        <w:t>процедурите за извършване на оценки, разписани в документите за управление Програма „Морско дело, рибарство и аквакултури“ 2021-2027, изискванията на нормативните и методическите документи на ЕК в областта на оценката, Закона за обществените поръчки, както и на други приложими документи и насоки.</w:t>
      </w:r>
    </w:p>
    <w:p w:rsidR="006071F1" w:rsidRPr="00354CE4" w:rsidRDefault="006071F1" w:rsidP="005F67FF">
      <w:r w:rsidRPr="00354CE4">
        <w:t xml:space="preserve">В допълнение, при изготвянето на заданията за избор на изпълнител и по време на осъществяването на контрола върху качеството им на изпълнение, ще се търси съответствие с изискванията на приложимото законодателство и методическите насоки на ЕК в областта на оценката. Изготвянето на качествени технически спецификации за оценка е от ключово значение, тъй като те имат важна роля при постигането на желаните резултати от оценката. Заданията ще служат и като инструмент за последващ контрол на изпълнението на дейностите от страна на външния оценител и за гарантиране на качеството на оценителните доклади. За целите на приемане на изпълнението на възложените дейности ще бъдат назначавани нарочни комисии, които да гарантират, че формулираните в заданията очаквани резултати са постигнати и изпълнението им отговаря на изискваното качество. </w:t>
      </w:r>
    </w:p>
    <w:p w:rsidR="006071F1" w:rsidRPr="00354CE4" w:rsidRDefault="006071F1" w:rsidP="005F67FF">
      <w:r w:rsidRPr="00354CE4">
        <w:t xml:space="preserve">Друг аспект в стратегията за управление на качеството на процеса на оценка е включване на изискване към външните оценители да представят пред УО междинни/етапни доклади за докладване на конкретни резултати и напредък в изпълнението на определени периоди в рамките на срока за изпълнение на оценката. По този начин УО ще има възможност да получава предварителни резултати от оценката на сравнително по-ранен етап, а не в последния етап – окончателен доклад, когато възможностите за своевременна реакция от страна на УО са намалени и времево ограничени. </w:t>
      </w:r>
    </w:p>
    <w:p w:rsidR="006071F1" w:rsidRPr="00354CE4" w:rsidRDefault="006071F1" w:rsidP="005F67FF">
      <w:r w:rsidRPr="00354CE4">
        <w:t xml:space="preserve">Качеството на оценките на ПМДРА 2021-2027 се гарантира и посредством редовната отчетност пред КН и всички заинтересовани страни, както и при необходимост, посредством създаването на НГО към УО. </w:t>
      </w:r>
    </w:p>
    <w:p w:rsidR="006071F1" w:rsidRPr="00354CE4" w:rsidRDefault="006071F1" w:rsidP="005F67FF"/>
    <w:p w:rsidR="006071F1" w:rsidRPr="00354CE4" w:rsidRDefault="006071F1" w:rsidP="0069306E">
      <w:pPr>
        <w:pStyle w:val="Heading1"/>
      </w:pPr>
      <w:bookmarkStart w:id="23" w:name="_Toc153543114"/>
      <w:bookmarkStart w:id="24" w:name="_Toc160622929"/>
      <w:r w:rsidRPr="00354CE4">
        <w:lastRenderedPageBreak/>
        <w:t>Стратегия за гарантиране използването на резултатите от проведените оценки на ПМДРА 2021-2027 и осигуряване на публичност</w:t>
      </w:r>
      <w:bookmarkEnd w:id="23"/>
      <w:bookmarkEnd w:id="24"/>
    </w:p>
    <w:p w:rsidR="003F70D7" w:rsidRPr="00354CE4" w:rsidRDefault="003F70D7" w:rsidP="005F67FF">
      <w:pPr>
        <w:pStyle w:val="Heading2"/>
      </w:pPr>
      <w:bookmarkStart w:id="25" w:name="_Toc153543115"/>
      <w:bookmarkStart w:id="26" w:name="_Toc160622930"/>
      <w:r w:rsidRPr="00354CE4">
        <w:t>Действия за осигуряване прилагането на оценките</w:t>
      </w:r>
      <w:bookmarkEnd w:id="25"/>
      <w:bookmarkEnd w:id="26"/>
    </w:p>
    <w:p w:rsidR="006071F1" w:rsidRPr="00354CE4" w:rsidRDefault="006071F1" w:rsidP="005F67FF">
      <w:r w:rsidRPr="00354CE4">
        <w:t>За осигуряването на прилагането на резултатите от оценките по ПМДРА 2021-2027 ще се предприемат следните действия:</w:t>
      </w:r>
    </w:p>
    <w:p w:rsidR="006071F1" w:rsidRPr="00354CE4" w:rsidRDefault="006071F1" w:rsidP="005F67FF">
      <w:pPr>
        <w:pStyle w:val="ListParagraph"/>
        <w:numPr>
          <w:ilvl w:val="0"/>
          <w:numId w:val="22"/>
        </w:numPr>
      </w:pPr>
      <w:r w:rsidRPr="00354CE4">
        <w:t>Изискване на изрични, ясни и конкретни заключения и препоръки в оценителните доклади;</w:t>
      </w:r>
    </w:p>
    <w:p w:rsidR="003F70D7" w:rsidRPr="00354CE4" w:rsidRDefault="006071F1" w:rsidP="005F67FF">
      <w:pPr>
        <w:pStyle w:val="ListParagraph"/>
        <w:numPr>
          <w:ilvl w:val="0"/>
          <w:numId w:val="22"/>
        </w:numPr>
      </w:pPr>
      <w:r w:rsidRPr="00354CE4">
        <w:t>Представяне на резултатите от оценките в подходящ обем и формат на съответните потребители;</w:t>
      </w:r>
    </w:p>
    <w:p w:rsidR="006071F1" w:rsidRPr="00354CE4" w:rsidRDefault="006071F1" w:rsidP="005F67FF">
      <w:pPr>
        <w:pStyle w:val="ListParagraph"/>
        <w:numPr>
          <w:ilvl w:val="0"/>
          <w:numId w:val="22"/>
        </w:numPr>
      </w:pPr>
      <w:r w:rsidRPr="00354CE4">
        <w:t>Изготвяне на План за действие по препоръките от всяка оценка и проследяване на напредъка в изпълнението му.</w:t>
      </w:r>
    </w:p>
    <w:p w:rsidR="006071F1" w:rsidRPr="00354CE4" w:rsidRDefault="006071F1" w:rsidP="005F67FF">
      <w:r w:rsidRPr="00354CE4">
        <w:t xml:space="preserve">Друг механизъм за гарантиране на използването на резултатите от оценките е включването на заинтересованите страни в процеса на оценка и разпространение на информация. Това ще доведе и до повишаване на доверието в резултатите от оценките, и подобряване изпълнението на препоръките. </w:t>
      </w:r>
    </w:p>
    <w:p w:rsidR="006071F1" w:rsidRPr="00354CE4" w:rsidRDefault="006071F1" w:rsidP="005F67FF">
      <w:r w:rsidRPr="00354CE4">
        <w:t xml:space="preserve">Един от най-важните фактори за използване на резултатите е качеството на оценките и тяхното планиране (разпределението им във времето), така че изводите и препоръките да са навременни и налице в момент, когато са от значение за вземането на решения. </w:t>
      </w:r>
    </w:p>
    <w:p w:rsidR="006071F1" w:rsidRPr="00354CE4" w:rsidRDefault="006071F1" w:rsidP="005F67FF">
      <w:r w:rsidRPr="00354CE4">
        <w:t xml:space="preserve">Всички резултати и заключения от извършените оценки се докладват на Ръководителя на УО, с оглед подобряване управлението и изпълнението на ПМДРА 2021-2027. Напредъкът при извършването на оценките и основните изводи и препоръки от тях се представят по време на срещите за преглед с Комисията и се включват в информацията относно напредъка в изпълнение на оценките, представяна на заседанията на КН. </w:t>
      </w:r>
    </w:p>
    <w:p w:rsidR="006071F1" w:rsidRPr="00354CE4" w:rsidRDefault="006071F1" w:rsidP="005F67FF">
      <w:r w:rsidRPr="00354CE4">
        <w:t xml:space="preserve">Въз основа на резултатите и констатациите от извършените оценки, експертите от ДМДР изготвят и представят за одобрение на Ръководителя на УО План за действие за изпълнение на отправените препоръки. Преди одобряването му, Планът се съгласува със заинтересованите звена в УО, както и с други заинтересовани страни, отговорни за действията, които следва да се предприемат. Плановете за действие определят дейностите, необходими за изпълнение на отправените препоръки, отговорниците и сроковете и, в случай на необходимост, нужните допълнителни ресурси и техните източници. Напредъкът по изпълнението на Плановете за действие също се докладва на КН. </w:t>
      </w:r>
    </w:p>
    <w:p w:rsidR="006071F1" w:rsidRPr="00354CE4" w:rsidRDefault="006071F1" w:rsidP="005F67FF">
      <w:r w:rsidRPr="00354CE4">
        <w:t xml:space="preserve">Оценките имат стойност като инструмент за управление, само ако техните резултати бъдат използвани. Смисълът от провеждането им е да се извлекат поуки и следствия, които да могат да бъдат използвани на практика. Изводите и препоръките, отправени в тях, следва да водят до вземане на решения и предприемане на действия за оптималното изпълнение на Програмата и за повишаване на нейната ефективност, ефикасност и въздействие. </w:t>
      </w:r>
    </w:p>
    <w:p w:rsidR="003F70D7" w:rsidRPr="00354CE4" w:rsidRDefault="003F70D7" w:rsidP="005F67FF"/>
    <w:p w:rsidR="003F70D7" w:rsidRPr="00354CE4" w:rsidRDefault="003F70D7" w:rsidP="005F67FF">
      <w:pPr>
        <w:pStyle w:val="Heading2"/>
      </w:pPr>
      <w:bookmarkStart w:id="27" w:name="_Toc153543116"/>
      <w:bookmarkStart w:id="28" w:name="_Toc160622931"/>
      <w:r w:rsidRPr="00354CE4">
        <w:lastRenderedPageBreak/>
        <w:t>Комуникация и осигуряване на публичност на резултатите от проведените оценки и дейностите по оценка</w:t>
      </w:r>
      <w:bookmarkEnd w:id="27"/>
      <w:bookmarkEnd w:id="28"/>
    </w:p>
    <w:p w:rsidR="006071F1" w:rsidRPr="00354CE4" w:rsidRDefault="006071F1" w:rsidP="005F67FF">
      <w:r w:rsidRPr="00354CE4">
        <w:t xml:space="preserve">Оценките няма да имат последици, ако техните резултати и препоръки не бъдат разпространени. Целта на разпространение на резултатите от оценките е да се осигури прозрачност, публичност и достъп до препоръките и изводите от проведените изследвания на всички заинтересовани страни и да насърчи тяхното използване като инструмент за управление – вземане на управленски решения и предприемане на действия. Това е важно условие за правилното отразяване на изводите и резултатите от оценките в процеса на програмиране и изпълнение, за повишаване на общия ефект от провеждането на оценките, за по-добро разбиране за програмата, нейните резултати и въздействия, съществуващи добри практики и др. </w:t>
      </w:r>
    </w:p>
    <w:p w:rsidR="006071F1" w:rsidRPr="00354CE4" w:rsidRDefault="006071F1" w:rsidP="005F67FF">
      <w:r w:rsidRPr="00354CE4">
        <w:t xml:space="preserve">Отговорните за възлагането и осъществяването на оценки следва да осигурят комуникирането и използването на техните резултати. Внимателно трябва да бъдат идентифицирани потенциалните им потребители – политици, бенефициенти, заинтересовани лица, широка общественост, като на база на това се подберат най-подходящите канали за комуникация.  </w:t>
      </w:r>
    </w:p>
    <w:p w:rsidR="006071F1" w:rsidRPr="00354CE4" w:rsidRDefault="006071F1" w:rsidP="005F67FF">
      <w:r w:rsidRPr="00354CE4">
        <w:t>В допълнение, съгласно изискванията на чл. 44 (7) от Регламент (ЕС) № 1060/2021, проведените оценки са публично достояние и в интерес на прозрачността и с цел стимулиране на публичния дебат по отношение на резултатите от оценката същите се публикуват на уебсайта с информация за Програмите, за които органът отговаря, съгл. чл. 49 (1) от Регламент (ЕС) 1060/2021, единния информационен портал за ЕСИФ/ЕФСУ в България, както и на други подходящи за целта източници на информация. УО предвижда да представя  резултатите от всички оценки на ПМДРА  2021-2027 и на вниманието на КН и на широката общественост, като за целта, освен официалната Интернет</w:t>
      </w:r>
      <w:r w:rsidR="00DE54FE" w:rsidRPr="00354CE4">
        <w:t xml:space="preserve"> </w:t>
      </w:r>
      <w:r w:rsidRPr="00354CE4">
        <w:t>страница на Програмата, ще бъдат използвани и други подходящи комуникационни канали.</w:t>
      </w:r>
    </w:p>
    <w:p w:rsidR="003F70D7" w:rsidRPr="00354CE4" w:rsidRDefault="003F70D7" w:rsidP="005F67FF">
      <w:r w:rsidRPr="00354CE4">
        <w:t>Комуникирането на оценките следва да включва:</w:t>
      </w:r>
    </w:p>
    <w:p w:rsidR="003F70D7" w:rsidRPr="00354CE4" w:rsidRDefault="003F70D7" w:rsidP="005F67FF">
      <w:pPr>
        <w:pStyle w:val="ListParagraph"/>
        <w:numPr>
          <w:ilvl w:val="0"/>
          <w:numId w:val="23"/>
        </w:numPr>
      </w:pPr>
      <w:r w:rsidRPr="00354CE4">
        <w:t>Подобряване на информираността за текущия процес на оценка;</w:t>
      </w:r>
    </w:p>
    <w:p w:rsidR="003F70D7" w:rsidRPr="00354CE4" w:rsidRDefault="003F70D7" w:rsidP="005F67FF">
      <w:pPr>
        <w:pStyle w:val="ListParagraph"/>
        <w:numPr>
          <w:ilvl w:val="0"/>
          <w:numId w:val="23"/>
        </w:numPr>
      </w:pPr>
      <w:r w:rsidRPr="00354CE4">
        <w:t>Предоставяне на обратна връзка за междинни констатации;</w:t>
      </w:r>
    </w:p>
    <w:p w:rsidR="003F70D7" w:rsidRPr="00354CE4" w:rsidRDefault="003F70D7" w:rsidP="005F67FF">
      <w:pPr>
        <w:pStyle w:val="ListParagraph"/>
        <w:numPr>
          <w:ilvl w:val="0"/>
          <w:numId w:val="23"/>
        </w:numPr>
      </w:pPr>
      <w:r w:rsidRPr="00354CE4">
        <w:t xml:space="preserve">Разпространение и управление на обратната връзка относно </w:t>
      </w:r>
      <w:r w:rsidR="00E62363" w:rsidRPr="00354CE4">
        <w:t>проектите на доклади</w:t>
      </w:r>
      <w:r w:rsidRPr="00354CE4">
        <w:t xml:space="preserve"> и резултати (напр. инструменти за събиране на данни); и</w:t>
      </w:r>
    </w:p>
    <w:p w:rsidR="003F70D7" w:rsidRPr="00354CE4" w:rsidRDefault="003F70D7" w:rsidP="005F67FF">
      <w:pPr>
        <w:pStyle w:val="ListParagraph"/>
        <w:numPr>
          <w:ilvl w:val="0"/>
          <w:numId w:val="23"/>
        </w:numPr>
      </w:pPr>
      <w:r w:rsidRPr="00354CE4">
        <w:t xml:space="preserve">Съобщаване на констатациите и заключенията от оценката. </w:t>
      </w:r>
    </w:p>
    <w:p w:rsidR="003F70D7" w:rsidRPr="00354CE4" w:rsidRDefault="003F70D7" w:rsidP="005F67FF">
      <w:r w:rsidRPr="00354CE4">
        <w:t xml:space="preserve">За целите на разпространение на резултатите от оценки на ПМДРА 2021-2027 се предвижда да се използват следните основни канали за разпространение, при спазване на приложимите правила за достъп до информация: </w:t>
      </w:r>
    </w:p>
    <w:p w:rsidR="003F70D7" w:rsidRPr="00354CE4" w:rsidRDefault="003F70D7" w:rsidP="005F67FF">
      <w:pPr>
        <w:pStyle w:val="ListParagraph"/>
        <w:numPr>
          <w:ilvl w:val="1"/>
          <w:numId w:val="24"/>
        </w:numPr>
      </w:pPr>
      <w:r w:rsidRPr="00354CE4">
        <w:t>Разпространение на докладите за оценка по електронна поща/ SFC</w:t>
      </w:r>
    </w:p>
    <w:p w:rsidR="003F70D7" w:rsidRPr="00354CE4" w:rsidRDefault="003F70D7" w:rsidP="005F67FF">
      <w:r w:rsidRPr="00354CE4">
        <w:t>Информация с резултатите от докладите за оценка ще бъде изпращана до останалите отдели и на УО, КН, Постоянната междуведомствена работна група за оценка на ЕСИФ/ЕФСУ на национално ниво, и други страни, заинтересовани от изпълнението на ПМДРА 2021-2027.</w:t>
      </w:r>
    </w:p>
    <w:p w:rsidR="003F70D7" w:rsidRPr="00354CE4" w:rsidRDefault="003F70D7" w:rsidP="005F67FF">
      <w:r w:rsidRPr="00354CE4">
        <w:t>Управляващият орган си запазва правото да променя и/или разширява списъка за разпространение на информация.</w:t>
      </w:r>
    </w:p>
    <w:p w:rsidR="003F70D7" w:rsidRPr="00354CE4" w:rsidRDefault="003F70D7" w:rsidP="005F67FF">
      <w:pPr>
        <w:pStyle w:val="ListParagraph"/>
        <w:numPr>
          <w:ilvl w:val="1"/>
          <w:numId w:val="24"/>
        </w:numPr>
      </w:pPr>
      <w:r w:rsidRPr="00354CE4">
        <w:t>Интернет – чрез Интернет-страницата на УО/</w:t>
      </w:r>
      <w:r w:rsidR="00DE54FE" w:rsidRPr="00354CE4">
        <w:t>МЗХ</w:t>
      </w:r>
      <w:r w:rsidRPr="00354CE4">
        <w:t>, единния информационен портал за структурните фондове на ЕС и при възможност, други подходящи страници/портали;</w:t>
      </w:r>
    </w:p>
    <w:p w:rsidR="003F70D7" w:rsidRPr="00354CE4" w:rsidRDefault="003F70D7" w:rsidP="005F67FF">
      <w:r w:rsidRPr="00354CE4">
        <w:lastRenderedPageBreak/>
        <w:t>За осигуряване на максимална публичност, окончателните доклади или резюмета към тях ще бъдат достъпни на интернет-страницата на Програмата, както и на информационен портал за структурните фондове на ЕС, след представянето им пред Комитета за наблюдение.</w:t>
      </w:r>
    </w:p>
    <w:p w:rsidR="003F70D7" w:rsidRPr="00354CE4" w:rsidRDefault="003F70D7" w:rsidP="005F67FF">
      <w:pPr>
        <w:pStyle w:val="ListParagraph"/>
        <w:numPr>
          <w:ilvl w:val="1"/>
          <w:numId w:val="24"/>
        </w:numPr>
      </w:pPr>
      <w:r w:rsidRPr="00354CE4">
        <w:t>Медии, вкл. с помощта на социални медии (бюлетини, прессъобщения и други публикации);</w:t>
      </w:r>
    </w:p>
    <w:p w:rsidR="003F70D7" w:rsidRPr="00354CE4" w:rsidRDefault="003F70D7" w:rsidP="005F67FF">
      <w:r w:rsidRPr="00354CE4">
        <w:t>За запознаване на широката общественост с процеса по оценка и с резултатите от извършените оценки, информация за тях ще бъде публикувана и в профилите на Програмата в социалните медии, както и посредством нарочни публикации/прессъобщения в други подходящи за целта електронни и печатни медии.</w:t>
      </w:r>
    </w:p>
    <w:p w:rsidR="003F70D7" w:rsidRPr="00354CE4" w:rsidRDefault="003F70D7" w:rsidP="005F67FF">
      <w:pPr>
        <w:pStyle w:val="ListParagraph"/>
        <w:numPr>
          <w:ilvl w:val="1"/>
          <w:numId w:val="24"/>
        </w:numPr>
      </w:pPr>
      <w:r w:rsidRPr="00354CE4">
        <w:t xml:space="preserve">Тематични семинари/ събития на национално и международно ниво, работни срещи и др. </w:t>
      </w:r>
    </w:p>
    <w:p w:rsidR="003F70D7" w:rsidRPr="00354CE4" w:rsidRDefault="003F70D7" w:rsidP="005F67FF">
      <w:r w:rsidRPr="00354CE4">
        <w:t xml:space="preserve">След одобрението на окончателните доклади от оценките, същите могат да бъдат представяни под формата на презентации по време на тематични събития на национално и международно ниво, семинари, конференции и др. подходящи форуми. Презентациите от своя страна ще бъдат достъпни за широката общественост, както на интернет страницата на Програмата, така и на интернет страниците на организаторите на съответните събития. </w:t>
      </w:r>
    </w:p>
    <w:p w:rsidR="003F70D7" w:rsidRPr="00354CE4" w:rsidRDefault="003F70D7" w:rsidP="005F67FF"/>
    <w:p w:rsidR="003F70D7" w:rsidRPr="00354CE4" w:rsidRDefault="00E62363" w:rsidP="005F67FF">
      <w:pPr>
        <w:pStyle w:val="Heading2"/>
      </w:pPr>
      <w:bookmarkStart w:id="29" w:name="_Toc153543117"/>
      <w:bookmarkStart w:id="30" w:name="_Toc160622932"/>
      <w:r w:rsidRPr="00354CE4">
        <w:t>Налични ресурси</w:t>
      </w:r>
      <w:r w:rsidR="003F70D7" w:rsidRPr="00354CE4">
        <w:t xml:space="preserve"> за изпълнение на Плана за оценка на ПМДРА  2021-2027</w:t>
      </w:r>
      <w:bookmarkEnd w:id="29"/>
      <w:bookmarkEnd w:id="30"/>
    </w:p>
    <w:p w:rsidR="003F70D7" w:rsidRPr="00354CE4" w:rsidRDefault="003F70D7" w:rsidP="005F67FF">
      <w:r w:rsidRPr="00354CE4">
        <w:t xml:space="preserve">Осигуряването на ресурси и капацитет за извършване на оценки е регламентирано в чл. 35, (1), чл. 35, (2д) и чл. 36, (1). на Регламент (ЕС) 1060/2021. Човешките и финансови ресурси, необходими за извършване на оценките по ПМДРА 2021-2027, са идентифицирани и планирани в УО. </w:t>
      </w:r>
    </w:p>
    <w:p w:rsidR="003F70D7" w:rsidRPr="00354CE4" w:rsidRDefault="003D3FF4" w:rsidP="005F67FF">
      <w:r w:rsidRPr="00354CE4">
        <w:t>В рамките на ДМДР са определени експерти, чиято работа е фокусирана върху планирането</w:t>
      </w:r>
      <w:r w:rsidR="00BF692C" w:rsidRPr="00354CE4">
        <w:t xml:space="preserve"> и </w:t>
      </w:r>
      <w:r w:rsidR="00E62363" w:rsidRPr="00354CE4">
        <w:t>организацията</w:t>
      </w:r>
      <w:r w:rsidRPr="00354CE4">
        <w:t xml:space="preserve"> на оценката на програмата.</w:t>
      </w:r>
    </w:p>
    <w:p w:rsidR="003F70D7" w:rsidRPr="00354CE4" w:rsidRDefault="003F70D7" w:rsidP="005F67FF">
      <w:r w:rsidRPr="00354CE4">
        <w:t>В рамките на приоритетна ос 5 „Техническа помощ“ на ПМДРА 2021-2027, са предвидени средства за подкрепа с оглед гарантиране на финансовото обезпечаване на дейността по оценка и развитие на капацитета за оценка в рамките на УО. Основните дейности за подкрепа по отношение на оценката включват:</w:t>
      </w:r>
    </w:p>
    <w:p w:rsidR="00E62363" w:rsidRPr="00354CE4" w:rsidRDefault="00E62363" w:rsidP="005F67FF">
      <w:pPr>
        <w:pStyle w:val="ListParagraph"/>
        <w:numPr>
          <w:ilvl w:val="1"/>
          <w:numId w:val="25"/>
        </w:numPr>
      </w:pPr>
      <w:r w:rsidRPr="00354CE4">
        <w:t xml:space="preserve">Засилване ролята на оценките като инструмент за повишаване на ефективността и ефикасността на </w:t>
      </w:r>
      <w:r w:rsidR="00BF692C" w:rsidRPr="00354CE4">
        <w:t>П</w:t>
      </w:r>
      <w:r w:rsidRPr="00354CE4">
        <w:t>рограмата чрез изграждане на култура за оценки, обмяна на знания и сътрудничество, укрепване на капацитета за планиране и възлагане на оценки, осигуряване на данни, необходими за целите на оценките и използване на резултатите от оценките;</w:t>
      </w:r>
    </w:p>
    <w:p w:rsidR="00E62363" w:rsidRPr="00354CE4" w:rsidRDefault="00E62363" w:rsidP="005F67FF">
      <w:pPr>
        <w:pStyle w:val="ListParagraph"/>
        <w:numPr>
          <w:ilvl w:val="1"/>
          <w:numId w:val="25"/>
        </w:numPr>
      </w:pPr>
      <w:bookmarkStart w:id="31" w:name="_Hlk151902277"/>
      <w:r w:rsidRPr="00354CE4">
        <w:t>Повишаване на капацитета на служители, пряко участващи и подпомагащи планирането, управлението, изпълнението, наблюдението, оценката и контрола на ПМДРА 2021-2027 чрез осигуряване на участие в обучения, работни срещи, семинари, работни посещения, обмен на добри практики и опит и др. с конкретна насоченост по теми, актуални за изпълнението на ПМДРА 2021-2027</w:t>
      </w:r>
      <w:bookmarkEnd w:id="31"/>
      <w:r w:rsidRPr="00354CE4">
        <w:t>.</w:t>
      </w:r>
    </w:p>
    <w:p w:rsidR="00E62363" w:rsidRPr="00354CE4" w:rsidRDefault="00E62363" w:rsidP="005F67FF">
      <w:pPr>
        <w:pStyle w:val="ListParagraph"/>
        <w:numPr>
          <w:ilvl w:val="1"/>
          <w:numId w:val="25"/>
        </w:numPr>
        <w:rPr>
          <w:rFonts w:ascii="TimesNewRomanPSMT" w:cs="TimesNewRomanPSMT"/>
        </w:rPr>
      </w:pPr>
      <w:r w:rsidRPr="00354CE4">
        <w:t>Подкрепа</w:t>
      </w:r>
      <w:r w:rsidRPr="00354CE4">
        <w:rPr>
          <w:rFonts w:ascii="TimesNewRomanPSMT" w:cs="TimesNewRomanPSMT"/>
        </w:rPr>
        <w:t xml:space="preserve"> </w:t>
      </w:r>
      <w:r w:rsidRPr="00354CE4">
        <w:t>за</w:t>
      </w:r>
      <w:r w:rsidRPr="00354CE4">
        <w:rPr>
          <w:rFonts w:ascii="TimesNewRomanPSMT" w:cs="TimesNewRomanPSMT"/>
        </w:rPr>
        <w:t xml:space="preserve"> </w:t>
      </w:r>
      <w:r w:rsidRPr="00354CE4">
        <w:t>подготовка</w:t>
      </w:r>
      <w:r w:rsidRPr="00354CE4">
        <w:rPr>
          <w:rFonts w:ascii="TimesNewRomanPSMT" w:cs="TimesNewRomanPSMT"/>
        </w:rPr>
        <w:t xml:space="preserve"> </w:t>
      </w:r>
      <w:r w:rsidRPr="00354CE4">
        <w:t>на</w:t>
      </w:r>
      <w:r w:rsidRPr="00354CE4">
        <w:rPr>
          <w:rFonts w:ascii="TimesNewRomanPSMT" w:cs="TimesNewRomanPSMT"/>
        </w:rPr>
        <w:t xml:space="preserve"> </w:t>
      </w:r>
      <w:r w:rsidRPr="00354CE4">
        <w:t>следващия</w:t>
      </w:r>
      <w:r w:rsidRPr="00354CE4">
        <w:rPr>
          <w:rFonts w:ascii="TimesNewRomanPSMT" w:cs="TimesNewRomanPSMT"/>
        </w:rPr>
        <w:t xml:space="preserve"> </w:t>
      </w:r>
      <w:r w:rsidRPr="00354CE4">
        <w:t>програмен</w:t>
      </w:r>
      <w:r w:rsidRPr="00354CE4">
        <w:rPr>
          <w:rFonts w:ascii="TimesNewRomanPSMT" w:cs="TimesNewRomanPSMT"/>
        </w:rPr>
        <w:t xml:space="preserve"> </w:t>
      </w:r>
      <w:r w:rsidRPr="00354CE4">
        <w:t>период (включително изготвяне на необходимите анализи и предварителни оценки)</w:t>
      </w:r>
      <w:r w:rsidRPr="00354CE4">
        <w:rPr>
          <w:rFonts w:ascii="TimesNewRomanPSMT" w:cs="TimesNewRomanPSMT"/>
        </w:rPr>
        <w:t>;</w:t>
      </w:r>
    </w:p>
    <w:p w:rsidR="003F70D7" w:rsidRPr="00354CE4" w:rsidRDefault="003F70D7" w:rsidP="005F67FF">
      <w:pPr>
        <w:rPr>
          <w:highlight w:val="yellow"/>
        </w:rPr>
      </w:pPr>
      <w:r w:rsidRPr="00354CE4">
        <w:lastRenderedPageBreak/>
        <w:t xml:space="preserve">През програмен период 2021-2027 е предвидено </w:t>
      </w:r>
      <w:r w:rsidR="00BF692C" w:rsidRPr="00354CE4">
        <w:t>Приорите</w:t>
      </w:r>
      <w:r w:rsidR="008053D4" w:rsidRPr="00354CE4">
        <w:t>т</w:t>
      </w:r>
      <w:r w:rsidRPr="00354CE4">
        <w:t xml:space="preserve"> 5 „Техническа помощ“ да подкрепя засилването на ролята на оценките като инструмент за повишаване на ефективността и ефикасността на програмата чрез изграждане на култура за оценки, обмяна на знания и сътрудничество, укрепване на капацитета за планиране и възлагане на оценки, осигуряване на данни, необходими за целите на оценките и използване на резултатите от оценките. </w:t>
      </w:r>
      <w:r w:rsidR="00F00515" w:rsidRPr="00354CE4">
        <w:t>Наред с това се предвижда и повишаване на капацитета на служители, пряко участващи и подпомагащи оценката на ПМДРА 2021-2027 чрез осигуряване на участие в обучения, работни срещи, семинари, работни посещения, обмен на добри практики и опит и др. с конкретна насоченост по теми, актуални за изпълнението на ПМДРА 2021-2027. В рамките на тези дейности ще бъде планирани обучения, съобразени с нуждите от това.</w:t>
      </w:r>
    </w:p>
    <w:p w:rsidR="003F70D7" w:rsidRPr="00354CE4" w:rsidRDefault="003F70D7" w:rsidP="005F67FF"/>
    <w:p w:rsidR="00F00515" w:rsidRPr="00354CE4" w:rsidRDefault="00F00515" w:rsidP="0069306E">
      <w:pPr>
        <w:pStyle w:val="Heading1"/>
      </w:pPr>
      <w:bookmarkStart w:id="32" w:name="_Toc153543118"/>
      <w:bookmarkStart w:id="33" w:name="_Toc160622933"/>
      <w:r w:rsidRPr="00354CE4">
        <w:lastRenderedPageBreak/>
        <w:t>Приемане и актуализация на Плана за оценка</w:t>
      </w:r>
      <w:bookmarkEnd w:id="32"/>
      <w:bookmarkEnd w:id="33"/>
    </w:p>
    <w:p w:rsidR="00F00515" w:rsidRPr="00354CE4" w:rsidRDefault="00F00515" w:rsidP="005F67FF">
      <w:r w:rsidRPr="00354CE4">
        <w:t>Планът за оценка е отговорност на управляващия орган, комитета за наблюдение, както следва:</w:t>
      </w:r>
    </w:p>
    <w:p w:rsidR="00F00515" w:rsidRPr="00354CE4" w:rsidRDefault="00F00515" w:rsidP="005F67FF">
      <w:pPr>
        <w:pStyle w:val="ListParagraph"/>
        <w:numPr>
          <w:ilvl w:val="1"/>
          <w:numId w:val="20"/>
        </w:numPr>
      </w:pPr>
      <w:r w:rsidRPr="00354CE4">
        <w:t>УО организира разработването на проект на ПО и представя на Комитета за наблюдение (КН) не по-късно от една година след решението за одобряване на Програмата (чл.44, параграф 6 от Регламент (ЕС) 2021/1060) за одобрение;</w:t>
      </w:r>
    </w:p>
    <w:p w:rsidR="00F00515" w:rsidRPr="00354CE4" w:rsidRDefault="00F00515" w:rsidP="005F67FF">
      <w:pPr>
        <w:pStyle w:val="ListParagraph"/>
        <w:numPr>
          <w:ilvl w:val="1"/>
          <w:numId w:val="20"/>
        </w:numPr>
      </w:pPr>
      <w:r w:rsidRPr="00354CE4">
        <w:t>УО може да предложи на КН изменение и допълнение на Плана за оценка на ПМДРА по собствена инициатива или по предложение на заинтересовани страни като отчита следните обстоятелства:</w:t>
      </w:r>
    </w:p>
    <w:p w:rsidR="00F00515" w:rsidRPr="00354CE4" w:rsidRDefault="00F00515" w:rsidP="005F67FF">
      <w:pPr>
        <w:pStyle w:val="ListParagraph"/>
        <w:numPr>
          <w:ilvl w:val="2"/>
          <w:numId w:val="20"/>
        </w:numPr>
      </w:pPr>
      <w:r w:rsidRPr="00354CE4">
        <w:t>промяна в нормативната база на национално и/или европейско ниво, водещи до промяна на средата за изпълнение на ПО в това число и промяна в методическите подходи за извършване на оценките;</w:t>
      </w:r>
    </w:p>
    <w:p w:rsidR="00F00515" w:rsidRPr="00354CE4" w:rsidRDefault="00F00515" w:rsidP="005F67FF">
      <w:pPr>
        <w:pStyle w:val="ListParagraph"/>
        <w:numPr>
          <w:ilvl w:val="2"/>
          <w:numId w:val="20"/>
        </w:numPr>
      </w:pPr>
      <w:r w:rsidRPr="00354CE4">
        <w:t>промяна на социално-икономическите условия за изпълнение на Програмата;</w:t>
      </w:r>
    </w:p>
    <w:p w:rsidR="00F00515" w:rsidRPr="00354CE4" w:rsidRDefault="00F00515" w:rsidP="005F67FF">
      <w:pPr>
        <w:pStyle w:val="ListParagraph"/>
        <w:numPr>
          <w:ilvl w:val="2"/>
          <w:numId w:val="20"/>
        </w:numPr>
      </w:pPr>
      <w:r w:rsidRPr="00354CE4">
        <w:t xml:space="preserve">промяна на графика, следствие от ускоряване или забавяне, на изпълнение на дейностите по програмата. </w:t>
      </w:r>
    </w:p>
    <w:p w:rsidR="00F00515" w:rsidRPr="00354CE4" w:rsidRDefault="00F00515" w:rsidP="005F67FF">
      <w:pPr>
        <w:pStyle w:val="ListParagraph"/>
        <w:numPr>
          <w:ilvl w:val="1"/>
          <w:numId w:val="20"/>
        </w:numPr>
      </w:pPr>
      <w:r w:rsidRPr="00354CE4">
        <w:t>Комитетът за наблюдение разглежда и одобрява Плана за оценка на ПМДРА 2021-2027 и всяко негово изменение (чл.40, параграф 2, буква в) от Регламент (ЕС) 2021/1060).</w:t>
      </w:r>
    </w:p>
    <w:p w:rsidR="00F00515" w:rsidRPr="00354CE4" w:rsidRDefault="00F00515" w:rsidP="005F67FF"/>
    <w:p w:rsidR="00F55010" w:rsidRPr="00354CE4" w:rsidRDefault="00F55010" w:rsidP="0069306E">
      <w:pPr>
        <w:pStyle w:val="Heading1"/>
      </w:pPr>
      <w:bookmarkStart w:id="34" w:name="_Toc153543119"/>
      <w:bookmarkStart w:id="35" w:name="_Toc160622934"/>
      <w:r w:rsidRPr="00354CE4">
        <w:lastRenderedPageBreak/>
        <w:t>Планирани оценки</w:t>
      </w:r>
      <w:bookmarkEnd w:id="34"/>
      <w:bookmarkEnd w:id="35"/>
    </w:p>
    <w:p w:rsidR="00F55010" w:rsidRPr="00354CE4" w:rsidRDefault="00C421E3" w:rsidP="005F67FF">
      <w:pPr>
        <w:pStyle w:val="Heading2"/>
      </w:pPr>
      <w:bookmarkStart w:id="36" w:name="_Toc153543120"/>
      <w:bookmarkStart w:id="37" w:name="_Toc160622935"/>
      <w:r w:rsidRPr="00354CE4">
        <w:t>Актуализация на Предварителна оценка за прилагане на финансов инструмент по ПМДРА 2014-2020 г.</w:t>
      </w:r>
      <w:bookmarkEnd w:id="36"/>
      <w:bookmarkEnd w:id="37"/>
    </w:p>
    <w:tbl>
      <w:tblPr>
        <w:tblStyle w:val="351"/>
        <w:tblW w:w="5000" w:type="pct"/>
        <w:tblLook w:val="04A0" w:firstRow="1" w:lastRow="0" w:firstColumn="1" w:lastColumn="0" w:noHBand="0" w:noVBand="1"/>
      </w:tblPr>
      <w:tblGrid>
        <w:gridCol w:w="1944"/>
        <w:gridCol w:w="7911"/>
      </w:tblGrid>
      <w:tr w:rsidR="00F55010" w:rsidRPr="00354CE4" w:rsidTr="00D766AC">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935" w:type="pct"/>
          </w:tcPr>
          <w:p w:rsidR="00F55010" w:rsidRPr="00354CE4" w:rsidRDefault="00724314" w:rsidP="005F67FF">
            <w:pPr>
              <w:rPr>
                <w:rFonts w:asciiTheme="minorHAnsi" w:hAnsiTheme="minorHAnsi" w:cstheme="minorHAnsi"/>
                <w:lang w:val="bg-BG"/>
              </w:rPr>
            </w:pPr>
            <w:r w:rsidRPr="00354CE4">
              <w:rPr>
                <w:rFonts w:asciiTheme="minorHAnsi" w:hAnsiTheme="minorHAnsi" w:cstheme="minorHAnsi"/>
                <w:lang w:val="bg-BG"/>
              </w:rPr>
              <w:t>Тема на оценката</w:t>
            </w:r>
          </w:p>
        </w:tc>
        <w:tc>
          <w:tcPr>
            <w:tcW w:w="4065" w:type="pct"/>
          </w:tcPr>
          <w:p w:rsidR="00F55010" w:rsidRPr="00354CE4" w:rsidRDefault="00724314" w:rsidP="005F67FF">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lang w:val="bg-BG"/>
              </w:rPr>
            </w:pPr>
            <w:r w:rsidRPr="00354CE4">
              <w:rPr>
                <w:rFonts w:asciiTheme="minorHAnsi" w:hAnsiTheme="minorHAnsi" w:cstheme="minorHAnsi"/>
                <w:lang w:val="bg-BG"/>
              </w:rPr>
              <w:t>Актуализация на Предварителна оценка за прилагане на финансов инструмент по ПМДР</w:t>
            </w:r>
            <w:r w:rsidR="00CC5F8E" w:rsidRPr="00354CE4">
              <w:rPr>
                <w:rFonts w:asciiTheme="minorHAnsi" w:hAnsiTheme="minorHAnsi" w:cstheme="minorHAnsi"/>
                <w:lang w:val="bg-BG"/>
              </w:rPr>
              <w:t>А</w:t>
            </w:r>
            <w:r w:rsidRPr="00354CE4">
              <w:rPr>
                <w:rFonts w:asciiTheme="minorHAnsi" w:hAnsiTheme="minorHAnsi" w:cstheme="minorHAnsi"/>
                <w:lang w:val="bg-BG"/>
              </w:rPr>
              <w:t xml:space="preserve"> 2014-2020 г.</w:t>
            </w:r>
          </w:p>
        </w:tc>
      </w:tr>
      <w:tr w:rsidR="00F55010" w:rsidRPr="00354CE4" w:rsidTr="00D766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 w:type="pct"/>
          </w:tcPr>
          <w:p w:rsidR="00F55010" w:rsidRPr="00354CE4" w:rsidRDefault="00724314" w:rsidP="005F67FF">
            <w:pPr>
              <w:rPr>
                <w:rFonts w:asciiTheme="minorHAnsi" w:hAnsiTheme="minorHAnsi" w:cstheme="minorHAnsi"/>
                <w:lang w:val="bg-BG"/>
              </w:rPr>
            </w:pPr>
            <w:r w:rsidRPr="00354CE4">
              <w:rPr>
                <w:rFonts w:asciiTheme="minorHAnsi" w:hAnsiTheme="minorHAnsi" w:cstheme="minorHAnsi"/>
                <w:lang w:val="bg-BG"/>
              </w:rPr>
              <w:t>Предмет, обхват, контекст и обосновка на необходимостта от оценката</w:t>
            </w:r>
          </w:p>
        </w:tc>
        <w:tc>
          <w:tcPr>
            <w:tcW w:w="4065" w:type="pct"/>
          </w:tcPr>
          <w:p w:rsidR="00E759FA" w:rsidRPr="00354CE4" w:rsidRDefault="008B0771" w:rsidP="005F67F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bg-BG"/>
              </w:rPr>
            </w:pPr>
            <w:r w:rsidRPr="00354CE4">
              <w:rPr>
                <w:rFonts w:asciiTheme="minorHAnsi" w:hAnsiTheme="minorHAnsi" w:cstheme="minorHAnsi"/>
                <w:lang w:val="bg-BG"/>
              </w:rPr>
              <w:t>Предметът на оценката е извършване на актуализация на изготвената Предварителна оценка за прилагане на финансов инструмент по ПМДР</w:t>
            </w:r>
            <w:r w:rsidR="00CC5F8E" w:rsidRPr="00354CE4">
              <w:rPr>
                <w:rFonts w:asciiTheme="minorHAnsi" w:hAnsiTheme="minorHAnsi" w:cstheme="minorHAnsi"/>
                <w:lang w:val="bg-BG"/>
              </w:rPr>
              <w:t>А</w:t>
            </w:r>
            <w:r w:rsidRPr="00354CE4">
              <w:rPr>
                <w:rFonts w:asciiTheme="minorHAnsi" w:hAnsiTheme="minorHAnsi" w:cstheme="minorHAnsi"/>
                <w:lang w:val="bg-BG"/>
              </w:rPr>
              <w:t xml:space="preserve"> 20</w:t>
            </w:r>
            <w:r w:rsidR="00E759FA" w:rsidRPr="00354CE4">
              <w:rPr>
                <w:rFonts w:asciiTheme="minorHAnsi" w:hAnsiTheme="minorHAnsi" w:cstheme="minorHAnsi"/>
                <w:lang w:val="bg-BG"/>
              </w:rPr>
              <w:t>21</w:t>
            </w:r>
            <w:r w:rsidRPr="00354CE4">
              <w:rPr>
                <w:rFonts w:asciiTheme="minorHAnsi" w:hAnsiTheme="minorHAnsi" w:cstheme="minorHAnsi"/>
                <w:lang w:val="bg-BG"/>
              </w:rPr>
              <w:t>-202</w:t>
            </w:r>
            <w:r w:rsidR="00E759FA" w:rsidRPr="00354CE4">
              <w:rPr>
                <w:rFonts w:asciiTheme="minorHAnsi" w:hAnsiTheme="minorHAnsi" w:cstheme="minorHAnsi"/>
                <w:lang w:val="bg-BG"/>
              </w:rPr>
              <w:t>7</w:t>
            </w:r>
            <w:r w:rsidRPr="00354CE4">
              <w:rPr>
                <w:rFonts w:asciiTheme="minorHAnsi" w:hAnsiTheme="minorHAnsi" w:cstheme="minorHAnsi"/>
                <w:lang w:val="bg-BG"/>
              </w:rPr>
              <w:t xml:space="preserve"> г.,</w:t>
            </w:r>
            <w:r w:rsidR="00E759FA" w:rsidRPr="00354CE4">
              <w:rPr>
                <w:rFonts w:asciiTheme="minorHAnsi" w:hAnsiTheme="minorHAnsi" w:cstheme="minorHAnsi"/>
                <w:lang w:val="bg-BG"/>
              </w:rPr>
              <w:t xml:space="preserve"> изготвена през </w:t>
            </w:r>
            <w:r w:rsidR="008A39DA" w:rsidRPr="00354CE4">
              <w:rPr>
                <w:rFonts w:asciiTheme="minorHAnsi" w:hAnsiTheme="minorHAnsi" w:cstheme="minorHAnsi"/>
                <w:lang w:val="bg-BG"/>
              </w:rPr>
              <w:t>2021</w:t>
            </w:r>
            <w:r w:rsidR="00E759FA" w:rsidRPr="00354CE4">
              <w:rPr>
                <w:rFonts w:asciiTheme="minorHAnsi" w:hAnsiTheme="minorHAnsi" w:cstheme="minorHAnsi"/>
                <w:lang w:val="bg-BG"/>
              </w:rPr>
              <w:t xml:space="preserve"> г., която да установи степента на актуалност и съответствие на планираните инструменти с приложимите през 2024 г. условия, вкл. в случай на промени в приоритети на политиката на национално ниво, промяна в определените предварителни условия за успешно прилагане на финансовия инструмент по програмата, както и актуалността на влиянието на определените възможни рискове от институционален, административен, правен, икономически аспекти и др., което потенциално би затруднило в значителна степен </w:t>
            </w:r>
            <w:r w:rsidR="002F2C73" w:rsidRPr="00354CE4">
              <w:rPr>
                <w:rFonts w:asciiTheme="minorHAnsi" w:hAnsiTheme="minorHAnsi" w:cstheme="minorHAnsi"/>
                <w:lang w:val="bg-BG"/>
              </w:rPr>
              <w:t xml:space="preserve">прилагането на финансовия инструмент по </w:t>
            </w:r>
            <w:r w:rsidR="00CC5F8E" w:rsidRPr="00354CE4">
              <w:rPr>
                <w:rFonts w:asciiTheme="minorHAnsi" w:hAnsiTheme="minorHAnsi" w:cstheme="minorHAnsi"/>
                <w:lang w:val="bg-BG"/>
              </w:rPr>
              <w:t xml:space="preserve">ПМДРА </w:t>
            </w:r>
            <w:r w:rsidR="002F2C73" w:rsidRPr="00354CE4">
              <w:rPr>
                <w:rFonts w:asciiTheme="minorHAnsi" w:hAnsiTheme="minorHAnsi" w:cstheme="minorHAnsi"/>
                <w:lang w:val="bg-BG"/>
              </w:rPr>
              <w:t>2021-2027.</w:t>
            </w:r>
          </w:p>
          <w:p w:rsidR="00F55010" w:rsidRPr="00354CE4" w:rsidRDefault="002F2C73" w:rsidP="005F67F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bg-BG"/>
              </w:rPr>
            </w:pPr>
            <w:r w:rsidRPr="00354CE4">
              <w:rPr>
                <w:rFonts w:asciiTheme="minorHAnsi" w:hAnsiTheme="minorHAnsi" w:cstheme="minorHAnsi"/>
                <w:lang w:val="bg-BG"/>
              </w:rPr>
              <w:t xml:space="preserve">Основната цел на оценката е да осигури навременна информация за УО, както и на всички заинтересовани страни относно актуалността на планираните дейности за предоставяне подкрепа посредством финансовите инструменти. Оценката следва да даде отговор необходими ли са промени в проектираните финансови инструменти и начините и условията за тяхното прилагане за постигане на първоначално определените цели за подкрепа на изпълнението на </w:t>
            </w:r>
            <w:r w:rsidR="00CC5F8E" w:rsidRPr="00354CE4">
              <w:rPr>
                <w:rFonts w:asciiTheme="minorHAnsi" w:hAnsiTheme="minorHAnsi" w:cstheme="minorHAnsi"/>
                <w:lang w:val="bg-BG"/>
              </w:rPr>
              <w:t xml:space="preserve">ПМДРА </w:t>
            </w:r>
            <w:r w:rsidRPr="00354CE4">
              <w:rPr>
                <w:rFonts w:asciiTheme="minorHAnsi" w:hAnsiTheme="minorHAnsi" w:cstheme="minorHAnsi"/>
                <w:lang w:val="bg-BG"/>
              </w:rPr>
              <w:t xml:space="preserve">2021-2027 и развитието на </w:t>
            </w:r>
            <w:r w:rsidR="00227ACA" w:rsidRPr="00354CE4">
              <w:rPr>
                <w:rFonts w:asciiTheme="minorHAnsi" w:hAnsiTheme="minorHAnsi" w:cstheme="minorHAnsi"/>
                <w:lang w:val="bg-BG"/>
              </w:rPr>
              <w:t>сектора</w:t>
            </w:r>
            <w:r w:rsidRPr="00354CE4">
              <w:rPr>
                <w:rFonts w:asciiTheme="minorHAnsi" w:hAnsiTheme="minorHAnsi" w:cstheme="minorHAnsi"/>
                <w:lang w:val="bg-BG"/>
              </w:rPr>
              <w:t>.</w:t>
            </w:r>
          </w:p>
        </w:tc>
      </w:tr>
      <w:tr w:rsidR="00F55010" w:rsidRPr="00354CE4" w:rsidTr="00D766AC">
        <w:tc>
          <w:tcPr>
            <w:cnfStyle w:val="001000000000" w:firstRow="0" w:lastRow="0" w:firstColumn="1" w:lastColumn="0" w:oddVBand="0" w:evenVBand="0" w:oddHBand="0" w:evenHBand="0" w:firstRowFirstColumn="0" w:firstRowLastColumn="0" w:lastRowFirstColumn="0" w:lastRowLastColumn="0"/>
            <w:tcW w:w="935" w:type="pct"/>
          </w:tcPr>
          <w:p w:rsidR="00F55010" w:rsidRPr="00354CE4" w:rsidRDefault="002F2C73" w:rsidP="005F67FF">
            <w:pPr>
              <w:rPr>
                <w:rFonts w:asciiTheme="minorHAnsi" w:hAnsiTheme="minorHAnsi" w:cstheme="minorHAnsi"/>
                <w:lang w:val="bg-BG"/>
              </w:rPr>
            </w:pPr>
            <w:r w:rsidRPr="00354CE4">
              <w:rPr>
                <w:rFonts w:asciiTheme="minorHAnsi" w:hAnsiTheme="minorHAnsi" w:cstheme="minorHAnsi"/>
                <w:lang w:val="bg-BG"/>
              </w:rPr>
              <w:t>Индикативни дейности</w:t>
            </w:r>
          </w:p>
        </w:tc>
        <w:tc>
          <w:tcPr>
            <w:tcW w:w="4065" w:type="pct"/>
          </w:tcPr>
          <w:p w:rsidR="00F55010" w:rsidRPr="00354CE4" w:rsidRDefault="002F2C73" w:rsidP="005F67F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bg-BG"/>
              </w:rPr>
            </w:pPr>
            <w:r w:rsidRPr="00354CE4">
              <w:rPr>
                <w:rFonts w:asciiTheme="minorHAnsi" w:hAnsiTheme="minorHAnsi" w:cstheme="minorHAnsi"/>
                <w:lang w:val="bg-BG"/>
              </w:rPr>
              <w:t xml:space="preserve">1. Преглед и анализ на промени в средата, настъпили след изготвянето на предварителната оценка, вкл. по отношение на институционален, административен и </w:t>
            </w:r>
            <w:r w:rsidR="00227ACA" w:rsidRPr="00354CE4">
              <w:rPr>
                <w:rFonts w:asciiTheme="minorHAnsi" w:hAnsiTheme="minorHAnsi" w:cstheme="minorHAnsi"/>
                <w:lang w:val="bg-BG"/>
              </w:rPr>
              <w:t>социално-</w:t>
            </w:r>
            <w:r w:rsidRPr="00354CE4">
              <w:rPr>
                <w:rFonts w:asciiTheme="minorHAnsi" w:hAnsiTheme="minorHAnsi" w:cstheme="minorHAnsi"/>
                <w:lang w:val="bg-BG"/>
              </w:rPr>
              <w:t>икономически контекст</w:t>
            </w:r>
            <w:r w:rsidR="00227ACA" w:rsidRPr="00354CE4">
              <w:rPr>
                <w:rFonts w:asciiTheme="minorHAnsi" w:hAnsiTheme="minorHAnsi" w:cstheme="minorHAnsi"/>
                <w:lang w:val="bg-BG"/>
              </w:rPr>
              <w:t>.</w:t>
            </w:r>
          </w:p>
          <w:p w:rsidR="002F2C73" w:rsidRPr="00354CE4" w:rsidRDefault="002F2C73" w:rsidP="005F67F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bg-BG"/>
              </w:rPr>
            </w:pPr>
            <w:r w:rsidRPr="00354CE4">
              <w:rPr>
                <w:rFonts w:asciiTheme="minorHAnsi" w:hAnsiTheme="minorHAnsi" w:cstheme="minorHAnsi"/>
                <w:lang w:val="bg-BG"/>
              </w:rPr>
              <w:t xml:space="preserve">2. Анализ и оценка на </w:t>
            </w:r>
            <w:r w:rsidR="00227ACA" w:rsidRPr="00354CE4">
              <w:rPr>
                <w:rFonts w:asciiTheme="minorHAnsi" w:hAnsiTheme="minorHAnsi" w:cstheme="minorHAnsi"/>
                <w:lang w:val="bg-BG"/>
              </w:rPr>
              <w:t>потенциални промени в идентифицираните нужди на целевите групи и съответствието им с подкрепата, предоставяна посредством финансовите инструменти по ПМДРА 2021-2027 г.</w:t>
            </w:r>
          </w:p>
        </w:tc>
      </w:tr>
      <w:tr w:rsidR="00F55010" w:rsidRPr="00354CE4" w:rsidTr="00D766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 w:type="pct"/>
          </w:tcPr>
          <w:p w:rsidR="00F55010" w:rsidRPr="00354CE4" w:rsidRDefault="00227ACA" w:rsidP="005F67FF">
            <w:pPr>
              <w:rPr>
                <w:rFonts w:asciiTheme="minorHAnsi" w:hAnsiTheme="minorHAnsi" w:cstheme="minorHAnsi"/>
                <w:lang w:val="bg-BG"/>
              </w:rPr>
            </w:pPr>
            <w:r w:rsidRPr="00354CE4">
              <w:rPr>
                <w:rFonts w:asciiTheme="minorHAnsi" w:hAnsiTheme="minorHAnsi" w:cstheme="minorHAnsi"/>
                <w:lang w:val="bg-BG"/>
              </w:rPr>
              <w:t>Приложим подход</w:t>
            </w:r>
          </w:p>
        </w:tc>
        <w:tc>
          <w:tcPr>
            <w:tcW w:w="4065" w:type="pct"/>
          </w:tcPr>
          <w:p w:rsidR="00F55010" w:rsidRPr="00354CE4" w:rsidRDefault="00227ACA" w:rsidP="005F67F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bg-BG"/>
              </w:rPr>
            </w:pPr>
            <w:r w:rsidRPr="00354CE4">
              <w:rPr>
                <w:rFonts w:asciiTheme="minorHAnsi" w:hAnsiTheme="minorHAnsi" w:cstheme="minorHAnsi"/>
                <w:lang w:val="bg-BG"/>
              </w:rPr>
              <w:t>Анализ и оценка на средата с приложими методи за анализ на данни и причинно-следствени връзки.</w:t>
            </w:r>
          </w:p>
        </w:tc>
      </w:tr>
      <w:tr w:rsidR="00F55010" w:rsidRPr="00354CE4" w:rsidTr="00D766AC">
        <w:tc>
          <w:tcPr>
            <w:cnfStyle w:val="001000000000" w:firstRow="0" w:lastRow="0" w:firstColumn="1" w:lastColumn="0" w:oddVBand="0" w:evenVBand="0" w:oddHBand="0" w:evenHBand="0" w:firstRowFirstColumn="0" w:firstRowLastColumn="0" w:lastRowFirstColumn="0" w:lastRowLastColumn="0"/>
            <w:tcW w:w="935" w:type="pct"/>
          </w:tcPr>
          <w:p w:rsidR="00F55010" w:rsidRPr="00354CE4" w:rsidRDefault="00227ACA" w:rsidP="005F67FF">
            <w:pPr>
              <w:rPr>
                <w:rFonts w:asciiTheme="minorHAnsi" w:hAnsiTheme="minorHAnsi" w:cstheme="minorHAnsi"/>
                <w:lang w:val="bg-BG"/>
              </w:rPr>
            </w:pPr>
            <w:r w:rsidRPr="00354CE4">
              <w:rPr>
                <w:rFonts w:asciiTheme="minorHAnsi" w:hAnsiTheme="minorHAnsi" w:cstheme="minorHAnsi"/>
                <w:lang w:val="bg-BG"/>
              </w:rPr>
              <w:t>Основни въпроси за оценка</w:t>
            </w:r>
          </w:p>
        </w:tc>
        <w:tc>
          <w:tcPr>
            <w:tcW w:w="4065" w:type="pct"/>
          </w:tcPr>
          <w:p w:rsidR="00F55010" w:rsidRPr="00354CE4" w:rsidRDefault="00227ACA" w:rsidP="005F67F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bg-BG"/>
              </w:rPr>
            </w:pPr>
            <w:r w:rsidRPr="00354CE4">
              <w:rPr>
                <w:rFonts w:asciiTheme="minorHAnsi" w:hAnsiTheme="minorHAnsi" w:cstheme="minorHAnsi"/>
                <w:lang w:val="bg-BG"/>
              </w:rPr>
              <w:t>Оценката ще изследва, но няма да се ограничава до, следните основни въпроси:</w:t>
            </w:r>
          </w:p>
          <w:p w:rsidR="00227ACA" w:rsidRPr="00354CE4" w:rsidRDefault="00227ACA" w:rsidP="005F67F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bg-BG"/>
              </w:rPr>
            </w:pPr>
            <w:r w:rsidRPr="00354CE4">
              <w:rPr>
                <w:rFonts w:asciiTheme="minorHAnsi" w:hAnsiTheme="minorHAnsi" w:cstheme="minorHAnsi"/>
                <w:lang w:val="bg-BG"/>
              </w:rPr>
              <w:t>Настъпили ли са промени в приоритети на политиката на национално ниво, които да оказват съществено въздействие върху целите и рамката за прилагане на финансовите инструменти?</w:t>
            </w:r>
          </w:p>
          <w:p w:rsidR="00227ACA" w:rsidRPr="00354CE4" w:rsidRDefault="00227ACA" w:rsidP="005F67F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bg-BG"/>
              </w:rPr>
            </w:pPr>
            <w:r w:rsidRPr="00354CE4">
              <w:rPr>
                <w:rFonts w:asciiTheme="minorHAnsi" w:hAnsiTheme="minorHAnsi" w:cstheme="minorHAnsi"/>
                <w:lang w:val="bg-BG"/>
              </w:rPr>
              <w:t xml:space="preserve">Настъпили ли са промени в </w:t>
            </w:r>
            <w:r w:rsidR="00D766AC" w:rsidRPr="00354CE4">
              <w:rPr>
                <w:rFonts w:asciiTheme="minorHAnsi" w:hAnsiTheme="minorHAnsi" w:cstheme="minorHAnsi"/>
                <w:lang w:val="bg-BG"/>
              </w:rPr>
              <w:t>институционален, административен, правен контекст,</w:t>
            </w:r>
            <w:r w:rsidRPr="00354CE4">
              <w:rPr>
                <w:rFonts w:asciiTheme="minorHAnsi" w:hAnsiTheme="minorHAnsi" w:cstheme="minorHAnsi"/>
                <w:lang w:val="bg-BG"/>
              </w:rPr>
              <w:t xml:space="preserve"> които да оказват съществено въздействие върху </w:t>
            </w:r>
            <w:r w:rsidR="00D766AC" w:rsidRPr="00354CE4">
              <w:rPr>
                <w:rFonts w:asciiTheme="minorHAnsi" w:hAnsiTheme="minorHAnsi" w:cstheme="minorHAnsi"/>
                <w:lang w:val="bg-BG"/>
              </w:rPr>
              <w:t>идентифицираните нужди и рискове</w:t>
            </w:r>
            <w:r w:rsidRPr="00354CE4">
              <w:rPr>
                <w:rFonts w:asciiTheme="minorHAnsi" w:hAnsiTheme="minorHAnsi" w:cstheme="minorHAnsi"/>
                <w:lang w:val="bg-BG"/>
              </w:rPr>
              <w:t>, съответно върху приложимите финансови инструменти?</w:t>
            </w:r>
          </w:p>
          <w:p w:rsidR="00227ACA" w:rsidRPr="00354CE4" w:rsidRDefault="00D766AC" w:rsidP="005F67F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bg-BG"/>
              </w:rPr>
            </w:pPr>
            <w:r w:rsidRPr="00354CE4">
              <w:rPr>
                <w:rFonts w:asciiTheme="minorHAnsi" w:hAnsiTheme="minorHAnsi" w:cstheme="minorHAnsi"/>
                <w:lang w:val="bg-BG"/>
              </w:rPr>
              <w:t>Настъпили ли са промени в социално-икономически</w:t>
            </w:r>
            <w:r w:rsidR="00F861E6" w:rsidRPr="00354CE4">
              <w:rPr>
                <w:rFonts w:asciiTheme="minorHAnsi" w:hAnsiTheme="minorHAnsi" w:cstheme="minorHAnsi"/>
                <w:lang w:val="bg-BG"/>
              </w:rPr>
              <w:t>я</w:t>
            </w:r>
            <w:r w:rsidRPr="00354CE4">
              <w:rPr>
                <w:rFonts w:asciiTheme="minorHAnsi" w:hAnsiTheme="minorHAnsi" w:cstheme="minorHAnsi"/>
                <w:lang w:val="bg-BG"/>
              </w:rPr>
              <w:t xml:space="preserve"> контекст, които да оказват съществено въздействие върху идентифицираните целевите групи </w:t>
            </w:r>
            <w:r w:rsidRPr="00354CE4">
              <w:rPr>
                <w:rFonts w:asciiTheme="minorHAnsi" w:hAnsiTheme="minorHAnsi" w:cstheme="minorHAnsi"/>
                <w:lang w:val="bg-BG"/>
              </w:rPr>
              <w:lastRenderedPageBreak/>
              <w:t>и техните нужди и съответно върху приложимите финансови инструменти?</w:t>
            </w:r>
          </w:p>
        </w:tc>
      </w:tr>
      <w:tr w:rsidR="00F55010" w:rsidRPr="00354CE4" w:rsidTr="00D766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 w:type="pct"/>
          </w:tcPr>
          <w:p w:rsidR="00F55010" w:rsidRPr="00354CE4" w:rsidRDefault="00D766AC" w:rsidP="00F861E6">
            <w:pPr>
              <w:rPr>
                <w:rFonts w:asciiTheme="minorHAnsi" w:hAnsiTheme="minorHAnsi" w:cstheme="minorHAnsi"/>
                <w:lang w:val="bg-BG"/>
              </w:rPr>
            </w:pPr>
            <w:r w:rsidRPr="00354CE4">
              <w:rPr>
                <w:rFonts w:asciiTheme="minorHAnsi" w:hAnsiTheme="minorHAnsi" w:cstheme="minorHAnsi"/>
                <w:lang w:val="bg-BG"/>
              </w:rPr>
              <w:lastRenderedPageBreak/>
              <w:t>Инструменти за набиране на информация и методи за извършване на оценката и изисквания по отношение на необходимите данни</w:t>
            </w:r>
          </w:p>
        </w:tc>
        <w:tc>
          <w:tcPr>
            <w:tcW w:w="4065" w:type="pct"/>
          </w:tcPr>
          <w:p w:rsidR="00D766AC" w:rsidRPr="00354CE4" w:rsidRDefault="00D766AC" w:rsidP="005F67F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bg-BG"/>
              </w:rPr>
            </w:pPr>
            <w:r w:rsidRPr="00354CE4">
              <w:rPr>
                <w:rFonts w:asciiTheme="minorHAnsi" w:hAnsiTheme="minorHAnsi" w:cstheme="minorHAnsi"/>
                <w:lang w:val="bg-BG"/>
              </w:rPr>
              <w:t>Необходимият индикативен минимум, който методиката следва да включва е:</w:t>
            </w:r>
          </w:p>
          <w:p w:rsidR="00D766AC" w:rsidRPr="00354CE4" w:rsidRDefault="00D766AC" w:rsidP="005F67F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bg-BG"/>
              </w:rPr>
            </w:pPr>
            <w:r w:rsidRPr="00354CE4">
              <w:rPr>
                <w:rFonts w:asciiTheme="minorHAnsi" w:hAnsiTheme="minorHAnsi" w:cstheme="minorHAnsi"/>
                <w:lang w:val="bg-BG"/>
              </w:rPr>
              <w:t>•</w:t>
            </w:r>
            <w:r w:rsidRPr="00354CE4">
              <w:rPr>
                <w:rFonts w:asciiTheme="minorHAnsi" w:hAnsiTheme="minorHAnsi" w:cstheme="minorHAnsi"/>
                <w:lang w:val="bg-BG"/>
              </w:rPr>
              <w:tab/>
              <w:t>Кабинетно проучване;</w:t>
            </w:r>
          </w:p>
          <w:p w:rsidR="00D766AC" w:rsidRPr="00354CE4" w:rsidRDefault="00D766AC" w:rsidP="005F67F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bg-BG"/>
              </w:rPr>
            </w:pPr>
            <w:r w:rsidRPr="00354CE4">
              <w:rPr>
                <w:rFonts w:asciiTheme="minorHAnsi" w:hAnsiTheme="minorHAnsi" w:cstheme="minorHAnsi"/>
                <w:lang w:val="bg-BG"/>
              </w:rPr>
              <w:t>•</w:t>
            </w:r>
            <w:r w:rsidRPr="00354CE4">
              <w:rPr>
                <w:rFonts w:asciiTheme="minorHAnsi" w:hAnsiTheme="minorHAnsi" w:cstheme="minorHAnsi"/>
                <w:lang w:val="bg-BG"/>
              </w:rPr>
              <w:tab/>
              <w:t>Извършване на проучвания за набиране на необходими вторични количествени и качествени данни, а при доказана необходимост и първични данни, вкл. интервюта/дискусии с с представители на целевите групи и други заинтересовани страни ;</w:t>
            </w:r>
          </w:p>
          <w:p w:rsidR="00D766AC" w:rsidRPr="00354CE4" w:rsidRDefault="00D766AC" w:rsidP="005F67F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bg-BG"/>
              </w:rPr>
            </w:pPr>
            <w:r w:rsidRPr="00354CE4">
              <w:rPr>
                <w:rFonts w:asciiTheme="minorHAnsi" w:hAnsiTheme="minorHAnsi" w:cstheme="minorHAnsi"/>
                <w:lang w:val="bg-BG"/>
              </w:rPr>
              <w:t>•</w:t>
            </w:r>
            <w:r w:rsidRPr="00354CE4">
              <w:rPr>
                <w:rFonts w:asciiTheme="minorHAnsi" w:hAnsiTheme="minorHAnsi" w:cstheme="minorHAnsi"/>
                <w:lang w:val="bg-BG"/>
              </w:rPr>
              <w:tab/>
              <w:t>Оценка на съответствието на целите (SMART);</w:t>
            </w:r>
          </w:p>
          <w:p w:rsidR="00D766AC" w:rsidRPr="00354CE4" w:rsidRDefault="00D766AC" w:rsidP="005F67F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bg-BG"/>
              </w:rPr>
            </w:pPr>
            <w:r w:rsidRPr="00354CE4">
              <w:rPr>
                <w:rFonts w:asciiTheme="minorHAnsi" w:hAnsiTheme="minorHAnsi" w:cstheme="minorHAnsi"/>
                <w:lang w:val="bg-BG"/>
              </w:rPr>
              <w:t>•</w:t>
            </w:r>
            <w:r w:rsidRPr="00354CE4">
              <w:rPr>
                <w:rFonts w:asciiTheme="minorHAnsi" w:hAnsiTheme="minorHAnsi" w:cstheme="minorHAnsi"/>
                <w:lang w:val="bg-BG"/>
              </w:rPr>
              <w:tab/>
              <w:t xml:space="preserve">Финансов и статистически анализ; </w:t>
            </w:r>
          </w:p>
          <w:p w:rsidR="00D766AC" w:rsidRPr="00354CE4" w:rsidRDefault="00D766AC" w:rsidP="005F67F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bg-BG"/>
              </w:rPr>
            </w:pPr>
            <w:r w:rsidRPr="00354CE4">
              <w:rPr>
                <w:rFonts w:asciiTheme="minorHAnsi" w:hAnsiTheme="minorHAnsi" w:cstheme="minorHAnsi"/>
                <w:lang w:val="bg-BG"/>
              </w:rPr>
              <w:t>•</w:t>
            </w:r>
            <w:r w:rsidRPr="00354CE4">
              <w:rPr>
                <w:rFonts w:asciiTheme="minorHAnsi" w:hAnsiTheme="minorHAnsi" w:cstheme="minorHAnsi"/>
                <w:lang w:val="bg-BG"/>
              </w:rPr>
              <w:tab/>
              <w:t>Логически модели и казуси;</w:t>
            </w:r>
          </w:p>
          <w:p w:rsidR="00D766AC" w:rsidRPr="00354CE4" w:rsidRDefault="00D766AC" w:rsidP="005F67F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bg-BG"/>
              </w:rPr>
            </w:pPr>
            <w:r w:rsidRPr="00354CE4">
              <w:rPr>
                <w:rFonts w:asciiTheme="minorHAnsi" w:hAnsiTheme="minorHAnsi" w:cstheme="minorHAnsi"/>
                <w:lang w:val="bg-BG"/>
              </w:rPr>
              <w:t>•</w:t>
            </w:r>
            <w:r w:rsidRPr="00354CE4">
              <w:rPr>
                <w:rFonts w:asciiTheme="minorHAnsi" w:hAnsiTheme="minorHAnsi" w:cstheme="minorHAnsi"/>
                <w:lang w:val="bg-BG"/>
              </w:rPr>
              <w:tab/>
              <w:t>Оценка на процесите и изпълнението;</w:t>
            </w:r>
          </w:p>
          <w:p w:rsidR="00F55010" w:rsidRPr="00354CE4" w:rsidRDefault="00D766AC" w:rsidP="005F67F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bg-BG"/>
              </w:rPr>
            </w:pPr>
            <w:r w:rsidRPr="00354CE4">
              <w:rPr>
                <w:rFonts w:asciiTheme="minorHAnsi" w:hAnsiTheme="minorHAnsi" w:cstheme="minorHAnsi"/>
                <w:lang w:val="bg-BG"/>
              </w:rPr>
              <w:t>•</w:t>
            </w:r>
            <w:r w:rsidRPr="00354CE4">
              <w:rPr>
                <w:rFonts w:asciiTheme="minorHAnsi" w:hAnsiTheme="minorHAnsi" w:cstheme="minorHAnsi"/>
                <w:lang w:val="bg-BG"/>
              </w:rPr>
              <w:tab/>
              <w:t>Други.</w:t>
            </w:r>
          </w:p>
        </w:tc>
      </w:tr>
    </w:tbl>
    <w:p w:rsidR="00F55010" w:rsidRDefault="00F55010" w:rsidP="005F67FF"/>
    <w:p w:rsidR="0062376D" w:rsidRDefault="00956697" w:rsidP="0062376D">
      <w:pPr>
        <w:pStyle w:val="Heading2"/>
      </w:pPr>
      <w:bookmarkStart w:id="38" w:name="_Toc160622936"/>
      <w:r w:rsidRPr="00956697">
        <w:t>Оценка на рамката на изпълнението</w:t>
      </w:r>
      <w:bookmarkEnd w:id="38"/>
    </w:p>
    <w:tbl>
      <w:tblPr>
        <w:tblStyle w:val="351"/>
        <w:tblW w:w="5000" w:type="pct"/>
        <w:tblLook w:val="04A0" w:firstRow="1" w:lastRow="0" w:firstColumn="1" w:lastColumn="0" w:noHBand="0" w:noVBand="1"/>
      </w:tblPr>
      <w:tblGrid>
        <w:gridCol w:w="1944"/>
        <w:gridCol w:w="7911"/>
      </w:tblGrid>
      <w:tr w:rsidR="0062376D" w:rsidRPr="00354CE4" w:rsidTr="00CD5F79">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935" w:type="pct"/>
          </w:tcPr>
          <w:p w:rsidR="0062376D" w:rsidRPr="00354CE4" w:rsidRDefault="0062376D" w:rsidP="00CD5F79">
            <w:pPr>
              <w:rPr>
                <w:rFonts w:asciiTheme="minorHAnsi" w:hAnsiTheme="minorHAnsi" w:cstheme="minorHAnsi"/>
                <w:lang w:val="bg-BG"/>
              </w:rPr>
            </w:pPr>
            <w:r w:rsidRPr="00354CE4">
              <w:rPr>
                <w:rFonts w:asciiTheme="minorHAnsi" w:hAnsiTheme="minorHAnsi" w:cstheme="minorHAnsi"/>
                <w:lang w:val="bg-BG"/>
              </w:rPr>
              <w:t>Тема на оценката</w:t>
            </w:r>
          </w:p>
        </w:tc>
        <w:tc>
          <w:tcPr>
            <w:tcW w:w="4065" w:type="pct"/>
          </w:tcPr>
          <w:p w:rsidR="0062376D" w:rsidRPr="00354CE4" w:rsidRDefault="00956697" w:rsidP="00CD5F79">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lang w:val="bg-BG"/>
              </w:rPr>
            </w:pPr>
            <w:r w:rsidRPr="00956697">
              <w:rPr>
                <w:rFonts w:asciiTheme="minorHAnsi" w:hAnsiTheme="minorHAnsi" w:cstheme="minorHAnsi"/>
                <w:lang w:val="bg-BG"/>
              </w:rPr>
              <w:t xml:space="preserve">Оценка на рамката на изпълнението </w:t>
            </w:r>
            <w:r w:rsidR="0062376D" w:rsidRPr="00354CE4">
              <w:rPr>
                <w:rFonts w:asciiTheme="minorHAnsi" w:hAnsiTheme="minorHAnsi" w:cstheme="minorHAnsi"/>
                <w:lang w:val="bg-BG"/>
              </w:rPr>
              <w:t>на ПМДРА 20</w:t>
            </w:r>
            <w:r w:rsidR="001D6DAE">
              <w:rPr>
                <w:rFonts w:asciiTheme="minorHAnsi" w:hAnsiTheme="minorHAnsi" w:cstheme="minorHAnsi"/>
                <w:lang w:val="bg-BG"/>
              </w:rPr>
              <w:t>21-</w:t>
            </w:r>
            <w:r w:rsidR="0062376D" w:rsidRPr="00354CE4">
              <w:rPr>
                <w:rFonts w:asciiTheme="minorHAnsi" w:hAnsiTheme="minorHAnsi" w:cstheme="minorHAnsi"/>
                <w:lang w:val="bg-BG"/>
              </w:rPr>
              <w:t>202</w:t>
            </w:r>
            <w:r w:rsidR="001D6DAE">
              <w:rPr>
                <w:rFonts w:asciiTheme="minorHAnsi" w:hAnsiTheme="minorHAnsi" w:cstheme="minorHAnsi"/>
                <w:lang w:val="bg-BG"/>
              </w:rPr>
              <w:t>7</w:t>
            </w:r>
            <w:r w:rsidR="0062376D" w:rsidRPr="00354CE4">
              <w:rPr>
                <w:rFonts w:asciiTheme="minorHAnsi" w:hAnsiTheme="minorHAnsi" w:cstheme="minorHAnsi"/>
                <w:lang w:val="bg-BG"/>
              </w:rPr>
              <w:t xml:space="preserve"> г.</w:t>
            </w:r>
          </w:p>
        </w:tc>
      </w:tr>
      <w:tr w:rsidR="0062376D" w:rsidRPr="00354CE4" w:rsidTr="00CD5F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 w:type="pct"/>
          </w:tcPr>
          <w:p w:rsidR="0062376D" w:rsidRPr="00354CE4" w:rsidRDefault="0062376D" w:rsidP="00CD5F79">
            <w:pPr>
              <w:rPr>
                <w:rFonts w:asciiTheme="minorHAnsi" w:hAnsiTheme="minorHAnsi" w:cstheme="minorHAnsi"/>
                <w:lang w:val="bg-BG"/>
              </w:rPr>
            </w:pPr>
            <w:r w:rsidRPr="00354CE4">
              <w:rPr>
                <w:rFonts w:asciiTheme="minorHAnsi" w:hAnsiTheme="minorHAnsi" w:cstheme="minorHAnsi"/>
                <w:lang w:val="bg-BG"/>
              </w:rPr>
              <w:t>Предмет, обхват, контекст и обосновка на необходимостта от оценката</w:t>
            </w:r>
          </w:p>
        </w:tc>
        <w:tc>
          <w:tcPr>
            <w:tcW w:w="4065" w:type="pct"/>
          </w:tcPr>
          <w:p w:rsidR="0062376D" w:rsidRPr="00956697" w:rsidRDefault="0062376D" w:rsidP="0062376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bg-BG"/>
              </w:rPr>
            </w:pPr>
            <w:r w:rsidRPr="00956697">
              <w:rPr>
                <w:rFonts w:asciiTheme="minorHAnsi" w:hAnsiTheme="minorHAnsi" w:cstheme="minorHAnsi"/>
                <w:lang w:val="bg-BG"/>
              </w:rPr>
              <w:t xml:space="preserve">Прилагането на </w:t>
            </w:r>
            <w:r w:rsidR="00956697" w:rsidRPr="00956697">
              <w:rPr>
                <w:rFonts w:asciiTheme="minorHAnsi" w:hAnsiTheme="minorHAnsi" w:cstheme="minorHAnsi"/>
                <w:lang w:val="bg-BG"/>
              </w:rPr>
              <w:t xml:space="preserve">Оценка на рамката на изпълнението </w:t>
            </w:r>
            <w:r w:rsidRPr="00956697">
              <w:rPr>
                <w:rFonts w:asciiTheme="minorHAnsi" w:hAnsiTheme="minorHAnsi" w:cstheme="minorHAnsi"/>
                <w:lang w:val="bg-BG"/>
              </w:rPr>
              <w:t>осигурява възможност за мониторинг, докладване и оценка на качеството на изпълнението на програмата по времето на изпълнението ѝ и допринася за измерването на общите резултати на фондовете.</w:t>
            </w:r>
          </w:p>
          <w:p w:rsidR="0062376D" w:rsidRPr="00956697" w:rsidRDefault="00956697" w:rsidP="001D6DA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bg-BG"/>
              </w:rPr>
            </w:pPr>
            <w:r w:rsidRPr="00956697">
              <w:rPr>
                <w:rFonts w:asciiTheme="minorHAnsi" w:hAnsiTheme="minorHAnsi" w:cstheme="minorHAnsi"/>
                <w:lang w:val="bg-BG"/>
              </w:rPr>
              <w:t>Оценката на р</w:t>
            </w:r>
            <w:r w:rsidR="0062376D" w:rsidRPr="00956697">
              <w:rPr>
                <w:rFonts w:asciiTheme="minorHAnsi" w:hAnsiTheme="minorHAnsi" w:cstheme="minorHAnsi"/>
                <w:lang w:val="bg-BG"/>
              </w:rPr>
              <w:t>амката на изпълнението обхваща</w:t>
            </w:r>
            <w:r w:rsidRPr="00956697">
              <w:rPr>
                <w:rFonts w:asciiTheme="minorHAnsi" w:hAnsiTheme="minorHAnsi" w:cstheme="minorHAnsi"/>
                <w:lang w:val="bg-BG"/>
              </w:rPr>
              <w:t xml:space="preserve"> проследяване на степента на изпълнение на заложените </w:t>
            </w:r>
            <w:r w:rsidR="0062376D" w:rsidRPr="00956697">
              <w:rPr>
                <w:rFonts w:asciiTheme="minorHAnsi" w:hAnsiTheme="minorHAnsi" w:cstheme="minorHAnsi"/>
                <w:lang w:val="bg-BG"/>
              </w:rPr>
              <w:t xml:space="preserve">показатели за краен продукт и за резултат, свързани със специфичните цели, определени в регламентите за отделните фондове и избрани за </w:t>
            </w:r>
            <w:r w:rsidR="001D6DAE" w:rsidRPr="00956697">
              <w:rPr>
                <w:rFonts w:asciiTheme="minorHAnsi" w:hAnsiTheme="minorHAnsi" w:cstheme="minorHAnsi"/>
                <w:lang w:val="bg-BG"/>
              </w:rPr>
              <w:t>ПМДРА 2021-2027</w:t>
            </w:r>
            <w:r w:rsidRPr="00956697">
              <w:rPr>
                <w:rFonts w:asciiTheme="minorHAnsi" w:hAnsiTheme="minorHAnsi" w:cstheme="minorHAnsi"/>
                <w:lang w:val="bg-BG"/>
              </w:rPr>
              <w:t xml:space="preserve">, както и на степента на постигане на </w:t>
            </w:r>
            <w:r w:rsidR="0062376D" w:rsidRPr="00956697">
              <w:rPr>
                <w:rFonts w:asciiTheme="minorHAnsi" w:hAnsiTheme="minorHAnsi" w:cstheme="minorHAnsi"/>
                <w:lang w:val="bg-BG"/>
              </w:rPr>
              <w:t>междинни цели, които да бъдат постигнати до края на 2024 г., по отношение на показателите за краен продукт и</w:t>
            </w:r>
            <w:r w:rsidRPr="00956697">
              <w:rPr>
                <w:rFonts w:asciiTheme="minorHAnsi" w:hAnsiTheme="minorHAnsi" w:cstheme="minorHAnsi"/>
                <w:lang w:val="bg-BG"/>
              </w:rPr>
              <w:t xml:space="preserve"> </w:t>
            </w:r>
            <w:r w:rsidR="0062376D" w:rsidRPr="00956697">
              <w:rPr>
                <w:rFonts w:asciiTheme="minorHAnsi" w:hAnsiTheme="minorHAnsi" w:cstheme="minorHAnsi"/>
                <w:lang w:val="bg-BG"/>
              </w:rPr>
              <w:t>целеви стойности, които да бъдат постигнати до края на 2029 г., по отношение на показателите за краен продукт и за резултат.</w:t>
            </w:r>
          </w:p>
          <w:p w:rsidR="001D6DAE" w:rsidRPr="00956697" w:rsidRDefault="001D6DAE" w:rsidP="001D6DA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bg-BG"/>
              </w:rPr>
            </w:pPr>
            <w:r w:rsidRPr="00956697">
              <w:rPr>
                <w:rFonts w:asciiTheme="minorHAnsi" w:hAnsiTheme="minorHAnsi" w:cstheme="minorHAnsi"/>
                <w:lang w:val="bg-BG"/>
              </w:rPr>
              <w:t>Оценява се постигането на определените междинни цели и целевите стойности, определени във връзка с всяка специфична цел в ПМДРА, с изключение на техническата помощ и на специфичната цел, насочена към материалните лишения, определена в член 4, параграф 1, буква м) от Регламента за ЕСФ+.</w:t>
            </w:r>
          </w:p>
          <w:p w:rsidR="001D6DAE" w:rsidRPr="00354CE4" w:rsidRDefault="001D6DAE" w:rsidP="001D6DA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bg-BG"/>
              </w:rPr>
            </w:pPr>
            <w:r w:rsidRPr="00956697">
              <w:rPr>
                <w:rFonts w:asciiTheme="minorHAnsi" w:hAnsiTheme="minorHAnsi" w:cstheme="minorHAnsi"/>
                <w:lang w:val="bg-BG"/>
              </w:rPr>
              <w:t>Оценката на постигането на междинните цели и целевите стойности позволяват измерване на напредъка към</w:t>
            </w:r>
            <w:r w:rsidRPr="001D6DAE">
              <w:rPr>
                <w:rFonts w:asciiTheme="minorHAnsi" w:hAnsiTheme="minorHAnsi" w:cstheme="minorHAnsi"/>
              </w:rPr>
              <w:t xml:space="preserve"> постигането на специфичните цели. </w:t>
            </w:r>
          </w:p>
        </w:tc>
      </w:tr>
      <w:tr w:rsidR="0062376D" w:rsidRPr="00354CE4" w:rsidTr="00CD5F79">
        <w:tc>
          <w:tcPr>
            <w:cnfStyle w:val="001000000000" w:firstRow="0" w:lastRow="0" w:firstColumn="1" w:lastColumn="0" w:oddVBand="0" w:evenVBand="0" w:oddHBand="0" w:evenHBand="0" w:firstRowFirstColumn="0" w:firstRowLastColumn="0" w:lastRowFirstColumn="0" w:lastRowLastColumn="0"/>
            <w:tcW w:w="935" w:type="pct"/>
          </w:tcPr>
          <w:p w:rsidR="0062376D" w:rsidRPr="009C57CA" w:rsidRDefault="0062376D" w:rsidP="00CD5F79">
            <w:pPr>
              <w:rPr>
                <w:rFonts w:asciiTheme="minorHAnsi" w:hAnsiTheme="minorHAnsi" w:cstheme="minorHAnsi"/>
                <w:lang w:val="bg-BG"/>
              </w:rPr>
            </w:pPr>
            <w:r w:rsidRPr="009C57CA">
              <w:rPr>
                <w:rFonts w:asciiTheme="minorHAnsi" w:hAnsiTheme="minorHAnsi" w:cstheme="minorHAnsi"/>
                <w:lang w:val="bg-BG"/>
              </w:rPr>
              <w:t xml:space="preserve">Индикативни </w:t>
            </w:r>
            <w:r w:rsidRPr="009C57CA">
              <w:rPr>
                <w:rFonts w:asciiTheme="minorHAnsi" w:hAnsiTheme="minorHAnsi" w:cstheme="minorHAnsi"/>
                <w:lang w:val="bg-BG"/>
              </w:rPr>
              <w:lastRenderedPageBreak/>
              <w:t>дейности</w:t>
            </w:r>
          </w:p>
        </w:tc>
        <w:tc>
          <w:tcPr>
            <w:tcW w:w="4065" w:type="pct"/>
          </w:tcPr>
          <w:p w:rsidR="0062376D" w:rsidRPr="009C57CA" w:rsidRDefault="0062376D" w:rsidP="00CD5F7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bg-BG"/>
              </w:rPr>
            </w:pPr>
            <w:r w:rsidRPr="009C57CA">
              <w:rPr>
                <w:rFonts w:asciiTheme="minorHAnsi" w:hAnsiTheme="minorHAnsi" w:cstheme="minorHAnsi"/>
                <w:lang w:val="bg-BG"/>
              </w:rPr>
              <w:lastRenderedPageBreak/>
              <w:t xml:space="preserve">1. Преглед и анализ на </w:t>
            </w:r>
            <w:r w:rsidR="00956697" w:rsidRPr="009C57CA">
              <w:rPr>
                <w:rFonts w:asciiTheme="minorHAnsi" w:hAnsiTheme="minorHAnsi" w:cstheme="minorHAnsi"/>
                <w:lang w:val="bg-BG"/>
              </w:rPr>
              <w:t xml:space="preserve">степента на изпълнение на заложените показатели за краен продукт и за резултат, свързани със специфичните цели на </w:t>
            </w:r>
            <w:r w:rsidR="00956697" w:rsidRPr="009C57CA">
              <w:rPr>
                <w:rFonts w:asciiTheme="minorHAnsi" w:hAnsiTheme="minorHAnsi" w:cstheme="minorHAnsi"/>
                <w:lang w:val="bg-BG"/>
              </w:rPr>
              <w:lastRenderedPageBreak/>
              <w:t>ПМДРА 2021-2027 и степента на постигане на междинни цели, до края на 2024 г. и края на 20</w:t>
            </w:r>
            <w:r w:rsidR="00151E6F">
              <w:rPr>
                <w:rFonts w:asciiTheme="minorHAnsi" w:hAnsiTheme="minorHAnsi" w:cstheme="minorHAnsi"/>
                <w:lang w:val="bg-BG"/>
              </w:rPr>
              <w:t>2</w:t>
            </w:r>
            <w:r w:rsidR="00956697" w:rsidRPr="009C57CA">
              <w:rPr>
                <w:rFonts w:asciiTheme="minorHAnsi" w:hAnsiTheme="minorHAnsi" w:cstheme="minorHAnsi"/>
                <w:lang w:val="bg-BG"/>
              </w:rPr>
              <w:t>9 г.</w:t>
            </w:r>
          </w:p>
          <w:p w:rsidR="0062376D" w:rsidRPr="009C57CA" w:rsidRDefault="0062376D" w:rsidP="00CD5F7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bg-BG"/>
              </w:rPr>
            </w:pPr>
            <w:r w:rsidRPr="009C57CA">
              <w:rPr>
                <w:rFonts w:asciiTheme="minorHAnsi" w:hAnsiTheme="minorHAnsi" w:cstheme="minorHAnsi"/>
                <w:lang w:val="bg-BG"/>
              </w:rPr>
              <w:t xml:space="preserve">2. Анализ и оценка на </w:t>
            </w:r>
            <w:r w:rsidR="00956697" w:rsidRPr="009C57CA">
              <w:rPr>
                <w:rFonts w:asciiTheme="minorHAnsi" w:hAnsiTheme="minorHAnsi" w:cstheme="minorHAnsi"/>
                <w:lang w:val="bg-BG"/>
              </w:rPr>
              <w:t xml:space="preserve">необходимост и възможности за </w:t>
            </w:r>
            <w:r w:rsidRPr="009C57CA">
              <w:rPr>
                <w:rFonts w:asciiTheme="minorHAnsi" w:hAnsiTheme="minorHAnsi" w:cstheme="minorHAnsi"/>
                <w:lang w:val="bg-BG"/>
              </w:rPr>
              <w:t>потенциални промени в идентифицираните нужди на целевите групи и съответствието им с подкрепата, предоставяна посредством финансовите инструменти по ПМДРА 2021-2027 г.</w:t>
            </w:r>
          </w:p>
        </w:tc>
      </w:tr>
      <w:tr w:rsidR="0062376D" w:rsidRPr="00354CE4" w:rsidTr="00CD5F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 w:type="pct"/>
          </w:tcPr>
          <w:p w:rsidR="0062376D" w:rsidRPr="00354CE4" w:rsidRDefault="0062376D" w:rsidP="00CD5F79">
            <w:pPr>
              <w:rPr>
                <w:rFonts w:asciiTheme="minorHAnsi" w:hAnsiTheme="minorHAnsi" w:cstheme="minorHAnsi"/>
                <w:lang w:val="bg-BG"/>
              </w:rPr>
            </w:pPr>
            <w:r w:rsidRPr="00354CE4">
              <w:rPr>
                <w:rFonts w:asciiTheme="minorHAnsi" w:hAnsiTheme="minorHAnsi" w:cstheme="minorHAnsi"/>
                <w:lang w:val="bg-BG"/>
              </w:rPr>
              <w:lastRenderedPageBreak/>
              <w:t>Приложим подход</w:t>
            </w:r>
          </w:p>
        </w:tc>
        <w:tc>
          <w:tcPr>
            <w:tcW w:w="4065" w:type="pct"/>
          </w:tcPr>
          <w:p w:rsidR="009C57CA" w:rsidRPr="009C57CA" w:rsidRDefault="009C57CA" w:rsidP="009C57C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C57CA">
              <w:rPr>
                <w:rFonts w:asciiTheme="minorHAnsi" w:hAnsiTheme="minorHAnsi" w:cstheme="minorHAnsi"/>
              </w:rPr>
              <w:t>Оценка на състоянието, базирана на теорията</w:t>
            </w:r>
          </w:p>
          <w:p w:rsidR="0062376D" w:rsidRPr="001D6DAE" w:rsidRDefault="009C57CA" w:rsidP="009C57C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highlight w:val="yellow"/>
                <w:lang w:val="bg-BG"/>
              </w:rPr>
            </w:pPr>
            <w:r w:rsidRPr="009C57CA">
              <w:rPr>
                <w:rFonts w:asciiTheme="minorHAnsi" w:hAnsiTheme="minorHAnsi" w:cstheme="minorHAnsi"/>
              </w:rPr>
              <w:t>Оценка на процесите и изпълнението</w:t>
            </w:r>
          </w:p>
        </w:tc>
      </w:tr>
      <w:tr w:rsidR="0062376D" w:rsidRPr="00354CE4" w:rsidTr="00CD5F79">
        <w:tc>
          <w:tcPr>
            <w:cnfStyle w:val="001000000000" w:firstRow="0" w:lastRow="0" w:firstColumn="1" w:lastColumn="0" w:oddVBand="0" w:evenVBand="0" w:oddHBand="0" w:evenHBand="0" w:firstRowFirstColumn="0" w:firstRowLastColumn="0" w:lastRowFirstColumn="0" w:lastRowLastColumn="0"/>
            <w:tcW w:w="935" w:type="pct"/>
          </w:tcPr>
          <w:p w:rsidR="0062376D" w:rsidRPr="00354CE4" w:rsidRDefault="0062376D" w:rsidP="00CD5F79">
            <w:pPr>
              <w:rPr>
                <w:rFonts w:asciiTheme="minorHAnsi" w:hAnsiTheme="minorHAnsi" w:cstheme="minorHAnsi"/>
                <w:lang w:val="bg-BG"/>
              </w:rPr>
            </w:pPr>
            <w:r w:rsidRPr="00354CE4">
              <w:rPr>
                <w:rFonts w:asciiTheme="minorHAnsi" w:hAnsiTheme="minorHAnsi" w:cstheme="minorHAnsi"/>
                <w:lang w:val="bg-BG"/>
              </w:rPr>
              <w:t>Основни въпроси за оценка</w:t>
            </w:r>
          </w:p>
        </w:tc>
        <w:tc>
          <w:tcPr>
            <w:tcW w:w="4065" w:type="pct"/>
          </w:tcPr>
          <w:p w:rsidR="0062376D" w:rsidRPr="009C57CA" w:rsidRDefault="0062376D" w:rsidP="00CD5F7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bg-BG"/>
              </w:rPr>
            </w:pPr>
            <w:r w:rsidRPr="009C57CA">
              <w:rPr>
                <w:rFonts w:asciiTheme="minorHAnsi" w:hAnsiTheme="minorHAnsi" w:cstheme="minorHAnsi"/>
                <w:lang w:val="bg-BG"/>
              </w:rPr>
              <w:t>Оценката ще изследва, но няма да се ограничава до, следните основни въпроси:</w:t>
            </w:r>
          </w:p>
          <w:p w:rsidR="0062376D" w:rsidRPr="009C57CA" w:rsidRDefault="009C57CA" w:rsidP="00CD5F7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bg-BG"/>
              </w:rPr>
            </w:pPr>
            <w:r w:rsidRPr="009C57CA">
              <w:rPr>
                <w:rFonts w:asciiTheme="minorHAnsi" w:hAnsiTheme="minorHAnsi" w:cstheme="minorHAnsi"/>
                <w:lang w:val="bg-BG"/>
              </w:rPr>
              <w:t>Степен на изпълнение на заложените показатели за краен продукт и за резултат, свързани със специфичните цели на ПМДРА 2021-2027</w:t>
            </w:r>
          </w:p>
          <w:p w:rsidR="0062376D" w:rsidRPr="001D6DAE" w:rsidRDefault="009C57CA" w:rsidP="00CD5F7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highlight w:val="yellow"/>
                <w:lang w:val="bg-BG"/>
              </w:rPr>
            </w:pPr>
            <w:r w:rsidRPr="009C57CA">
              <w:rPr>
                <w:rFonts w:asciiTheme="minorHAnsi" w:hAnsiTheme="minorHAnsi" w:cstheme="minorHAnsi"/>
                <w:lang w:val="bg-BG"/>
              </w:rPr>
              <w:t>Степен на постигане на междинни цели, до края на 2024 г. и края на 2009 г.</w:t>
            </w:r>
          </w:p>
        </w:tc>
      </w:tr>
      <w:tr w:rsidR="0062376D" w:rsidRPr="00354CE4" w:rsidTr="00CD5F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 w:type="pct"/>
          </w:tcPr>
          <w:p w:rsidR="0062376D" w:rsidRPr="00354CE4" w:rsidRDefault="0062376D" w:rsidP="00CD5F79">
            <w:pPr>
              <w:rPr>
                <w:rFonts w:asciiTheme="minorHAnsi" w:hAnsiTheme="minorHAnsi" w:cstheme="minorHAnsi"/>
                <w:lang w:val="bg-BG"/>
              </w:rPr>
            </w:pPr>
            <w:r w:rsidRPr="00354CE4">
              <w:rPr>
                <w:rFonts w:asciiTheme="minorHAnsi" w:hAnsiTheme="minorHAnsi" w:cstheme="minorHAnsi"/>
                <w:lang w:val="bg-BG"/>
              </w:rPr>
              <w:t>Инструменти за набиране на информация и методи за извършване на оценката и изисквания по отношение на необходимите данни</w:t>
            </w:r>
          </w:p>
        </w:tc>
        <w:tc>
          <w:tcPr>
            <w:tcW w:w="4065" w:type="pct"/>
          </w:tcPr>
          <w:p w:rsidR="009C57CA" w:rsidRPr="00354CE4" w:rsidRDefault="009C57CA" w:rsidP="009C57CA">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bg-BG"/>
              </w:rPr>
            </w:pPr>
            <w:r w:rsidRPr="00354CE4">
              <w:rPr>
                <w:rFonts w:asciiTheme="majorHAnsi" w:hAnsiTheme="majorHAnsi" w:cstheme="majorHAnsi"/>
                <w:lang w:val="bg-BG"/>
              </w:rPr>
              <w:t>Необходимият индикативен минимум, който методиката трябва да включва е:</w:t>
            </w:r>
          </w:p>
          <w:p w:rsidR="009C57CA" w:rsidRPr="00354CE4" w:rsidRDefault="009C57CA" w:rsidP="009C57CA">
            <w:pPr>
              <w:pStyle w:val="ListParagraph"/>
              <w:numPr>
                <w:ilvl w:val="0"/>
                <w:numId w:val="27"/>
              </w:num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bg-BG"/>
              </w:rPr>
            </w:pPr>
            <w:r w:rsidRPr="00354CE4">
              <w:rPr>
                <w:rFonts w:asciiTheme="majorHAnsi" w:hAnsiTheme="majorHAnsi" w:cstheme="majorHAnsi"/>
                <w:lang w:val="bg-BG"/>
              </w:rPr>
              <w:t xml:space="preserve">кабинетно проучване - преглед и анализ на документи, проучване на конкретни случаи (case study); </w:t>
            </w:r>
          </w:p>
          <w:p w:rsidR="009C57CA" w:rsidRPr="00354CE4" w:rsidRDefault="009C57CA" w:rsidP="009C57CA">
            <w:pPr>
              <w:pStyle w:val="ListParagraph"/>
              <w:numPr>
                <w:ilvl w:val="0"/>
                <w:numId w:val="27"/>
              </w:num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bg-BG"/>
              </w:rPr>
            </w:pPr>
            <w:r w:rsidRPr="00354CE4">
              <w:rPr>
                <w:rFonts w:asciiTheme="majorHAnsi" w:hAnsiTheme="majorHAnsi" w:cstheme="majorHAnsi"/>
                <w:lang w:val="bg-BG"/>
              </w:rPr>
              <w:t xml:space="preserve">събиране и обработка на първична и вторична информация - количествени и качествени методи; </w:t>
            </w:r>
          </w:p>
          <w:p w:rsidR="0062376D" w:rsidRPr="001D6DAE" w:rsidRDefault="0062376D" w:rsidP="00CD5F7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highlight w:val="yellow"/>
                <w:lang w:val="bg-BG"/>
              </w:rPr>
            </w:pPr>
          </w:p>
        </w:tc>
      </w:tr>
    </w:tbl>
    <w:p w:rsidR="0062376D" w:rsidRDefault="0062376D" w:rsidP="0062376D"/>
    <w:p w:rsidR="00C421E3" w:rsidRPr="00354CE4" w:rsidRDefault="00C421E3" w:rsidP="005F67FF">
      <w:pPr>
        <w:pStyle w:val="Heading2"/>
      </w:pPr>
      <w:bookmarkStart w:id="39" w:name="_Toc153543121"/>
      <w:bookmarkStart w:id="40" w:name="_Toc160622937"/>
      <w:r w:rsidRPr="00354CE4">
        <w:t>Тематична оценка на по приоритети на ефективността на подкрепата за иновации, устойчивост, дигитализация, енергийна ефективност, декарбонизация и диверсификация в рамките на дейностите по програмата ПМДРА 2021-2027 г.</w:t>
      </w:r>
      <w:bookmarkEnd w:id="39"/>
      <w:bookmarkEnd w:id="40"/>
    </w:p>
    <w:tbl>
      <w:tblPr>
        <w:tblStyle w:val="351"/>
        <w:tblW w:w="5000" w:type="pct"/>
        <w:tblLook w:val="04A0" w:firstRow="1" w:lastRow="0" w:firstColumn="1" w:lastColumn="0" w:noHBand="0" w:noVBand="1"/>
      </w:tblPr>
      <w:tblGrid>
        <w:gridCol w:w="1851"/>
        <w:gridCol w:w="8004"/>
      </w:tblGrid>
      <w:tr w:rsidR="00D766AC" w:rsidRPr="00354CE4" w:rsidTr="004B0EC8">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935" w:type="pct"/>
          </w:tcPr>
          <w:p w:rsidR="00D766AC" w:rsidRPr="00354CE4" w:rsidRDefault="00D766AC" w:rsidP="005F67FF">
            <w:pPr>
              <w:rPr>
                <w:rFonts w:asciiTheme="majorHAnsi" w:hAnsiTheme="majorHAnsi" w:cstheme="majorHAnsi"/>
                <w:lang w:val="bg-BG"/>
              </w:rPr>
            </w:pPr>
            <w:r w:rsidRPr="00354CE4">
              <w:rPr>
                <w:rFonts w:asciiTheme="majorHAnsi" w:hAnsiTheme="majorHAnsi" w:cstheme="majorHAnsi"/>
                <w:lang w:val="bg-BG"/>
              </w:rPr>
              <w:t>Тема на оценката</w:t>
            </w:r>
          </w:p>
        </w:tc>
        <w:tc>
          <w:tcPr>
            <w:tcW w:w="4065" w:type="pct"/>
          </w:tcPr>
          <w:p w:rsidR="00D766AC" w:rsidRPr="00354CE4" w:rsidRDefault="00193987" w:rsidP="005F67FF">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lang w:val="bg-BG"/>
              </w:rPr>
            </w:pPr>
            <w:r w:rsidRPr="00354CE4">
              <w:rPr>
                <w:rFonts w:asciiTheme="majorHAnsi" w:hAnsiTheme="majorHAnsi" w:cstheme="majorHAnsi"/>
                <w:lang w:val="bg-BG"/>
              </w:rPr>
              <w:t>Тематична оценка на по приоритети на ефективността на подкрепата за иновации, устойчивост, дигитализация, енергийна ефективност, декарбонизация и диверсификация в рамките на дейностите по програмата ПМДРА 2021-2027 г.</w:t>
            </w:r>
          </w:p>
        </w:tc>
      </w:tr>
      <w:tr w:rsidR="00D766AC" w:rsidRPr="00354CE4" w:rsidTr="004B0E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 w:type="pct"/>
          </w:tcPr>
          <w:p w:rsidR="00D766AC" w:rsidRPr="00354CE4" w:rsidRDefault="00D766AC" w:rsidP="005F67FF">
            <w:pPr>
              <w:rPr>
                <w:rFonts w:asciiTheme="majorHAnsi" w:hAnsiTheme="majorHAnsi" w:cstheme="majorHAnsi"/>
                <w:lang w:val="bg-BG"/>
              </w:rPr>
            </w:pPr>
            <w:r w:rsidRPr="00354CE4">
              <w:rPr>
                <w:rFonts w:asciiTheme="majorHAnsi" w:hAnsiTheme="majorHAnsi" w:cstheme="majorHAnsi"/>
                <w:lang w:val="bg-BG"/>
              </w:rPr>
              <w:t>Предмет, обхват, контекст и обосновка на необходимостта от оценката</w:t>
            </w:r>
          </w:p>
        </w:tc>
        <w:tc>
          <w:tcPr>
            <w:tcW w:w="4065" w:type="pct"/>
          </w:tcPr>
          <w:p w:rsidR="00193987" w:rsidRPr="00354CE4" w:rsidRDefault="00D766AC" w:rsidP="005F67FF">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bg-BG"/>
              </w:rPr>
            </w:pPr>
            <w:r w:rsidRPr="00354CE4">
              <w:rPr>
                <w:rFonts w:asciiTheme="majorHAnsi" w:hAnsiTheme="majorHAnsi" w:cstheme="majorHAnsi"/>
                <w:lang w:val="bg-BG"/>
              </w:rPr>
              <w:t xml:space="preserve">Предметът на оценката е </w:t>
            </w:r>
            <w:r w:rsidR="00193987" w:rsidRPr="00354CE4">
              <w:rPr>
                <w:rFonts w:asciiTheme="majorHAnsi" w:hAnsiTheme="majorHAnsi" w:cstheme="majorHAnsi"/>
                <w:lang w:val="bg-BG"/>
              </w:rPr>
              <w:t>анализ на изпълнението и постигане</w:t>
            </w:r>
            <w:r w:rsidR="00F861E6" w:rsidRPr="00354CE4">
              <w:rPr>
                <w:rFonts w:asciiTheme="majorHAnsi" w:hAnsiTheme="majorHAnsi" w:cstheme="majorHAnsi"/>
                <w:lang w:val="bg-BG"/>
              </w:rPr>
              <w:t>то на целите</w:t>
            </w:r>
            <w:r w:rsidR="00193987" w:rsidRPr="00354CE4">
              <w:rPr>
                <w:rFonts w:asciiTheme="majorHAnsi" w:hAnsiTheme="majorHAnsi" w:cstheme="majorHAnsi"/>
                <w:lang w:val="bg-BG"/>
              </w:rPr>
              <w:t xml:space="preserve"> на специфични приоритети на политиката, вкл. иновации, устойчивост, </w:t>
            </w:r>
            <w:r w:rsidR="00DE54FE" w:rsidRPr="00354CE4">
              <w:rPr>
                <w:rFonts w:asciiTheme="majorHAnsi" w:hAnsiTheme="majorHAnsi" w:cstheme="majorHAnsi"/>
                <w:lang w:val="bg-BG"/>
              </w:rPr>
              <w:t>цифровизация</w:t>
            </w:r>
            <w:r w:rsidR="00193987" w:rsidRPr="00354CE4">
              <w:rPr>
                <w:rFonts w:asciiTheme="majorHAnsi" w:hAnsiTheme="majorHAnsi" w:cstheme="majorHAnsi"/>
                <w:lang w:val="bg-BG"/>
              </w:rPr>
              <w:t xml:space="preserve">, енергийна ефективност, декарбонизация и диверсификация за всеки приоритет на </w:t>
            </w:r>
            <w:r w:rsidR="00CC5F8E" w:rsidRPr="00354CE4">
              <w:rPr>
                <w:rFonts w:asciiTheme="majorHAnsi" w:hAnsiTheme="majorHAnsi" w:cstheme="majorHAnsi"/>
                <w:lang w:val="bg-BG"/>
              </w:rPr>
              <w:t xml:space="preserve">ПМДРА </w:t>
            </w:r>
            <w:r w:rsidR="00193987" w:rsidRPr="00354CE4">
              <w:rPr>
                <w:rFonts w:asciiTheme="majorHAnsi" w:hAnsiTheme="majorHAnsi" w:cstheme="majorHAnsi"/>
                <w:lang w:val="bg-BG"/>
              </w:rPr>
              <w:t>2021-2027 г.</w:t>
            </w:r>
            <w:r w:rsidR="00713683" w:rsidRPr="00354CE4">
              <w:rPr>
                <w:rFonts w:asciiTheme="majorHAnsi" w:hAnsiTheme="majorHAnsi" w:cstheme="majorHAnsi"/>
                <w:lang w:val="bg-BG"/>
              </w:rPr>
              <w:t xml:space="preserve"> в съответствие на целите по стратегиите на Съюза за Европейски зелен пакт, стратегии за Зелен преход, Дигитален преход, добавена стойност на публичните инвестиции, „От фермата до трапезата“, Син растеж, Стратегия за биологично разнообразие и др.</w:t>
            </w:r>
          </w:p>
          <w:p w:rsidR="00193987" w:rsidRPr="00354CE4" w:rsidRDefault="00193987" w:rsidP="005F67FF">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bg-BG"/>
              </w:rPr>
            </w:pPr>
            <w:r w:rsidRPr="00354CE4">
              <w:rPr>
                <w:rFonts w:asciiTheme="majorHAnsi" w:hAnsiTheme="majorHAnsi" w:cstheme="majorHAnsi"/>
                <w:lang w:val="bg-BG"/>
              </w:rPr>
              <w:t xml:space="preserve">Необходимостта от оценката е обоснована с изводите и заключенията от </w:t>
            </w:r>
            <w:r w:rsidRPr="00354CE4">
              <w:rPr>
                <w:rFonts w:asciiTheme="majorHAnsi" w:hAnsiTheme="majorHAnsi" w:cstheme="majorHAnsi"/>
                <w:lang w:val="bg-BG"/>
              </w:rPr>
              <w:lastRenderedPageBreak/>
              <w:t xml:space="preserve">изготвените междинни оценки на изпълнението на </w:t>
            </w:r>
            <w:r w:rsidR="00CC5F8E" w:rsidRPr="00354CE4">
              <w:rPr>
                <w:rFonts w:asciiTheme="majorHAnsi" w:hAnsiTheme="majorHAnsi" w:cstheme="majorHAnsi"/>
                <w:lang w:val="bg-BG"/>
              </w:rPr>
              <w:t xml:space="preserve">ПМДРА </w:t>
            </w:r>
            <w:r w:rsidRPr="00354CE4">
              <w:rPr>
                <w:rFonts w:asciiTheme="majorHAnsi" w:hAnsiTheme="majorHAnsi" w:cstheme="majorHAnsi"/>
                <w:lang w:val="bg-BG"/>
              </w:rPr>
              <w:t xml:space="preserve">2014-2020, както и на аналитичните доклади за подготовката на Програмата за настоящия планов период, съгласно които е налице неустойчив интерес към прилагане на инструменти, подкрепящи постигането на съответните приоритети на политиката. </w:t>
            </w:r>
          </w:p>
          <w:p w:rsidR="00D766AC" w:rsidRPr="00354CE4" w:rsidRDefault="00D766AC" w:rsidP="005F67FF">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bg-BG"/>
              </w:rPr>
            </w:pPr>
            <w:r w:rsidRPr="00354CE4">
              <w:rPr>
                <w:rFonts w:asciiTheme="majorHAnsi" w:hAnsiTheme="majorHAnsi" w:cstheme="majorHAnsi"/>
                <w:lang w:val="bg-BG"/>
              </w:rPr>
              <w:t>Основната цел на оценката е да осигури навременна информация за УО, както и на всички заинтересовани страни</w:t>
            </w:r>
            <w:r w:rsidR="00F861E6" w:rsidRPr="00354CE4">
              <w:rPr>
                <w:rFonts w:asciiTheme="majorHAnsi" w:hAnsiTheme="majorHAnsi" w:cstheme="majorHAnsi"/>
                <w:lang w:val="bg-BG"/>
              </w:rPr>
              <w:t>,</w:t>
            </w:r>
            <w:r w:rsidRPr="00354CE4">
              <w:rPr>
                <w:rFonts w:asciiTheme="majorHAnsi" w:hAnsiTheme="majorHAnsi" w:cstheme="majorHAnsi"/>
                <w:lang w:val="bg-BG"/>
              </w:rPr>
              <w:t xml:space="preserve"> относно </w:t>
            </w:r>
            <w:r w:rsidR="00596508" w:rsidRPr="00354CE4">
              <w:rPr>
                <w:rFonts w:asciiTheme="majorHAnsi" w:hAnsiTheme="majorHAnsi" w:cstheme="majorHAnsi"/>
                <w:lang w:val="bg-BG"/>
              </w:rPr>
              <w:t>ефективността</w:t>
            </w:r>
            <w:r w:rsidR="00193987" w:rsidRPr="00354CE4">
              <w:rPr>
                <w:rFonts w:asciiTheme="majorHAnsi" w:hAnsiTheme="majorHAnsi" w:cstheme="majorHAnsi"/>
                <w:lang w:val="bg-BG"/>
              </w:rPr>
              <w:t xml:space="preserve"> на дейностите, подкрепящи тематичните области, наличие на ограничения</w:t>
            </w:r>
            <w:r w:rsidR="00596508" w:rsidRPr="00354CE4">
              <w:rPr>
                <w:rFonts w:asciiTheme="majorHAnsi" w:hAnsiTheme="majorHAnsi" w:cstheme="majorHAnsi"/>
                <w:lang w:val="bg-BG"/>
              </w:rPr>
              <w:t xml:space="preserve"> и нужди, които следва да бъдат отразени </w:t>
            </w:r>
            <w:r w:rsidR="00B263FE" w:rsidRPr="00354CE4">
              <w:rPr>
                <w:rFonts w:asciiTheme="majorHAnsi" w:hAnsiTheme="majorHAnsi" w:cstheme="majorHAnsi"/>
                <w:lang w:val="bg-BG"/>
              </w:rPr>
              <w:t>в бъдеще и фактори за успех, които да бъдат отчетени и подкрепени в следващи етапи на програмиране</w:t>
            </w:r>
            <w:r w:rsidR="00596508" w:rsidRPr="00354CE4">
              <w:rPr>
                <w:rFonts w:asciiTheme="majorHAnsi" w:hAnsiTheme="majorHAnsi" w:cstheme="majorHAnsi"/>
                <w:lang w:val="bg-BG"/>
              </w:rPr>
              <w:t>.</w:t>
            </w:r>
          </w:p>
        </w:tc>
      </w:tr>
      <w:tr w:rsidR="00D766AC" w:rsidRPr="00354CE4" w:rsidTr="004B0EC8">
        <w:tc>
          <w:tcPr>
            <w:cnfStyle w:val="001000000000" w:firstRow="0" w:lastRow="0" w:firstColumn="1" w:lastColumn="0" w:oddVBand="0" w:evenVBand="0" w:oddHBand="0" w:evenHBand="0" w:firstRowFirstColumn="0" w:firstRowLastColumn="0" w:lastRowFirstColumn="0" w:lastRowLastColumn="0"/>
            <w:tcW w:w="935" w:type="pct"/>
          </w:tcPr>
          <w:p w:rsidR="00D766AC" w:rsidRPr="00354CE4" w:rsidRDefault="00D766AC" w:rsidP="005F67FF">
            <w:pPr>
              <w:rPr>
                <w:rFonts w:asciiTheme="majorHAnsi" w:hAnsiTheme="majorHAnsi" w:cstheme="majorHAnsi"/>
                <w:lang w:val="bg-BG"/>
              </w:rPr>
            </w:pPr>
            <w:r w:rsidRPr="00354CE4">
              <w:rPr>
                <w:rFonts w:asciiTheme="majorHAnsi" w:hAnsiTheme="majorHAnsi" w:cstheme="majorHAnsi"/>
                <w:lang w:val="bg-BG"/>
              </w:rPr>
              <w:lastRenderedPageBreak/>
              <w:t>Индикативни дейности</w:t>
            </w:r>
          </w:p>
        </w:tc>
        <w:tc>
          <w:tcPr>
            <w:tcW w:w="4065" w:type="pct"/>
          </w:tcPr>
          <w:p w:rsidR="00D766AC" w:rsidRPr="00354CE4" w:rsidRDefault="00596508" w:rsidP="005F67FF">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bg-BG"/>
              </w:rPr>
            </w:pPr>
            <w:r w:rsidRPr="00354CE4">
              <w:rPr>
                <w:rFonts w:asciiTheme="majorHAnsi" w:hAnsiTheme="majorHAnsi" w:cstheme="majorHAnsi"/>
                <w:lang w:val="bg-BG"/>
              </w:rPr>
              <w:t xml:space="preserve">Тематичната оценка следва да обхване и оцени постигнатите към момента на провеждането </w:t>
            </w:r>
            <w:r w:rsidR="00F861E6" w:rsidRPr="00354CE4">
              <w:rPr>
                <w:rFonts w:asciiTheme="majorHAnsi" w:hAnsiTheme="majorHAnsi" w:cstheme="majorHAnsi"/>
                <w:lang w:val="bg-BG"/>
              </w:rPr>
              <w:t xml:space="preserve">ѝ </w:t>
            </w:r>
            <w:r w:rsidRPr="00354CE4">
              <w:rPr>
                <w:rFonts w:asciiTheme="majorHAnsi" w:hAnsiTheme="majorHAnsi" w:cstheme="majorHAnsi"/>
                <w:lang w:val="bg-BG"/>
              </w:rPr>
              <w:t xml:space="preserve">резултати от Програмата по отношение на тематичния принос към съответните приоритети на политиката. </w:t>
            </w:r>
          </w:p>
          <w:p w:rsidR="00596508" w:rsidRPr="00354CE4" w:rsidRDefault="00596508" w:rsidP="005F67FF">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bg-BG"/>
              </w:rPr>
            </w:pPr>
            <w:r w:rsidRPr="00354CE4">
              <w:rPr>
                <w:rFonts w:asciiTheme="majorHAnsi" w:hAnsiTheme="majorHAnsi" w:cstheme="majorHAnsi"/>
                <w:lang w:val="bg-BG"/>
              </w:rPr>
              <w:t>Оценяването следва да проучи конкретните интервенции/ дейности</w:t>
            </w:r>
            <w:r w:rsidR="00F861E6" w:rsidRPr="00354CE4">
              <w:rPr>
                <w:rFonts w:asciiTheme="majorHAnsi" w:hAnsiTheme="majorHAnsi" w:cstheme="majorHAnsi"/>
                <w:lang w:val="bg-BG"/>
              </w:rPr>
              <w:t>,</w:t>
            </w:r>
            <w:r w:rsidR="00B263FE" w:rsidRPr="00354CE4">
              <w:rPr>
                <w:rFonts w:asciiTheme="majorHAnsi" w:hAnsiTheme="majorHAnsi" w:cstheme="majorHAnsi"/>
                <w:lang w:val="bg-BG"/>
              </w:rPr>
              <w:t xml:space="preserve"> допринасящи или ограничаващи постигането на съществен тематичен принос, както и наличие на ограничения и нужди, които следва да бъдат отразени в бъдеще и фактори за успех, които да бъдат отчетени и подкрепени в следващи етапи на програмиране.</w:t>
            </w:r>
          </w:p>
        </w:tc>
      </w:tr>
      <w:tr w:rsidR="00D766AC" w:rsidRPr="00354CE4" w:rsidTr="004B0E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 w:type="pct"/>
          </w:tcPr>
          <w:p w:rsidR="00D766AC" w:rsidRPr="00354CE4" w:rsidRDefault="00D766AC" w:rsidP="005F67FF">
            <w:pPr>
              <w:rPr>
                <w:rFonts w:asciiTheme="majorHAnsi" w:hAnsiTheme="majorHAnsi" w:cstheme="majorHAnsi"/>
                <w:lang w:val="bg-BG"/>
              </w:rPr>
            </w:pPr>
            <w:r w:rsidRPr="00354CE4">
              <w:rPr>
                <w:rFonts w:asciiTheme="majorHAnsi" w:hAnsiTheme="majorHAnsi" w:cstheme="majorHAnsi"/>
                <w:lang w:val="bg-BG"/>
              </w:rPr>
              <w:t>Приложим подход</w:t>
            </w:r>
          </w:p>
        </w:tc>
        <w:tc>
          <w:tcPr>
            <w:tcW w:w="4065" w:type="pct"/>
          </w:tcPr>
          <w:p w:rsidR="003D3FF4" w:rsidRPr="00354CE4" w:rsidRDefault="003D3FF4" w:rsidP="005F67FF">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bg-BG"/>
              </w:rPr>
            </w:pPr>
            <w:r w:rsidRPr="00354CE4">
              <w:rPr>
                <w:rFonts w:asciiTheme="majorHAnsi" w:hAnsiTheme="majorHAnsi" w:cstheme="majorHAnsi"/>
                <w:lang w:val="bg-BG"/>
              </w:rPr>
              <w:t>Оценка на състоянието, базирана на теорията</w:t>
            </w:r>
          </w:p>
          <w:p w:rsidR="00D766AC" w:rsidRPr="00354CE4" w:rsidRDefault="003D3FF4" w:rsidP="005F67FF">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bg-BG"/>
              </w:rPr>
            </w:pPr>
            <w:r w:rsidRPr="00354CE4">
              <w:rPr>
                <w:rFonts w:asciiTheme="majorHAnsi" w:hAnsiTheme="majorHAnsi" w:cstheme="majorHAnsi"/>
                <w:lang w:val="bg-BG"/>
              </w:rPr>
              <w:t>Оценка на процесите и изпълнението</w:t>
            </w:r>
          </w:p>
          <w:p w:rsidR="00B263FE" w:rsidRPr="00354CE4" w:rsidRDefault="00B263FE" w:rsidP="005F67FF">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bg-BG"/>
              </w:rPr>
            </w:pPr>
            <w:r w:rsidRPr="00354CE4">
              <w:rPr>
                <w:rFonts w:asciiTheme="majorHAnsi" w:hAnsiTheme="majorHAnsi" w:cstheme="majorHAnsi"/>
                <w:lang w:val="bg-BG"/>
              </w:rPr>
              <w:t>Тематична оценка</w:t>
            </w:r>
          </w:p>
        </w:tc>
      </w:tr>
      <w:tr w:rsidR="00D766AC" w:rsidRPr="00354CE4" w:rsidTr="004B0EC8">
        <w:tc>
          <w:tcPr>
            <w:cnfStyle w:val="001000000000" w:firstRow="0" w:lastRow="0" w:firstColumn="1" w:lastColumn="0" w:oddVBand="0" w:evenVBand="0" w:oddHBand="0" w:evenHBand="0" w:firstRowFirstColumn="0" w:firstRowLastColumn="0" w:lastRowFirstColumn="0" w:lastRowLastColumn="0"/>
            <w:tcW w:w="935" w:type="pct"/>
          </w:tcPr>
          <w:p w:rsidR="00D766AC" w:rsidRPr="00354CE4" w:rsidRDefault="00D766AC" w:rsidP="005F67FF">
            <w:pPr>
              <w:rPr>
                <w:rFonts w:asciiTheme="majorHAnsi" w:hAnsiTheme="majorHAnsi" w:cstheme="majorHAnsi"/>
                <w:lang w:val="bg-BG"/>
              </w:rPr>
            </w:pPr>
            <w:r w:rsidRPr="00354CE4">
              <w:rPr>
                <w:rFonts w:asciiTheme="majorHAnsi" w:hAnsiTheme="majorHAnsi" w:cstheme="majorHAnsi"/>
                <w:lang w:val="bg-BG"/>
              </w:rPr>
              <w:t>Основни въпроси за оценка</w:t>
            </w:r>
          </w:p>
        </w:tc>
        <w:tc>
          <w:tcPr>
            <w:tcW w:w="4065" w:type="pct"/>
          </w:tcPr>
          <w:p w:rsidR="00D766AC" w:rsidRPr="00354CE4" w:rsidRDefault="00D766AC" w:rsidP="005F67FF">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bg-BG"/>
              </w:rPr>
            </w:pPr>
            <w:r w:rsidRPr="00354CE4">
              <w:rPr>
                <w:rFonts w:asciiTheme="majorHAnsi" w:hAnsiTheme="majorHAnsi" w:cstheme="majorHAnsi"/>
                <w:lang w:val="bg-BG"/>
              </w:rPr>
              <w:t>Оценката ще изследва, но няма да се ограничава до, следните основни въпроси:</w:t>
            </w:r>
          </w:p>
          <w:p w:rsidR="00B263FE" w:rsidRPr="00354CE4" w:rsidRDefault="00B263FE" w:rsidP="005F67FF">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bg-BG"/>
              </w:rPr>
            </w:pPr>
            <w:r w:rsidRPr="00354CE4">
              <w:rPr>
                <w:rFonts w:asciiTheme="majorHAnsi" w:hAnsiTheme="majorHAnsi" w:cstheme="majorHAnsi"/>
                <w:lang w:val="bg-BG"/>
              </w:rPr>
              <w:t xml:space="preserve">Какъв е приносът от изпълнението на интервенциите, свързани с оценяваните теми за изпълнението на дейностите и постигане на целите на </w:t>
            </w:r>
            <w:r w:rsidR="00CC5F8E" w:rsidRPr="00354CE4">
              <w:rPr>
                <w:rFonts w:asciiTheme="majorHAnsi" w:hAnsiTheme="majorHAnsi" w:cstheme="majorHAnsi"/>
                <w:lang w:val="bg-BG"/>
              </w:rPr>
              <w:t xml:space="preserve">ПМДРА </w:t>
            </w:r>
            <w:r w:rsidRPr="00354CE4">
              <w:rPr>
                <w:rFonts w:asciiTheme="majorHAnsi" w:hAnsiTheme="majorHAnsi" w:cstheme="majorHAnsi"/>
                <w:lang w:val="bg-BG"/>
              </w:rPr>
              <w:t>2021-2027 г.?</w:t>
            </w:r>
          </w:p>
          <w:p w:rsidR="0068120C" w:rsidRPr="00354CE4" w:rsidRDefault="0068120C" w:rsidP="005F67FF">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bg-BG"/>
              </w:rPr>
            </w:pPr>
            <w:r w:rsidRPr="00354CE4">
              <w:rPr>
                <w:rFonts w:asciiTheme="majorHAnsi" w:hAnsiTheme="majorHAnsi" w:cstheme="majorHAnsi"/>
                <w:lang w:val="bg-BG"/>
              </w:rPr>
              <w:t xml:space="preserve">Изпълнението на тематичните интервенции оказва ли влияние и какво върху подобряване на цялостното социално-икономическо състояние на сектор Рибарство и аквакултури? </w:t>
            </w:r>
          </w:p>
          <w:p w:rsidR="0068120C" w:rsidRPr="00354CE4" w:rsidRDefault="0068120C" w:rsidP="005F67FF">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bg-BG"/>
              </w:rPr>
            </w:pPr>
            <w:r w:rsidRPr="00354CE4">
              <w:rPr>
                <w:rFonts w:asciiTheme="majorHAnsi" w:hAnsiTheme="majorHAnsi" w:cstheme="majorHAnsi"/>
                <w:lang w:val="bg-BG"/>
              </w:rPr>
              <w:t>Изпълнението на тематичните интервенции оказва ли влияние и какво върху подобряване на състоянието на околната среда?</w:t>
            </w:r>
          </w:p>
          <w:p w:rsidR="00B263FE" w:rsidRPr="00354CE4" w:rsidRDefault="00B263FE" w:rsidP="005F67FF">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bg-BG"/>
              </w:rPr>
            </w:pPr>
            <w:r w:rsidRPr="00354CE4">
              <w:rPr>
                <w:rFonts w:asciiTheme="majorHAnsi" w:hAnsiTheme="majorHAnsi" w:cstheme="majorHAnsi"/>
                <w:lang w:val="bg-BG"/>
              </w:rPr>
              <w:t xml:space="preserve">До каква степен интервенциите по </w:t>
            </w:r>
            <w:r w:rsidR="00CC5F8E" w:rsidRPr="00354CE4">
              <w:rPr>
                <w:rFonts w:asciiTheme="majorHAnsi" w:hAnsiTheme="majorHAnsi" w:cstheme="majorHAnsi"/>
                <w:lang w:val="bg-BG"/>
              </w:rPr>
              <w:t xml:space="preserve">ПМДРА </w:t>
            </w:r>
            <w:r w:rsidRPr="00354CE4">
              <w:rPr>
                <w:rFonts w:asciiTheme="majorHAnsi" w:hAnsiTheme="majorHAnsi" w:cstheme="majorHAnsi"/>
                <w:lang w:val="bg-BG"/>
              </w:rPr>
              <w:t>2021-2027</w:t>
            </w:r>
            <w:r w:rsidR="0068120C" w:rsidRPr="00354CE4">
              <w:rPr>
                <w:rFonts w:asciiTheme="majorHAnsi" w:hAnsiTheme="majorHAnsi" w:cstheme="majorHAnsi"/>
                <w:lang w:val="bg-BG"/>
              </w:rPr>
              <w:t xml:space="preserve"> </w:t>
            </w:r>
            <w:r w:rsidRPr="00354CE4">
              <w:rPr>
                <w:rFonts w:asciiTheme="majorHAnsi" w:hAnsiTheme="majorHAnsi" w:cstheme="majorHAnsi"/>
                <w:lang w:val="bg-BG"/>
              </w:rPr>
              <w:t xml:space="preserve">са програмирани така, че да увеличат максимално сумарния си ефект върху конкурентоспособността на </w:t>
            </w:r>
            <w:r w:rsidR="0068120C" w:rsidRPr="00354CE4">
              <w:rPr>
                <w:rFonts w:asciiTheme="majorHAnsi" w:hAnsiTheme="majorHAnsi" w:cstheme="majorHAnsi"/>
                <w:lang w:val="bg-BG"/>
              </w:rPr>
              <w:t>сектор Рибарство и аквакултури</w:t>
            </w:r>
            <w:r w:rsidRPr="00354CE4">
              <w:rPr>
                <w:rFonts w:asciiTheme="majorHAnsi" w:hAnsiTheme="majorHAnsi" w:cstheme="majorHAnsi"/>
                <w:lang w:val="bg-BG"/>
              </w:rPr>
              <w:t>, като се вземат предвид различните специфични цели на Програмата?</w:t>
            </w:r>
          </w:p>
          <w:p w:rsidR="00D766AC" w:rsidRPr="00354CE4" w:rsidRDefault="0068120C" w:rsidP="005F67FF">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bg-BG"/>
              </w:rPr>
            </w:pPr>
            <w:r w:rsidRPr="00354CE4">
              <w:rPr>
                <w:rFonts w:asciiTheme="majorHAnsi" w:hAnsiTheme="majorHAnsi" w:cstheme="majorHAnsi"/>
                <w:lang w:val="bg-BG"/>
              </w:rPr>
              <w:t xml:space="preserve">До каква степен интервенциите по </w:t>
            </w:r>
            <w:r w:rsidR="00CC5F8E" w:rsidRPr="00354CE4">
              <w:rPr>
                <w:rFonts w:asciiTheme="majorHAnsi" w:hAnsiTheme="majorHAnsi" w:cstheme="majorHAnsi"/>
                <w:lang w:val="bg-BG"/>
              </w:rPr>
              <w:t xml:space="preserve">ПМДРА </w:t>
            </w:r>
            <w:r w:rsidRPr="00354CE4">
              <w:rPr>
                <w:rFonts w:asciiTheme="majorHAnsi" w:hAnsiTheme="majorHAnsi" w:cstheme="majorHAnsi"/>
                <w:lang w:val="bg-BG"/>
              </w:rPr>
              <w:t xml:space="preserve">2021-2027 са програмирани така, че да увеличат максимално сумарния си ефект върху социалните аспекти и прилагане на хоризонталните принципи на </w:t>
            </w:r>
            <w:r w:rsidR="00CC5F8E" w:rsidRPr="00354CE4">
              <w:rPr>
                <w:rFonts w:asciiTheme="majorHAnsi" w:hAnsiTheme="majorHAnsi" w:cstheme="majorHAnsi"/>
                <w:lang w:val="bg-BG"/>
              </w:rPr>
              <w:t xml:space="preserve">ПМДРА </w:t>
            </w:r>
            <w:r w:rsidRPr="00354CE4">
              <w:rPr>
                <w:rFonts w:asciiTheme="majorHAnsi" w:hAnsiTheme="majorHAnsi" w:cstheme="majorHAnsi"/>
                <w:lang w:val="bg-BG"/>
              </w:rPr>
              <w:t>2021-2027?</w:t>
            </w:r>
          </w:p>
        </w:tc>
      </w:tr>
      <w:tr w:rsidR="00D766AC" w:rsidRPr="00354CE4" w:rsidTr="004B0E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 w:type="pct"/>
          </w:tcPr>
          <w:p w:rsidR="00D766AC" w:rsidRPr="00354CE4" w:rsidRDefault="00D766AC" w:rsidP="005F67FF">
            <w:pPr>
              <w:rPr>
                <w:rFonts w:asciiTheme="majorHAnsi" w:hAnsiTheme="majorHAnsi" w:cstheme="majorHAnsi"/>
                <w:lang w:val="bg-BG"/>
              </w:rPr>
            </w:pPr>
            <w:r w:rsidRPr="00354CE4">
              <w:rPr>
                <w:rFonts w:asciiTheme="majorHAnsi" w:hAnsiTheme="majorHAnsi" w:cstheme="majorHAnsi"/>
                <w:lang w:val="bg-BG"/>
              </w:rPr>
              <w:t xml:space="preserve">Инструменти за </w:t>
            </w:r>
            <w:r w:rsidRPr="00354CE4">
              <w:rPr>
                <w:rFonts w:asciiTheme="majorHAnsi" w:hAnsiTheme="majorHAnsi" w:cstheme="majorHAnsi"/>
                <w:lang w:val="bg-BG"/>
              </w:rPr>
              <w:lastRenderedPageBreak/>
              <w:t>набиране на информация и методи за извършване на оценката и изисквания по отношение на необходимите данни</w:t>
            </w:r>
          </w:p>
        </w:tc>
        <w:tc>
          <w:tcPr>
            <w:tcW w:w="4065" w:type="pct"/>
          </w:tcPr>
          <w:p w:rsidR="00D766AC" w:rsidRPr="00354CE4" w:rsidRDefault="0068120C" w:rsidP="005F67FF">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bg-BG"/>
              </w:rPr>
            </w:pPr>
            <w:r w:rsidRPr="00354CE4">
              <w:rPr>
                <w:rFonts w:asciiTheme="majorHAnsi" w:hAnsiTheme="majorHAnsi" w:cstheme="majorHAnsi"/>
                <w:lang w:val="bg-BG"/>
              </w:rPr>
              <w:lastRenderedPageBreak/>
              <w:t xml:space="preserve">Основни съотносими методи са представени в т. </w:t>
            </w:r>
            <w:r w:rsidR="00F00515" w:rsidRPr="00354CE4">
              <w:rPr>
                <w:rFonts w:asciiTheme="majorHAnsi" w:hAnsiTheme="majorHAnsi" w:cstheme="majorHAnsi"/>
                <w:lang w:val="bg-BG"/>
              </w:rPr>
              <w:t>IX</w:t>
            </w:r>
            <w:r w:rsidRPr="00354CE4">
              <w:rPr>
                <w:rFonts w:asciiTheme="majorHAnsi" w:hAnsiTheme="majorHAnsi" w:cstheme="majorHAnsi"/>
                <w:lang w:val="bg-BG"/>
              </w:rPr>
              <w:t xml:space="preserve"> на Плана за оценка.</w:t>
            </w:r>
          </w:p>
        </w:tc>
      </w:tr>
    </w:tbl>
    <w:p w:rsidR="00F55010" w:rsidRPr="00354CE4" w:rsidRDefault="00F55010" w:rsidP="005F67FF"/>
    <w:p w:rsidR="00C421E3" w:rsidRPr="00354CE4" w:rsidRDefault="00C421E3" w:rsidP="005F67FF">
      <w:pPr>
        <w:pStyle w:val="Heading2"/>
      </w:pPr>
      <w:bookmarkStart w:id="41" w:name="_Toc153543122"/>
      <w:bookmarkStart w:id="42" w:name="_Toc160622938"/>
      <w:r w:rsidRPr="00354CE4">
        <w:t>Тематична оценка за ефективността на приложените дейности по видимост и комуникация по ПМДРА 2021-2027 г.</w:t>
      </w:r>
      <w:bookmarkEnd w:id="41"/>
      <w:bookmarkEnd w:id="42"/>
    </w:p>
    <w:tbl>
      <w:tblPr>
        <w:tblStyle w:val="351"/>
        <w:tblW w:w="5000" w:type="pct"/>
        <w:tblLook w:val="04A0" w:firstRow="1" w:lastRow="0" w:firstColumn="1" w:lastColumn="0" w:noHBand="0" w:noVBand="1"/>
      </w:tblPr>
      <w:tblGrid>
        <w:gridCol w:w="1851"/>
        <w:gridCol w:w="8004"/>
      </w:tblGrid>
      <w:tr w:rsidR="00F6758A" w:rsidRPr="00354CE4" w:rsidTr="004B0EC8">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935" w:type="pct"/>
          </w:tcPr>
          <w:p w:rsidR="00F6758A" w:rsidRPr="00354CE4" w:rsidRDefault="00F6758A" w:rsidP="005F67FF">
            <w:pPr>
              <w:rPr>
                <w:rFonts w:asciiTheme="majorHAnsi" w:hAnsiTheme="majorHAnsi" w:cstheme="majorHAnsi"/>
                <w:lang w:val="bg-BG"/>
              </w:rPr>
            </w:pPr>
            <w:r w:rsidRPr="00354CE4">
              <w:rPr>
                <w:rFonts w:asciiTheme="majorHAnsi" w:hAnsiTheme="majorHAnsi" w:cstheme="majorHAnsi"/>
                <w:lang w:val="bg-BG"/>
              </w:rPr>
              <w:t>Тема на оценката</w:t>
            </w:r>
          </w:p>
        </w:tc>
        <w:tc>
          <w:tcPr>
            <w:tcW w:w="4065" w:type="pct"/>
          </w:tcPr>
          <w:p w:rsidR="00F6758A" w:rsidRPr="00354CE4" w:rsidRDefault="00CC5F8E" w:rsidP="005F67FF">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lang w:val="bg-BG"/>
              </w:rPr>
            </w:pPr>
            <w:r w:rsidRPr="00354CE4">
              <w:rPr>
                <w:rFonts w:asciiTheme="majorHAnsi" w:hAnsiTheme="majorHAnsi" w:cstheme="majorHAnsi"/>
                <w:lang w:val="bg-BG"/>
              </w:rPr>
              <w:t>Тематична оценка за ефективността на приложените дейности по видимост и комуникация по ПМДРА 2021-2027 г.</w:t>
            </w:r>
          </w:p>
        </w:tc>
      </w:tr>
      <w:tr w:rsidR="00F6758A" w:rsidRPr="00354CE4" w:rsidTr="004B0E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 w:type="pct"/>
          </w:tcPr>
          <w:p w:rsidR="00F6758A" w:rsidRPr="00354CE4" w:rsidRDefault="00F6758A" w:rsidP="005F67FF">
            <w:pPr>
              <w:rPr>
                <w:rFonts w:asciiTheme="majorHAnsi" w:hAnsiTheme="majorHAnsi" w:cstheme="majorHAnsi"/>
                <w:lang w:val="bg-BG"/>
              </w:rPr>
            </w:pPr>
            <w:r w:rsidRPr="00354CE4">
              <w:rPr>
                <w:rFonts w:asciiTheme="majorHAnsi" w:hAnsiTheme="majorHAnsi" w:cstheme="majorHAnsi"/>
                <w:lang w:val="bg-BG"/>
              </w:rPr>
              <w:t>Предмет, обхват, контекст и обосновка на необходимостта от оценката</w:t>
            </w:r>
          </w:p>
        </w:tc>
        <w:tc>
          <w:tcPr>
            <w:tcW w:w="4065" w:type="pct"/>
          </w:tcPr>
          <w:p w:rsidR="00CC5F8E" w:rsidRPr="00354CE4" w:rsidRDefault="00F6758A" w:rsidP="005F67FF">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bg-BG"/>
              </w:rPr>
            </w:pPr>
            <w:r w:rsidRPr="00354CE4">
              <w:rPr>
                <w:rFonts w:asciiTheme="majorHAnsi" w:hAnsiTheme="majorHAnsi" w:cstheme="majorHAnsi"/>
                <w:lang w:val="bg-BG"/>
              </w:rPr>
              <w:t xml:space="preserve">Предметът на оценката е </w:t>
            </w:r>
            <w:r w:rsidR="00045AF3" w:rsidRPr="00354CE4">
              <w:rPr>
                <w:rFonts w:asciiTheme="majorHAnsi" w:hAnsiTheme="majorHAnsi" w:cstheme="majorHAnsi"/>
                <w:lang w:val="bg-BG"/>
              </w:rPr>
              <w:t>анализ</w:t>
            </w:r>
            <w:r w:rsidRPr="00354CE4">
              <w:rPr>
                <w:rFonts w:asciiTheme="majorHAnsi" w:hAnsiTheme="majorHAnsi" w:cstheme="majorHAnsi"/>
                <w:lang w:val="bg-BG"/>
              </w:rPr>
              <w:t xml:space="preserve"> на изпълнението и </w:t>
            </w:r>
            <w:r w:rsidR="00CC5F8E" w:rsidRPr="00354CE4">
              <w:rPr>
                <w:rFonts w:asciiTheme="majorHAnsi" w:hAnsiTheme="majorHAnsi" w:cstheme="majorHAnsi"/>
                <w:lang w:val="bg-BG"/>
              </w:rPr>
              <w:t>степен на постигната ефективност при изпълнение на дейностите по осигуряване на видимост и комуникация на ПМДРА 2021-2027 г</w:t>
            </w:r>
            <w:r w:rsidR="00EE5F78" w:rsidRPr="00354CE4">
              <w:rPr>
                <w:rFonts w:asciiTheme="majorHAnsi" w:hAnsiTheme="majorHAnsi" w:cstheme="majorHAnsi"/>
                <w:lang w:val="bg-BG"/>
              </w:rPr>
              <w:t>.</w:t>
            </w:r>
          </w:p>
          <w:p w:rsidR="00C144CE" w:rsidRPr="00354CE4" w:rsidRDefault="00F6758A" w:rsidP="005F67FF">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bg-BG"/>
              </w:rPr>
            </w:pPr>
            <w:r w:rsidRPr="00354CE4">
              <w:rPr>
                <w:rFonts w:asciiTheme="majorHAnsi" w:hAnsiTheme="majorHAnsi" w:cstheme="majorHAnsi"/>
                <w:lang w:val="bg-BG"/>
              </w:rPr>
              <w:t>Необходимостта от оценката е обоснована с изводите и заключенията от изготвен</w:t>
            </w:r>
            <w:r w:rsidR="00C144CE" w:rsidRPr="00354CE4">
              <w:rPr>
                <w:rFonts w:asciiTheme="majorHAnsi" w:hAnsiTheme="majorHAnsi" w:cstheme="majorHAnsi"/>
                <w:lang w:val="bg-BG"/>
              </w:rPr>
              <w:t xml:space="preserve">ата втора </w:t>
            </w:r>
            <w:r w:rsidRPr="00354CE4">
              <w:rPr>
                <w:rFonts w:asciiTheme="majorHAnsi" w:hAnsiTheme="majorHAnsi" w:cstheme="majorHAnsi"/>
                <w:lang w:val="bg-BG"/>
              </w:rPr>
              <w:t>междинн</w:t>
            </w:r>
            <w:r w:rsidR="00C144CE" w:rsidRPr="00354CE4">
              <w:rPr>
                <w:rFonts w:asciiTheme="majorHAnsi" w:hAnsiTheme="majorHAnsi" w:cstheme="majorHAnsi"/>
                <w:lang w:val="bg-BG"/>
              </w:rPr>
              <w:t xml:space="preserve">а </w:t>
            </w:r>
            <w:r w:rsidRPr="00354CE4">
              <w:rPr>
                <w:rFonts w:asciiTheme="majorHAnsi" w:hAnsiTheme="majorHAnsi" w:cstheme="majorHAnsi"/>
                <w:lang w:val="bg-BG"/>
              </w:rPr>
              <w:t>оценк</w:t>
            </w:r>
            <w:r w:rsidR="00C144CE" w:rsidRPr="00354CE4">
              <w:rPr>
                <w:rFonts w:asciiTheme="majorHAnsi" w:hAnsiTheme="majorHAnsi" w:cstheme="majorHAnsi"/>
                <w:lang w:val="bg-BG"/>
              </w:rPr>
              <w:t>а</w:t>
            </w:r>
            <w:r w:rsidRPr="00354CE4">
              <w:rPr>
                <w:rFonts w:asciiTheme="majorHAnsi" w:hAnsiTheme="majorHAnsi" w:cstheme="majorHAnsi"/>
                <w:lang w:val="bg-BG"/>
              </w:rPr>
              <w:t xml:space="preserve"> на изпълнението на ПМДР 2014-2020, както и на аналитичните доклади за подготовката на Програмата за настоящия </w:t>
            </w:r>
            <w:r w:rsidR="003064AB" w:rsidRPr="00354CE4">
              <w:rPr>
                <w:rFonts w:asciiTheme="majorHAnsi" w:hAnsiTheme="majorHAnsi" w:cstheme="majorHAnsi"/>
                <w:lang w:val="bg-BG"/>
              </w:rPr>
              <w:t xml:space="preserve">програмен </w:t>
            </w:r>
            <w:r w:rsidRPr="00354CE4">
              <w:rPr>
                <w:rFonts w:asciiTheme="majorHAnsi" w:hAnsiTheme="majorHAnsi" w:cstheme="majorHAnsi"/>
                <w:lang w:val="bg-BG"/>
              </w:rPr>
              <w:t>период, съгласно които</w:t>
            </w:r>
            <w:r w:rsidR="00C144CE" w:rsidRPr="00354CE4">
              <w:rPr>
                <w:rFonts w:asciiTheme="majorHAnsi" w:hAnsiTheme="majorHAnsi" w:cstheme="majorHAnsi"/>
                <w:lang w:val="bg-BG"/>
              </w:rPr>
              <w:t xml:space="preserve"> е налице сравнително нисък интерес сред бенефициентите към някои типове дейности, както и че</w:t>
            </w:r>
            <w:r w:rsidRPr="00354CE4">
              <w:rPr>
                <w:rFonts w:asciiTheme="majorHAnsi" w:hAnsiTheme="majorHAnsi" w:cstheme="majorHAnsi"/>
                <w:lang w:val="bg-BG"/>
              </w:rPr>
              <w:t xml:space="preserve"> </w:t>
            </w:r>
            <w:r w:rsidR="00C144CE" w:rsidRPr="00354CE4">
              <w:rPr>
                <w:rFonts w:asciiTheme="majorHAnsi" w:hAnsiTheme="majorHAnsi" w:cstheme="majorHAnsi"/>
                <w:lang w:val="bg-BG"/>
              </w:rPr>
              <w:t>подобряването на кому</w:t>
            </w:r>
            <w:r w:rsidR="00AC25D0" w:rsidRPr="00354CE4">
              <w:rPr>
                <w:rFonts w:asciiTheme="majorHAnsi" w:hAnsiTheme="majorHAnsi" w:cstheme="majorHAnsi"/>
                <w:lang w:val="bg-BG"/>
              </w:rPr>
              <w:t>ни</w:t>
            </w:r>
            <w:r w:rsidR="00C144CE" w:rsidRPr="00354CE4">
              <w:rPr>
                <w:rFonts w:asciiTheme="majorHAnsi" w:hAnsiTheme="majorHAnsi" w:cstheme="majorHAnsi"/>
                <w:lang w:val="bg-BG"/>
              </w:rPr>
              <w:t>кационните инициативи допринася за повишаване ефективността от изпълнението на Програмата в периода 2014-2020 г.</w:t>
            </w:r>
          </w:p>
          <w:p w:rsidR="00F6758A" w:rsidRPr="00354CE4" w:rsidRDefault="00F6758A" w:rsidP="003064AB">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bg-BG"/>
              </w:rPr>
            </w:pPr>
            <w:r w:rsidRPr="00354CE4">
              <w:rPr>
                <w:rFonts w:asciiTheme="majorHAnsi" w:hAnsiTheme="majorHAnsi" w:cstheme="majorHAnsi"/>
                <w:lang w:val="bg-BG"/>
              </w:rPr>
              <w:t>Основната цел на оценката е да осигури навременна информация за УО, както и на всички заинтересовани страни</w:t>
            </w:r>
            <w:r w:rsidR="003064AB" w:rsidRPr="00354CE4">
              <w:rPr>
                <w:rFonts w:asciiTheme="majorHAnsi" w:hAnsiTheme="majorHAnsi" w:cstheme="majorHAnsi"/>
                <w:lang w:val="bg-BG"/>
              </w:rPr>
              <w:t>,</w:t>
            </w:r>
            <w:r w:rsidRPr="00354CE4">
              <w:rPr>
                <w:rFonts w:asciiTheme="majorHAnsi" w:hAnsiTheme="majorHAnsi" w:cstheme="majorHAnsi"/>
                <w:lang w:val="bg-BG"/>
              </w:rPr>
              <w:t xml:space="preserve"> относно ефективността на дейностите, </w:t>
            </w:r>
            <w:r w:rsidR="00C144CE" w:rsidRPr="00354CE4">
              <w:rPr>
                <w:rFonts w:asciiTheme="majorHAnsi" w:hAnsiTheme="majorHAnsi" w:cstheme="majorHAnsi"/>
                <w:lang w:val="bg-BG"/>
              </w:rPr>
              <w:t>насочени към повишаване на публичността/видимостта и комуникацията на дейностите и резултатите от изпълнението на ПМДРА 2021-2027</w:t>
            </w:r>
            <w:r w:rsidRPr="00354CE4">
              <w:rPr>
                <w:rFonts w:asciiTheme="majorHAnsi" w:hAnsiTheme="majorHAnsi" w:cstheme="majorHAnsi"/>
                <w:lang w:val="bg-BG"/>
              </w:rPr>
              <w:t>, наличие на ограничения и нужди, които следва да бъдат отразени в бъдеще и фактори за успех, които да бъдат отчетени и подкрепени в следващи етапи на програмиране.</w:t>
            </w:r>
          </w:p>
        </w:tc>
      </w:tr>
      <w:tr w:rsidR="00F6758A" w:rsidRPr="00354CE4" w:rsidTr="004B0EC8">
        <w:tc>
          <w:tcPr>
            <w:cnfStyle w:val="001000000000" w:firstRow="0" w:lastRow="0" w:firstColumn="1" w:lastColumn="0" w:oddVBand="0" w:evenVBand="0" w:oddHBand="0" w:evenHBand="0" w:firstRowFirstColumn="0" w:firstRowLastColumn="0" w:lastRowFirstColumn="0" w:lastRowLastColumn="0"/>
            <w:tcW w:w="935" w:type="pct"/>
          </w:tcPr>
          <w:p w:rsidR="00F6758A" w:rsidRPr="00354CE4" w:rsidRDefault="00F6758A" w:rsidP="005F67FF">
            <w:pPr>
              <w:rPr>
                <w:rFonts w:asciiTheme="majorHAnsi" w:hAnsiTheme="majorHAnsi" w:cstheme="majorHAnsi"/>
                <w:lang w:val="bg-BG"/>
              </w:rPr>
            </w:pPr>
            <w:r w:rsidRPr="00354CE4">
              <w:rPr>
                <w:rFonts w:asciiTheme="majorHAnsi" w:hAnsiTheme="majorHAnsi" w:cstheme="majorHAnsi"/>
                <w:lang w:val="bg-BG"/>
              </w:rPr>
              <w:t>Индикативни дейности</w:t>
            </w:r>
          </w:p>
        </w:tc>
        <w:tc>
          <w:tcPr>
            <w:tcW w:w="4065" w:type="pct"/>
          </w:tcPr>
          <w:p w:rsidR="00F6758A" w:rsidRPr="00354CE4" w:rsidRDefault="00F6758A" w:rsidP="005F67FF">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bg-BG"/>
              </w:rPr>
            </w:pPr>
            <w:r w:rsidRPr="00354CE4">
              <w:rPr>
                <w:rFonts w:asciiTheme="majorHAnsi" w:hAnsiTheme="majorHAnsi" w:cstheme="majorHAnsi"/>
                <w:lang w:val="bg-BG"/>
              </w:rPr>
              <w:t xml:space="preserve">Тематичната оценка следва да обхване и оцени постигнатите към момента на провеждането </w:t>
            </w:r>
            <w:r w:rsidR="003064AB" w:rsidRPr="00354CE4">
              <w:rPr>
                <w:rFonts w:asciiTheme="majorHAnsi" w:hAnsiTheme="majorHAnsi" w:cstheme="majorHAnsi"/>
                <w:lang w:val="bg-BG"/>
              </w:rPr>
              <w:t xml:space="preserve">ѝ </w:t>
            </w:r>
            <w:r w:rsidRPr="00354CE4">
              <w:rPr>
                <w:rFonts w:asciiTheme="majorHAnsi" w:hAnsiTheme="majorHAnsi" w:cstheme="majorHAnsi"/>
                <w:lang w:val="bg-BG"/>
              </w:rPr>
              <w:t xml:space="preserve">резултати от Програмата по отношение на </w:t>
            </w:r>
            <w:r w:rsidR="00C144CE" w:rsidRPr="00354CE4">
              <w:rPr>
                <w:rFonts w:asciiTheme="majorHAnsi" w:hAnsiTheme="majorHAnsi" w:cstheme="majorHAnsi"/>
                <w:lang w:val="bg-BG"/>
              </w:rPr>
              <w:t>публичността/видимостта и комуникацията на дейностите и резултатите</w:t>
            </w:r>
            <w:r w:rsidRPr="00354CE4">
              <w:rPr>
                <w:rFonts w:asciiTheme="majorHAnsi" w:hAnsiTheme="majorHAnsi" w:cstheme="majorHAnsi"/>
                <w:lang w:val="bg-BG"/>
              </w:rPr>
              <w:t xml:space="preserve">. </w:t>
            </w:r>
          </w:p>
          <w:p w:rsidR="00F6758A" w:rsidRPr="00354CE4" w:rsidRDefault="00F6758A" w:rsidP="003064AB">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bg-BG"/>
              </w:rPr>
            </w:pPr>
            <w:r w:rsidRPr="00354CE4">
              <w:rPr>
                <w:rFonts w:asciiTheme="majorHAnsi" w:hAnsiTheme="majorHAnsi" w:cstheme="majorHAnsi"/>
                <w:lang w:val="bg-BG"/>
              </w:rPr>
              <w:t>Оценяването следва да проучи конкретните интервенции/ дейности</w:t>
            </w:r>
            <w:r w:rsidR="003064AB" w:rsidRPr="00354CE4">
              <w:rPr>
                <w:rFonts w:asciiTheme="majorHAnsi" w:hAnsiTheme="majorHAnsi" w:cstheme="majorHAnsi"/>
                <w:lang w:val="bg-BG"/>
              </w:rPr>
              <w:t>,</w:t>
            </w:r>
            <w:r w:rsidRPr="00354CE4">
              <w:rPr>
                <w:rFonts w:asciiTheme="majorHAnsi" w:hAnsiTheme="majorHAnsi" w:cstheme="majorHAnsi"/>
                <w:lang w:val="bg-BG"/>
              </w:rPr>
              <w:t xml:space="preserve"> допринасящи или ограничаващи постигането на </w:t>
            </w:r>
            <w:r w:rsidR="00C144CE" w:rsidRPr="00354CE4">
              <w:rPr>
                <w:rFonts w:asciiTheme="majorHAnsi" w:hAnsiTheme="majorHAnsi" w:cstheme="majorHAnsi"/>
                <w:lang w:val="bg-BG"/>
              </w:rPr>
              <w:t>повишена публичност/видимост и комуникация на дейностите и резултатите</w:t>
            </w:r>
            <w:r w:rsidRPr="00354CE4">
              <w:rPr>
                <w:rFonts w:asciiTheme="majorHAnsi" w:hAnsiTheme="majorHAnsi" w:cstheme="majorHAnsi"/>
                <w:lang w:val="bg-BG"/>
              </w:rPr>
              <w:t xml:space="preserve">, както и наличие на ограничения и нужди, които следва да бъдат отразени в бъдеще и фактори за успех, които да бъдат отчетени и подкрепени в следващи </w:t>
            </w:r>
            <w:r w:rsidRPr="00354CE4">
              <w:rPr>
                <w:rFonts w:asciiTheme="majorHAnsi" w:hAnsiTheme="majorHAnsi" w:cstheme="majorHAnsi"/>
                <w:lang w:val="bg-BG"/>
              </w:rPr>
              <w:lastRenderedPageBreak/>
              <w:t>етапи на програмиране.</w:t>
            </w:r>
          </w:p>
        </w:tc>
      </w:tr>
      <w:tr w:rsidR="00F6758A" w:rsidRPr="00354CE4" w:rsidTr="004B0E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 w:type="pct"/>
          </w:tcPr>
          <w:p w:rsidR="00F6758A" w:rsidRPr="00354CE4" w:rsidRDefault="00F6758A" w:rsidP="005F67FF">
            <w:pPr>
              <w:rPr>
                <w:rFonts w:asciiTheme="majorHAnsi" w:hAnsiTheme="majorHAnsi" w:cstheme="majorHAnsi"/>
                <w:lang w:val="bg-BG"/>
              </w:rPr>
            </w:pPr>
            <w:r w:rsidRPr="00354CE4">
              <w:rPr>
                <w:rFonts w:asciiTheme="majorHAnsi" w:hAnsiTheme="majorHAnsi" w:cstheme="majorHAnsi"/>
                <w:lang w:val="bg-BG"/>
              </w:rPr>
              <w:lastRenderedPageBreak/>
              <w:t>Приложим подход</w:t>
            </w:r>
          </w:p>
        </w:tc>
        <w:tc>
          <w:tcPr>
            <w:tcW w:w="4065" w:type="pct"/>
          </w:tcPr>
          <w:p w:rsidR="003D3FF4" w:rsidRPr="00354CE4" w:rsidRDefault="003D3FF4" w:rsidP="005F67FF">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bg-BG"/>
              </w:rPr>
            </w:pPr>
            <w:r w:rsidRPr="00354CE4">
              <w:rPr>
                <w:rFonts w:asciiTheme="majorHAnsi" w:hAnsiTheme="majorHAnsi" w:cstheme="majorHAnsi"/>
                <w:lang w:val="bg-BG"/>
              </w:rPr>
              <w:t>Оценка на състоянието, базирана на теорията</w:t>
            </w:r>
          </w:p>
          <w:p w:rsidR="003D3FF4" w:rsidRPr="00354CE4" w:rsidRDefault="003D3FF4" w:rsidP="005F67FF">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bg-BG"/>
              </w:rPr>
            </w:pPr>
            <w:r w:rsidRPr="00354CE4">
              <w:rPr>
                <w:rFonts w:asciiTheme="majorHAnsi" w:hAnsiTheme="majorHAnsi" w:cstheme="majorHAnsi"/>
                <w:lang w:val="bg-BG"/>
              </w:rPr>
              <w:t>Оценка на процесите и изпълнението</w:t>
            </w:r>
          </w:p>
          <w:p w:rsidR="00F6758A" w:rsidRPr="00354CE4" w:rsidRDefault="003D3FF4" w:rsidP="005F67FF">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bg-BG"/>
              </w:rPr>
            </w:pPr>
            <w:r w:rsidRPr="00354CE4">
              <w:rPr>
                <w:rFonts w:asciiTheme="majorHAnsi" w:hAnsiTheme="majorHAnsi" w:cstheme="majorHAnsi"/>
                <w:lang w:val="bg-BG"/>
              </w:rPr>
              <w:t>Тематична оценка</w:t>
            </w:r>
          </w:p>
        </w:tc>
      </w:tr>
      <w:tr w:rsidR="00F6758A" w:rsidRPr="00354CE4" w:rsidTr="004B0EC8">
        <w:tc>
          <w:tcPr>
            <w:cnfStyle w:val="001000000000" w:firstRow="0" w:lastRow="0" w:firstColumn="1" w:lastColumn="0" w:oddVBand="0" w:evenVBand="0" w:oddHBand="0" w:evenHBand="0" w:firstRowFirstColumn="0" w:firstRowLastColumn="0" w:lastRowFirstColumn="0" w:lastRowLastColumn="0"/>
            <w:tcW w:w="935" w:type="pct"/>
          </w:tcPr>
          <w:p w:rsidR="00F6758A" w:rsidRPr="00354CE4" w:rsidRDefault="00F6758A" w:rsidP="005F67FF">
            <w:pPr>
              <w:rPr>
                <w:rFonts w:asciiTheme="majorHAnsi" w:hAnsiTheme="majorHAnsi" w:cstheme="majorHAnsi"/>
                <w:lang w:val="bg-BG"/>
              </w:rPr>
            </w:pPr>
            <w:r w:rsidRPr="00354CE4">
              <w:rPr>
                <w:rFonts w:asciiTheme="majorHAnsi" w:hAnsiTheme="majorHAnsi" w:cstheme="majorHAnsi"/>
                <w:lang w:val="bg-BG"/>
              </w:rPr>
              <w:t>Основни въпроси за оценка</w:t>
            </w:r>
          </w:p>
        </w:tc>
        <w:tc>
          <w:tcPr>
            <w:tcW w:w="4065" w:type="pct"/>
          </w:tcPr>
          <w:p w:rsidR="00F6758A" w:rsidRPr="00354CE4" w:rsidRDefault="00F6758A" w:rsidP="005F67FF">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bg-BG"/>
              </w:rPr>
            </w:pPr>
            <w:r w:rsidRPr="00354CE4">
              <w:rPr>
                <w:rFonts w:asciiTheme="majorHAnsi" w:hAnsiTheme="majorHAnsi" w:cstheme="majorHAnsi"/>
                <w:lang w:val="bg-BG"/>
              </w:rPr>
              <w:t>Оценката ще изследва, но няма да се ограничава до, следните основни въпроси:</w:t>
            </w:r>
          </w:p>
          <w:p w:rsidR="00CA471C" w:rsidRPr="00354CE4" w:rsidRDefault="00F6758A" w:rsidP="005F67FF">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bg-BG"/>
              </w:rPr>
            </w:pPr>
            <w:r w:rsidRPr="00354CE4">
              <w:rPr>
                <w:rFonts w:asciiTheme="majorHAnsi" w:hAnsiTheme="majorHAnsi" w:cstheme="majorHAnsi"/>
                <w:lang w:val="bg-BG"/>
              </w:rPr>
              <w:t xml:space="preserve">Изпълнението на </w:t>
            </w:r>
            <w:r w:rsidR="00CA471C" w:rsidRPr="00354CE4">
              <w:rPr>
                <w:rFonts w:asciiTheme="majorHAnsi" w:hAnsiTheme="majorHAnsi" w:cstheme="majorHAnsi"/>
                <w:lang w:val="bg-BG"/>
              </w:rPr>
              <w:t>дейностите по промотиране/публичност и комуникация по Програмата</w:t>
            </w:r>
            <w:r w:rsidRPr="00354CE4">
              <w:rPr>
                <w:rFonts w:asciiTheme="majorHAnsi" w:hAnsiTheme="majorHAnsi" w:cstheme="majorHAnsi"/>
                <w:lang w:val="bg-BG"/>
              </w:rPr>
              <w:t xml:space="preserve"> оказва ли влияние и какво върху </w:t>
            </w:r>
            <w:r w:rsidR="00CA471C" w:rsidRPr="00354CE4">
              <w:rPr>
                <w:rFonts w:asciiTheme="majorHAnsi" w:hAnsiTheme="majorHAnsi" w:cstheme="majorHAnsi"/>
                <w:lang w:val="bg-BG"/>
              </w:rPr>
              <w:t>изпълнението на дейностите на интервенция и постигане на целите на ПМДР 2021-2027 г.?</w:t>
            </w:r>
          </w:p>
          <w:p w:rsidR="00F6758A" w:rsidRPr="00354CE4" w:rsidRDefault="00F6758A" w:rsidP="005F67FF">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bg-BG"/>
              </w:rPr>
            </w:pPr>
            <w:r w:rsidRPr="00354CE4">
              <w:rPr>
                <w:rFonts w:asciiTheme="majorHAnsi" w:hAnsiTheme="majorHAnsi" w:cstheme="majorHAnsi"/>
                <w:lang w:val="bg-BG"/>
              </w:rPr>
              <w:t xml:space="preserve">До каква степен </w:t>
            </w:r>
            <w:r w:rsidR="00CA471C" w:rsidRPr="00354CE4">
              <w:rPr>
                <w:rFonts w:asciiTheme="majorHAnsi" w:hAnsiTheme="majorHAnsi" w:cstheme="majorHAnsi"/>
                <w:lang w:val="bg-BG"/>
              </w:rPr>
              <w:t xml:space="preserve">дейностите по промотиране/публичност и комуникация </w:t>
            </w:r>
            <w:r w:rsidRPr="00354CE4">
              <w:rPr>
                <w:rFonts w:asciiTheme="majorHAnsi" w:hAnsiTheme="majorHAnsi" w:cstheme="majorHAnsi"/>
                <w:lang w:val="bg-BG"/>
              </w:rPr>
              <w:t xml:space="preserve">по ПМДР 2021-2027 са програмирани така, че да увеличат максимално сумарния си ефект върху </w:t>
            </w:r>
            <w:r w:rsidR="00CA471C" w:rsidRPr="00354CE4">
              <w:rPr>
                <w:rFonts w:asciiTheme="majorHAnsi" w:hAnsiTheme="majorHAnsi" w:cstheme="majorHAnsi"/>
                <w:lang w:val="bg-BG"/>
              </w:rPr>
              <w:t xml:space="preserve">постигане целите </w:t>
            </w:r>
            <w:r w:rsidRPr="00354CE4">
              <w:rPr>
                <w:rFonts w:asciiTheme="majorHAnsi" w:hAnsiTheme="majorHAnsi" w:cstheme="majorHAnsi"/>
                <w:lang w:val="bg-BG"/>
              </w:rPr>
              <w:t>на ПМДР 2021-2027?</w:t>
            </w:r>
          </w:p>
        </w:tc>
      </w:tr>
      <w:tr w:rsidR="00F6758A" w:rsidRPr="00354CE4" w:rsidTr="004B0E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 w:type="pct"/>
          </w:tcPr>
          <w:p w:rsidR="00F6758A" w:rsidRPr="00354CE4" w:rsidRDefault="00F6758A" w:rsidP="005F67FF">
            <w:pPr>
              <w:rPr>
                <w:rFonts w:asciiTheme="majorHAnsi" w:hAnsiTheme="majorHAnsi" w:cstheme="majorHAnsi"/>
                <w:lang w:val="bg-BG"/>
              </w:rPr>
            </w:pPr>
            <w:r w:rsidRPr="00354CE4">
              <w:rPr>
                <w:rFonts w:asciiTheme="majorHAnsi" w:hAnsiTheme="majorHAnsi" w:cstheme="majorHAnsi"/>
                <w:lang w:val="bg-BG"/>
              </w:rPr>
              <w:t>Инструменти за набиране на информация и методи за извършване на оценката и изисквания по отношение на необходимите данни</w:t>
            </w:r>
          </w:p>
        </w:tc>
        <w:tc>
          <w:tcPr>
            <w:tcW w:w="4065" w:type="pct"/>
          </w:tcPr>
          <w:p w:rsidR="00F6758A" w:rsidRPr="00354CE4" w:rsidRDefault="00F6758A" w:rsidP="005F67FF">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bg-BG"/>
              </w:rPr>
            </w:pPr>
            <w:r w:rsidRPr="00354CE4">
              <w:rPr>
                <w:rFonts w:asciiTheme="majorHAnsi" w:hAnsiTheme="majorHAnsi" w:cstheme="majorHAnsi"/>
                <w:lang w:val="bg-BG"/>
              </w:rPr>
              <w:t xml:space="preserve">Основни съотносими методи са представени в т. </w:t>
            </w:r>
            <w:r w:rsidR="00F00515" w:rsidRPr="00354CE4">
              <w:rPr>
                <w:rFonts w:asciiTheme="majorHAnsi" w:hAnsiTheme="majorHAnsi" w:cstheme="majorHAnsi"/>
                <w:lang w:val="bg-BG"/>
              </w:rPr>
              <w:t>IX</w:t>
            </w:r>
            <w:r w:rsidRPr="00354CE4">
              <w:rPr>
                <w:rFonts w:asciiTheme="majorHAnsi" w:hAnsiTheme="majorHAnsi" w:cstheme="majorHAnsi"/>
                <w:lang w:val="bg-BG"/>
              </w:rPr>
              <w:t xml:space="preserve"> на Плана за оценка.</w:t>
            </w:r>
          </w:p>
        </w:tc>
      </w:tr>
    </w:tbl>
    <w:p w:rsidR="00F55010" w:rsidRPr="00354CE4" w:rsidRDefault="00F55010" w:rsidP="005F67FF"/>
    <w:p w:rsidR="00C421E3" w:rsidRPr="00354CE4" w:rsidRDefault="00C421E3" w:rsidP="005F67FF">
      <w:pPr>
        <w:pStyle w:val="Heading2"/>
      </w:pPr>
      <w:bookmarkStart w:id="43" w:name="_Toc153543123"/>
      <w:bookmarkStart w:id="44" w:name="_Toc160622939"/>
      <w:r w:rsidRPr="00354CE4">
        <w:t>Междинна оценка на напредъка на ПМДРА 2021-2027 г.</w:t>
      </w:r>
      <w:bookmarkEnd w:id="43"/>
      <w:bookmarkEnd w:id="44"/>
    </w:p>
    <w:tbl>
      <w:tblPr>
        <w:tblStyle w:val="351"/>
        <w:tblW w:w="5000" w:type="pct"/>
        <w:tblLook w:val="04A0" w:firstRow="1" w:lastRow="0" w:firstColumn="1" w:lastColumn="0" w:noHBand="0" w:noVBand="1"/>
      </w:tblPr>
      <w:tblGrid>
        <w:gridCol w:w="1851"/>
        <w:gridCol w:w="8004"/>
      </w:tblGrid>
      <w:tr w:rsidR="00045AF3" w:rsidRPr="00354CE4" w:rsidTr="004B0EC8">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935" w:type="pct"/>
          </w:tcPr>
          <w:p w:rsidR="00045AF3" w:rsidRPr="00354CE4" w:rsidRDefault="00045AF3" w:rsidP="005F67FF">
            <w:pPr>
              <w:rPr>
                <w:rFonts w:asciiTheme="majorHAnsi" w:hAnsiTheme="majorHAnsi" w:cstheme="majorHAnsi"/>
                <w:lang w:val="bg-BG"/>
              </w:rPr>
            </w:pPr>
            <w:r w:rsidRPr="00354CE4">
              <w:rPr>
                <w:rFonts w:asciiTheme="majorHAnsi" w:hAnsiTheme="majorHAnsi" w:cstheme="majorHAnsi"/>
                <w:lang w:val="bg-BG"/>
              </w:rPr>
              <w:t>Тема на оценката</w:t>
            </w:r>
          </w:p>
        </w:tc>
        <w:tc>
          <w:tcPr>
            <w:tcW w:w="4065" w:type="pct"/>
          </w:tcPr>
          <w:p w:rsidR="00045AF3" w:rsidRPr="00354CE4" w:rsidRDefault="00045AF3" w:rsidP="005F67FF">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lang w:val="bg-BG"/>
              </w:rPr>
            </w:pPr>
            <w:r w:rsidRPr="00354CE4">
              <w:rPr>
                <w:rFonts w:asciiTheme="majorHAnsi" w:hAnsiTheme="majorHAnsi" w:cstheme="majorHAnsi"/>
                <w:lang w:val="bg-BG"/>
              </w:rPr>
              <w:t>Междинна оценка на напредъка на ПМДРА 2021-2027 г.</w:t>
            </w:r>
          </w:p>
        </w:tc>
      </w:tr>
      <w:tr w:rsidR="00045AF3" w:rsidRPr="00354CE4" w:rsidTr="004B0E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 w:type="pct"/>
          </w:tcPr>
          <w:p w:rsidR="00045AF3" w:rsidRPr="00354CE4" w:rsidRDefault="00045AF3" w:rsidP="005F67FF">
            <w:pPr>
              <w:rPr>
                <w:rFonts w:asciiTheme="majorHAnsi" w:hAnsiTheme="majorHAnsi" w:cstheme="majorHAnsi"/>
                <w:lang w:val="bg-BG"/>
              </w:rPr>
            </w:pPr>
            <w:r w:rsidRPr="00354CE4">
              <w:rPr>
                <w:rFonts w:asciiTheme="majorHAnsi" w:hAnsiTheme="majorHAnsi" w:cstheme="majorHAnsi"/>
                <w:lang w:val="bg-BG"/>
              </w:rPr>
              <w:t>Предмет, обхват, контекст и обосновка на необходимостта от оценката</w:t>
            </w:r>
          </w:p>
        </w:tc>
        <w:tc>
          <w:tcPr>
            <w:tcW w:w="4065" w:type="pct"/>
          </w:tcPr>
          <w:p w:rsidR="00045AF3" w:rsidRPr="00354CE4" w:rsidRDefault="00045AF3" w:rsidP="005F67FF">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bg-BG"/>
              </w:rPr>
            </w:pPr>
            <w:r w:rsidRPr="00354CE4">
              <w:rPr>
                <w:rFonts w:asciiTheme="majorHAnsi" w:hAnsiTheme="majorHAnsi" w:cstheme="majorHAnsi"/>
                <w:lang w:val="bg-BG"/>
              </w:rPr>
              <w:t xml:space="preserve">Предметът на оценката е </w:t>
            </w:r>
            <w:r w:rsidR="00214D52" w:rsidRPr="00354CE4">
              <w:rPr>
                <w:rFonts w:asciiTheme="majorHAnsi" w:hAnsiTheme="majorHAnsi" w:cstheme="majorHAnsi"/>
                <w:lang w:val="bg-BG"/>
              </w:rPr>
              <w:t xml:space="preserve">степента на напредъка по изпълнението </w:t>
            </w:r>
            <w:r w:rsidRPr="00354CE4">
              <w:rPr>
                <w:rFonts w:asciiTheme="majorHAnsi" w:hAnsiTheme="majorHAnsi" w:cstheme="majorHAnsi"/>
                <w:lang w:val="bg-BG"/>
              </w:rPr>
              <w:t>и с</w:t>
            </w:r>
            <w:r w:rsidR="00214D52" w:rsidRPr="00354CE4">
              <w:rPr>
                <w:rFonts w:asciiTheme="majorHAnsi" w:hAnsiTheme="majorHAnsi" w:cstheme="majorHAnsi"/>
                <w:lang w:val="bg-BG"/>
              </w:rPr>
              <w:t>т</w:t>
            </w:r>
            <w:r w:rsidRPr="00354CE4">
              <w:rPr>
                <w:rFonts w:asciiTheme="majorHAnsi" w:hAnsiTheme="majorHAnsi" w:cstheme="majorHAnsi"/>
                <w:lang w:val="bg-BG"/>
              </w:rPr>
              <w:t>епен</w:t>
            </w:r>
            <w:r w:rsidR="0097249A" w:rsidRPr="00354CE4">
              <w:rPr>
                <w:rFonts w:asciiTheme="majorHAnsi" w:hAnsiTheme="majorHAnsi" w:cstheme="majorHAnsi"/>
                <w:lang w:val="bg-BG"/>
              </w:rPr>
              <w:t>та</w:t>
            </w:r>
            <w:r w:rsidRPr="00354CE4">
              <w:rPr>
                <w:rFonts w:asciiTheme="majorHAnsi" w:hAnsiTheme="majorHAnsi" w:cstheme="majorHAnsi"/>
                <w:lang w:val="bg-BG"/>
              </w:rPr>
              <w:t xml:space="preserve"> на постигане на резултати по отделните приоритети и специфични цели на ПМДРА 2021-2027 г. за периода от началото на изпълнението й до края на 31.12.2025 г. или най-късния подходящ момент след тази дата в зависимост от наличие на условия и данни за целите на оценката. </w:t>
            </w:r>
          </w:p>
          <w:p w:rsidR="00933BD7" w:rsidRPr="00354CE4" w:rsidRDefault="00045AF3" w:rsidP="005F67FF">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bg-BG"/>
              </w:rPr>
            </w:pPr>
            <w:r w:rsidRPr="00354CE4">
              <w:rPr>
                <w:rFonts w:asciiTheme="majorHAnsi" w:hAnsiTheme="majorHAnsi" w:cstheme="majorHAnsi"/>
                <w:lang w:val="bg-BG"/>
              </w:rPr>
              <w:t xml:space="preserve">Междинната оценка има за цел да изследва степента на използване на ресурсите, </w:t>
            </w:r>
            <w:r w:rsidR="00214D52" w:rsidRPr="00354CE4">
              <w:rPr>
                <w:rFonts w:asciiTheme="majorHAnsi" w:hAnsiTheme="majorHAnsi" w:cstheme="majorHAnsi"/>
                <w:lang w:val="bg-BG"/>
              </w:rPr>
              <w:t xml:space="preserve">степента на постигне на резултатите и </w:t>
            </w:r>
            <w:r w:rsidRPr="00354CE4">
              <w:rPr>
                <w:rFonts w:asciiTheme="majorHAnsi" w:hAnsiTheme="majorHAnsi" w:cstheme="majorHAnsi"/>
                <w:lang w:val="bg-BG"/>
              </w:rPr>
              <w:t xml:space="preserve">ефективността от </w:t>
            </w:r>
            <w:r w:rsidR="00214D52" w:rsidRPr="00354CE4">
              <w:rPr>
                <w:rFonts w:asciiTheme="majorHAnsi" w:hAnsiTheme="majorHAnsi" w:cstheme="majorHAnsi"/>
                <w:lang w:val="bg-BG"/>
              </w:rPr>
              <w:t xml:space="preserve">изпълнението на </w:t>
            </w:r>
            <w:r w:rsidRPr="00354CE4">
              <w:rPr>
                <w:rFonts w:asciiTheme="majorHAnsi" w:hAnsiTheme="majorHAnsi" w:cstheme="majorHAnsi"/>
                <w:lang w:val="bg-BG"/>
              </w:rPr>
              <w:t>програмиран</w:t>
            </w:r>
            <w:r w:rsidR="00214D52" w:rsidRPr="00354CE4">
              <w:rPr>
                <w:rFonts w:asciiTheme="majorHAnsi" w:hAnsiTheme="majorHAnsi" w:cstheme="majorHAnsi"/>
                <w:lang w:val="bg-BG"/>
              </w:rPr>
              <w:t>ите дейности</w:t>
            </w:r>
            <w:r w:rsidRPr="00354CE4">
              <w:rPr>
                <w:rFonts w:asciiTheme="majorHAnsi" w:hAnsiTheme="majorHAnsi" w:cstheme="majorHAnsi"/>
                <w:lang w:val="bg-BG"/>
              </w:rPr>
              <w:t xml:space="preserve">, </w:t>
            </w:r>
            <w:r w:rsidR="00214D52" w:rsidRPr="00354CE4">
              <w:rPr>
                <w:rFonts w:asciiTheme="majorHAnsi" w:hAnsiTheme="majorHAnsi" w:cstheme="majorHAnsi"/>
                <w:lang w:val="bg-BG"/>
              </w:rPr>
              <w:t xml:space="preserve">тяхната уместност и съгласуваност по отношение на постигане на планираното </w:t>
            </w:r>
            <w:r w:rsidRPr="00354CE4">
              <w:rPr>
                <w:rFonts w:asciiTheme="majorHAnsi" w:hAnsiTheme="majorHAnsi" w:cstheme="majorHAnsi"/>
                <w:lang w:val="bg-BG"/>
              </w:rPr>
              <w:t>социално-икономическото въздействие и неговото въздействие върху приоритетите на общността</w:t>
            </w:r>
            <w:r w:rsidR="00933BD7" w:rsidRPr="00354CE4">
              <w:rPr>
                <w:rFonts w:asciiTheme="majorHAnsi" w:hAnsiTheme="majorHAnsi" w:cstheme="majorHAnsi"/>
                <w:lang w:val="bg-BG"/>
              </w:rPr>
              <w:t>, вкл. по отношение целите по стратегиите на Съюза за Европейски зелен пакт, стратегии за Зелен преход, Дигитален преход, добавена стойност на публичните инвестиции, „От фермата до трапезата“, Син растеж, Стратегия за биологично разнообразие и др.</w:t>
            </w:r>
          </w:p>
          <w:p w:rsidR="00214D52" w:rsidRPr="00354CE4" w:rsidRDefault="00045AF3" w:rsidP="005F67FF">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bg-BG"/>
              </w:rPr>
            </w:pPr>
            <w:r w:rsidRPr="00354CE4">
              <w:rPr>
                <w:rFonts w:asciiTheme="majorHAnsi" w:hAnsiTheme="majorHAnsi" w:cstheme="majorHAnsi"/>
                <w:lang w:val="bg-BG"/>
              </w:rPr>
              <w:t xml:space="preserve">Основната цел на оценката е да осигури навременна информация за УО, </w:t>
            </w:r>
            <w:r w:rsidRPr="00354CE4">
              <w:rPr>
                <w:rFonts w:asciiTheme="majorHAnsi" w:hAnsiTheme="majorHAnsi" w:cstheme="majorHAnsi"/>
                <w:lang w:val="bg-BG"/>
              </w:rPr>
              <w:lastRenderedPageBreak/>
              <w:t xml:space="preserve">както и на всички заинтересовани страни </w:t>
            </w:r>
            <w:r w:rsidR="00214D52" w:rsidRPr="00354CE4">
              <w:rPr>
                <w:rFonts w:asciiTheme="majorHAnsi" w:hAnsiTheme="majorHAnsi" w:cstheme="majorHAnsi"/>
                <w:lang w:val="bg-BG"/>
              </w:rPr>
              <w:t xml:space="preserve">за подобряване качеството на Програмата, за да се потвърдят и докажат предложенията за съществени промени по време на жизнения цикъл на Програмата. </w:t>
            </w:r>
          </w:p>
          <w:p w:rsidR="00214D52" w:rsidRPr="00354CE4" w:rsidRDefault="00214D52" w:rsidP="005F67FF">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bg-BG"/>
              </w:rPr>
            </w:pPr>
            <w:r w:rsidRPr="00354CE4">
              <w:rPr>
                <w:rFonts w:asciiTheme="majorHAnsi" w:hAnsiTheme="majorHAnsi" w:cstheme="majorHAnsi"/>
                <w:lang w:val="bg-BG"/>
              </w:rPr>
              <w:t xml:space="preserve">Междинната оценка следва да позволява провеждането на информирано управление на ПМДРА 2021-2027 г. и вземането на управленски решения на основата на заключенията и препоръките от </w:t>
            </w:r>
            <w:r w:rsidR="0097249A" w:rsidRPr="00354CE4">
              <w:rPr>
                <w:rFonts w:asciiTheme="majorHAnsi" w:hAnsiTheme="majorHAnsi" w:cstheme="majorHAnsi"/>
                <w:lang w:val="bg-BG"/>
              </w:rPr>
              <w:t>нея</w:t>
            </w:r>
            <w:r w:rsidRPr="00354CE4">
              <w:rPr>
                <w:rFonts w:asciiTheme="majorHAnsi" w:hAnsiTheme="majorHAnsi" w:cstheme="majorHAnsi"/>
                <w:lang w:val="bg-BG"/>
              </w:rPr>
              <w:t xml:space="preserve">, както </w:t>
            </w:r>
            <w:r w:rsidR="0097249A" w:rsidRPr="00354CE4">
              <w:rPr>
                <w:rFonts w:asciiTheme="majorHAnsi" w:hAnsiTheme="majorHAnsi" w:cstheme="majorHAnsi"/>
                <w:lang w:val="bg-BG"/>
              </w:rPr>
              <w:t xml:space="preserve">и </w:t>
            </w:r>
            <w:r w:rsidRPr="00354CE4">
              <w:rPr>
                <w:rFonts w:asciiTheme="majorHAnsi" w:hAnsiTheme="majorHAnsi" w:cstheme="majorHAnsi"/>
                <w:lang w:val="bg-BG"/>
              </w:rPr>
              <w:t>да подпомогне ЕК при обобщаването на основните изводи от оценката в отделните държави</w:t>
            </w:r>
            <w:r w:rsidR="0097249A" w:rsidRPr="00354CE4">
              <w:rPr>
                <w:rFonts w:asciiTheme="majorHAnsi" w:hAnsiTheme="majorHAnsi" w:cstheme="majorHAnsi"/>
                <w:lang w:val="bg-BG"/>
              </w:rPr>
              <w:t xml:space="preserve"> </w:t>
            </w:r>
            <w:r w:rsidRPr="00354CE4">
              <w:rPr>
                <w:rFonts w:asciiTheme="majorHAnsi" w:hAnsiTheme="majorHAnsi" w:cstheme="majorHAnsi"/>
                <w:lang w:val="bg-BG"/>
              </w:rPr>
              <w:t>членки и при обмена на съответната информация.</w:t>
            </w:r>
          </w:p>
          <w:p w:rsidR="00045AF3" w:rsidRPr="00354CE4" w:rsidRDefault="00214D52" w:rsidP="005F67FF">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bg-BG"/>
              </w:rPr>
            </w:pPr>
            <w:r w:rsidRPr="00354CE4">
              <w:rPr>
                <w:rFonts w:asciiTheme="majorHAnsi" w:hAnsiTheme="majorHAnsi" w:cstheme="majorHAnsi"/>
                <w:lang w:val="bg-BG"/>
              </w:rPr>
              <w:t>Междинната оценка се основава на текущите дейности за наблюдение и оценка, проведени по време на периода на разглеждане. Оценката ще бъде извършена за всеки приоритет на Програмата.</w:t>
            </w:r>
          </w:p>
        </w:tc>
      </w:tr>
      <w:tr w:rsidR="00045AF3" w:rsidRPr="00354CE4" w:rsidTr="004B0EC8">
        <w:tc>
          <w:tcPr>
            <w:cnfStyle w:val="001000000000" w:firstRow="0" w:lastRow="0" w:firstColumn="1" w:lastColumn="0" w:oddVBand="0" w:evenVBand="0" w:oddHBand="0" w:evenHBand="0" w:firstRowFirstColumn="0" w:firstRowLastColumn="0" w:lastRowFirstColumn="0" w:lastRowLastColumn="0"/>
            <w:tcW w:w="935" w:type="pct"/>
          </w:tcPr>
          <w:p w:rsidR="00045AF3" w:rsidRPr="00354CE4" w:rsidRDefault="00045AF3" w:rsidP="005F67FF">
            <w:pPr>
              <w:rPr>
                <w:rFonts w:asciiTheme="majorHAnsi" w:hAnsiTheme="majorHAnsi" w:cstheme="majorHAnsi"/>
                <w:lang w:val="bg-BG"/>
              </w:rPr>
            </w:pPr>
            <w:r w:rsidRPr="00354CE4">
              <w:rPr>
                <w:rFonts w:asciiTheme="majorHAnsi" w:hAnsiTheme="majorHAnsi" w:cstheme="majorHAnsi"/>
                <w:lang w:val="bg-BG"/>
              </w:rPr>
              <w:lastRenderedPageBreak/>
              <w:t>Индикативни дейности</w:t>
            </w:r>
          </w:p>
        </w:tc>
        <w:tc>
          <w:tcPr>
            <w:tcW w:w="4065" w:type="pct"/>
          </w:tcPr>
          <w:p w:rsidR="00F366A4" w:rsidRPr="00354CE4" w:rsidRDefault="00F366A4" w:rsidP="005F67FF">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bg-BG"/>
              </w:rPr>
            </w:pPr>
            <w:r w:rsidRPr="00354CE4">
              <w:rPr>
                <w:rFonts w:asciiTheme="majorHAnsi" w:hAnsiTheme="majorHAnsi" w:cstheme="majorHAnsi"/>
                <w:lang w:val="bg-BG"/>
              </w:rPr>
              <w:t>Междинната</w:t>
            </w:r>
            <w:r w:rsidR="00045AF3" w:rsidRPr="00354CE4">
              <w:rPr>
                <w:rFonts w:asciiTheme="majorHAnsi" w:hAnsiTheme="majorHAnsi" w:cstheme="majorHAnsi"/>
                <w:lang w:val="bg-BG"/>
              </w:rPr>
              <w:t xml:space="preserve"> оценка следва да обхване и оцени постигнатите към момента на провеждането </w:t>
            </w:r>
            <w:r w:rsidR="0097249A" w:rsidRPr="00354CE4">
              <w:rPr>
                <w:rFonts w:asciiTheme="majorHAnsi" w:hAnsiTheme="majorHAnsi" w:cstheme="majorHAnsi"/>
                <w:lang w:val="bg-BG"/>
              </w:rPr>
              <w:t xml:space="preserve">ѝ </w:t>
            </w:r>
            <w:r w:rsidR="00045AF3" w:rsidRPr="00354CE4">
              <w:rPr>
                <w:rFonts w:asciiTheme="majorHAnsi" w:hAnsiTheme="majorHAnsi" w:cstheme="majorHAnsi"/>
                <w:lang w:val="bg-BG"/>
              </w:rPr>
              <w:t xml:space="preserve">резултати от Програмата по отношение на </w:t>
            </w:r>
            <w:r w:rsidRPr="00354CE4">
              <w:rPr>
                <w:rFonts w:asciiTheme="majorHAnsi" w:hAnsiTheme="majorHAnsi" w:cstheme="majorHAnsi"/>
                <w:lang w:val="bg-BG"/>
              </w:rPr>
              <w:t>изпълнение на напредъка и постигане на заложените резултати по отделните приоритети, съответно специфични цели.</w:t>
            </w:r>
          </w:p>
          <w:p w:rsidR="00F366A4" w:rsidRPr="00354CE4" w:rsidRDefault="00045AF3" w:rsidP="005F67FF">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bg-BG"/>
              </w:rPr>
            </w:pPr>
            <w:r w:rsidRPr="00354CE4">
              <w:rPr>
                <w:rFonts w:asciiTheme="majorHAnsi" w:hAnsiTheme="majorHAnsi" w:cstheme="majorHAnsi"/>
                <w:lang w:val="bg-BG"/>
              </w:rPr>
              <w:t xml:space="preserve">Оценяването следва да проучи </w:t>
            </w:r>
            <w:r w:rsidR="00F366A4" w:rsidRPr="00354CE4">
              <w:rPr>
                <w:rFonts w:asciiTheme="majorHAnsi" w:hAnsiTheme="majorHAnsi" w:cstheme="majorHAnsi"/>
                <w:lang w:val="bg-BG"/>
              </w:rPr>
              <w:t>напредъка по всички планирани дейности, като отчете степента на изпълнение на заложените индикатори за изпълнение</w:t>
            </w:r>
            <w:r w:rsidRPr="00354CE4">
              <w:rPr>
                <w:rFonts w:asciiTheme="majorHAnsi" w:hAnsiTheme="majorHAnsi" w:cstheme="majorHAnsi"/>
                <w:lang w:val="bg-BG"/>
              </w:rPr>
              <w:t xml:space="preserve">, както и наличие на ограничения и нужди, които следва да бъдат отразени в бъдеще и фактори за успех, които да бъдат отчетени и подкрепени в следващи етапи на </w:t>
            </w:r>
            <w:r w:rsidR="00F366A4" w:rsidRPr="00354CE4">
              <w:rPr>
                <w:rFonts w:asciiTheme="majorHAnsi" w:hAnsiTheme="majorHAnsi" w:cstheme="majorHAnsi"/>
                <w:lang w:val="bg-BG"/>
              </w:rPr>
              <w:t>изпълнение на Програмата</w:t>
            </w:r>
            <w:r w:rsidR="004B6BB8" w:rsidRPr="00354CE4">
              <w:rPr>
                <w:rFonts w:asciiTheme="majorHAnsi" w:hAnsiTheme="majorHAnsi" w:cstheme="majorHAnsi"/>
                <w:lang w:val="bg-BG"/>
              </w:rPr>
              <w:t>.</w:t>
            </w:r>
          </w:p>
          <w:p w:rsidR="004B6BB8" w:rsidRPr="00354CE4" w:rsidRDefault="004B6BB8" w:rsidP="005F67FF">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bg-BG"/>
              </w:rPr>
            </w:pPr>
            <w:r w:rsidRPr="00354CE4">
              <w:rPr>
                <w:rFonts w:asciiTheme="majorHAnsi" w:hAnsiTheme="majorHAnsi" w:cstheme="majorHAnsi"/>
                <w:lang w:val="bg-BG"/>
              </w:rPr>
              <w:t>Оценката следва да включи:</w:t>
            </w:r>
          </w:p>
          <w:p w:rsidR="004B6BB8" w:rsidRPr="00354CE4" w:rsidRDefault="004B6BB8" w:rsidP="005F67FF">
            <w:pPr>
              <w:pStyle w:val="ListParagraph"/>
              <w:numPr>
                <w:ilvl w:val="0"/>
                <w:numId w:val="26"/>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bg-BG"/>
              </w:rPr>
            </w:pPr>
            <w:r w:rsidRPr="00354CE4">
              <w:rPr>
                <w:rFonts w:asciiTheme="majorHAnsi" w:hAnsiTheme="majorHAnsi" w:cstheme="majorHAnsi"/>
                <w:lang w:val="bg-BG"/>
              </w:rPr>
              <w:t>Анализ и оценка на постигането на целевите стойности на показателите за изпълнение/продукт и за резултат по отделните специфични цели и приоритети</w:t>
            </w:r>
            <w:r w:rsidR="00AC25D0" w:rsidRPr="00354CE4">
              <w:rPr>
                <w:rFonts w:asciiTheme="majorHAnsi" w:hAnsiTheme="majorHAnsi" w:cstheme="majorHAnsi"/>
                <w:lang w:val="bg-BG"/>
              </w:rPr>
              <w:t>;</w:t>
            </w:r>
          </w:p>
          <w:p w:rsidR="004B6BB8" w:rsidRPr="00354CE4" w:rsidRDefault="004B6BB8" w:rsidP="005F67FF">
            <w:pPr>
              <w:pStyle w:val="ListParagraph"/>
              <w:numPr>
                <w:ilvl w:val="0"/>
                <w:numId w:val="26"/>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bg-BG"/>
              </w:rPr>
            </w:pPr>
            <w:r w:rsidRPr="00354CE4">
              <w:rPr>
                <w:rFonts w:asciiTheme="majorHAnsi" w:hAnsiTheme="majorHAnsi" w:cstheme="majorHAnsi"/>
                <w:lang w:val="bg-BG"/>
              </w:rPr>
              <w:t>Анализ и оценка на ефективността и ефикасността на изпълнението;</w:t>
            </w:r>
          </w:p>
          <w:p w:rsidR="004B6BB8" w:rsidRPr="00354CE4" w:rsidRDefault="004B6BB8" w:rsidP="005F67FF">
            <w:pPr>
              <w:pStyle w:val="ListParagraph"/>
              <w:numPr>
                <w:ilvl w:val="0"/>
                <w:numId w:val="26"/>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bg-BG"/>
              </w:rPr>
            </w:pPr>
            <w:r w:rsidRPr="00354CE4">
              <w:rPr>
                <w:rFonts w:asciiTheme="majorHAnsi" w:hAnsiTheme="majorHAnsi" w:cstheme="majorHAnsi"/>
                <w:lang w:val="bg-BG"/>
              </w:rPr>
              <w:t xml:space="preserve">Анализ и оценка на степента на постигането </w:t>
            </w:r>
            <w:r w:rsidR="0097249A" w:rsidRPr="00354CE4">
              <w:rPr>
                <w:rFonts w:asciiTheme="majorHAnsi" w:hAnsiTheme="majorHAnsi" w:cstheme="majorHAnsi"/>
                <w:lang w:val="bg-BG"/>
              </w:rPr>
              <w:t xml:space="preserve">на целите </w:t>
            </w:r>
            <w:r w:rsidRPr="00354CE4">
              <w:rPr>
                <w:rFonts w:asciiTheme="majorHAnsi" w:hAnsiTheme="majorHAnsi" w:cstheme="majorHAnsi"/>
                <w:lang w:val="bg-BG"/>
              </w:rPr>
              <w:t xml:space="preserve">на </w:t>
            </w:r>
            <w:r w:rsidR="00CA4053" w:rsidRPr="00354CE4">
              <w:rPr>
                <w:rFonts w:asciiTheme="majorHAnsi" w:hAnsiTheme="majorHAnsi" w:cstheme="majorHAnsi"/>
                <w:lang w:val="bg-BG"/>
              </w:rPr>
              <w:t xml:space="preserve">приоритетите и </w:t>
            </w:r>
            <w:r w:rsidRPr="00354CE4">
              <w:rPr>
                <w:rFonts w:asciiTheme="majorHAnsi" w:hAnsiTheme="majorHAnsi" w:cstheme="majorHAnsi"/>
                <w:lang w:val="bg-BG"/>
              </w:rPr>
              <w:t>специфичните цели;</w:t>
            </w:r>
          </w:p>
          <w:p w:rsidR="004B6BB8" w:rsidRPr="00354CE4" w:rsidRDefault="004B6BB8" w:rsidP="005F67FF">
            <w:pPr>
              <w:pStyle w:val="ListParagraph"/>
              <w:numPr>
                <w:ilvl w:val="0"/>
                <w:numId w:val="26"/>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bg-BG"/>
              </w:rPr>
            </w:pPr>
            <w:r w:rsidRPr="00354CE4">
              <w:rPr>
                <w:rFonts w:asciiTheme="majorHAnsi" w:hAnsiTheme="majorHAnsi" w:cstheme="majorHAnsi"/>
                <w:lang w:val="bg-BG"/>
              </w:rPr>
              <w:t>Анализ и оценка на промените в нуждите на развитието по отношение на релевантност на идентифицираните в процеса на програмиране нужди на целевите групи и съответствието им с подкрепата, предоставяна по приоритетите на Програмата;</w:t>
            </w:r>
          </w:p>
          <w:p w:rsidR="004B6BB8" w:rsidRPr="00354CE4" w:rsidRDefault="004B6BB8" w:rsidP="005F67FF">
            <w:pPr>
              <w:pStyle w:val="ListParagraph"/>
              <w:numPr>
                <w:ilvl w:val="0"/>
                <w:numId w:val="26"/>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bg-BG"/>
              </w:rPr>
            </w:pPr>
            <w:r w:rsidRPr="00354CE4">
              <w:rPr>
                <w:rFonts w:asciiTheme="majorHAnsi" w:hAnsiTheme="majorHAnsi" w:cstheme="majorHAnsi"/>
                <w:lang w:val="bg-BG"/>
              </w:rPr>
              <w:t xml:space="preserve">Анализ и оценка на социално-икономическата среда и влиянието ѝ за изпълнението на </w:t>
            </w:r>
            <w:r w:rsidR="0097249A" w:rsidRPr="00354CE4">
              <w:rPr>
                <w:rFonts w:asciiTheme="majorHAnsi" w:hAnsiTheme="majorHAnsi" w:cstheme="majorHAnsi"/>
                <w:lang w:val="bg-BG"/>
              </w:rPr>
              <w:t xml:space="preserve">приоритетите </w:t>
            </w:r>
            <w:r w:rsidRPr="00354CE4">
              <w:rPr>
                <w:rFonts w:asciiTheme="majorHAnsi" w:hAnsiTheme="majorHAnsi" w:cstheme="majorHAnsi"/>
                <w:lang w:val="bg-BG"/>
              </w:rPr>
              <w:t>на Програмата;</w:t>
            </w:r>
          </w:p>
          <w:p w:rsidR="004B6BB8" w:rsidRPr="00354CE4" w:rsidRDefault="004B6BB8" w:rsidP="005F67FF">
            <w:pPr>
              <w:pStyle w:val="ListParagraph"/>
              <w:numPr>
                <w:ilvl w:val="0"/>
                <w:numId w:val="26"/>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bg-BG"/>
              </w:rPr>
            </w:pPr>
            <w:r w:rsidRPr="00354CE4">
              <w:rPr>
                <w:rFonts w:asciiTheme="majorHAnsi" w:hAnsiTheme="majorHAnsi" w:cstheme="majorHAnsi"/>
                <w:lang w:val="bg-BG"/>
              </w:rPr>
              <w:t>Изводи и препоръки.</w:t>
            </w:r>
          </w:p>
        </w:tc>
      </w:tr>
      <w:tr w:rsidR="00045AF3" w:rsidRPr="00354CE4" w:rsidTr="004B0E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 w:type="pct"/>
          </w:tcPr>
          <w:p w:rsidR="00045AF3" w:rsidRPr="00354CE4" w:rsidRDefault="00045AF3" w:rsidP="005F67FF">
            <w:pPr>
              <w:rPr>
                <w:rFonts w:asciiTheme="majorHAnsi" w:hAnsiTheme="majorHAnsi" w:cstheme="majorHAnsi"/>
                <w:lang w:val="bg-BG"/>
              </w:rPr>
            </w:pPr>
            <w:r w:rsidRPr="00354CE4">
              <w:rPr>
                <w:rFonts w:asciiTheme="majorHAnsi" w:hAnsiTheme="majorHAnsi" w:cstheme="majorHAnsi"/>
                <w:lang w:val="bg-BG"/>
              </w:rPr>
              <w:t>Приложим подход</w:t>
            </w:r>
          </w:p>
        </w:tc>
        <w:tc>
          <w:tcPr>
            <w:tcW w:w="4065" w:type="pct"/>
          </w:tcPr>
          <w:p w:rsidR="00CE5586" w:rsidRPr="00354CE4" w:rsidRDefault="00CE5586" w:rsidP="005F67FF">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bg-BG"/>
              </w:rPr>
            </w:pPr>
            <w:r w:rsidRPr="00354CE4">
              <w:rPr>
                <w:rFonts w:asciiTheme="majorHAnsi" w:hAnsiTheme="majorHAnsi" w:cstheme="majorHAnsi"/>
                <w:lang w:val="bg-BG"/>
              </w:rPr>
              <w:t>Оценка на състоянието, базирана на теорията</w:t>
            </w:r>
          </w:p>
          <w:p w:rsidR="00045AF3" w:rsidRPr="00354CE4" w:rsidRDefault="00CE5586" w:rsidP="005F67FF">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bg-BG"/>
              </w:rPr>
            </w:pPr>
            <w:r w:rsidRPr="00354CE4">
              <w:rPr>
                <w:rFonts w:asciiTheme="majorHAnsi" w:hAnsiTheme="majorHAnsi" w:cstheme="majorHAnsi"/>
                <w:lang w:val="bg-BG"/>
              </w:rPr>
              <w:t>Оценка на процесите и изпълнението</w:t>
            </w:r>
          </w:p>
        </w:tc>
      </w:tr>
      <w:tr w:rsidR="00045AF3" w:rsidRPr="00354CE4" w:rsidTr="004B0EC8">
        <w:tc>
          <w:tcPr>
            <w:cnfStyle w:val="001000000000" w:firstRow="0" w:lastRow="0" w:firstColumn="1" w:lastColumn="0" w:oddVBand="0" w:evenVBand="0" w:oddHBand="0" w:evenHBand="0" w:firstRowFirstColumn="0" w:firstRowLastColumn="0" w:lastRowFirstColumn="0" w:lastRowLastColumn="0"/>
            <w:tcW w:w="935" w:type="pct"/>
          </w:tcPr>
          <w:p w:rsidR="00045AF3" w:rsidRPr="00354CE4" w:rsidRDefault="00045AF3" w:rsidP="005F67FF">
            <w:pPr>
              <w:rPr>
                <w:rFonts w:asciiTheme="majorHAnsi" w:hAnsiTheme="majorHAnsi" w:cstheme="majorHAnsi"/>
                <w:lang w:val="bg-BG"/>
              </w:rPr>
            </w:pPr>
            <w:r w:rsidRPr="00354CE4">
              <w:rPr>
                <w:rFonts w:asciiTheme="majorHAnsi" w:hAnsiTheme="majorHAnsi" w:cstheme="majorHAnsi"/>
                <w:lang w:val="bg-BG"/>
              </w:rPr>
              <w:t>Основни въпроси за оценка</w:t>
            </w:r>
          </w:p>
        </w:tc>
        <w:tc>
          <w:tcPr>
            <w:tcW w:w="4065" w:type="pct"/>
          </w:tcPr>
          <w:p w:rsidR="00045AF3" w:rsidRPr="00354CE4" w:rsidRDefault="00045AF3" w:rsidP="005F67FF">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bg-BG"/>
              </w:rPr>
            </w:pPr>
            <w:r w:rsidRPr="00354CE4">
              <w:rPr>
                <w:rFonts w:asciiTheme="majorHAnsi" w:hAnsiTheme="majorHAnsi" w:cstheme="majorHAnsi"/>
                <w:lang w:val="bg-BG"/>
              </w:rPr>
              <w:t>Оценката ще изследва, но няма да се ограничава до</w:t>
            </w:r>
            <w:r w:rsidR="001E6086" w:rsidRPr="00354CE4">
              <w:rPr>
                <w:rFonts w:asciiTheme="majorHAnsi" w:hAnsiTheme="majorHAnsi" w:cstheme="majorHAnsi"/>
                <w:lang w:val="bg-BG"/>
              </w:rPr>
              <w:t xml:space="preserve"> </w:t>
            </w:r>
            <w:r w:rsidRPr="00354CE4">
              <w:rPr>
                <w:rFonts w:asciiTheme="majorHAnsi" w:hAnsiTheme="majorHAnsi" w:cstheme="majorHAnsi"/>
                <w:lang w:val="bg-BG"/>
              </w:rPr>
              <w:t>следните основни въпроси:</w:t>
            </w:r>
          </w:p>
          <w:p w:rsidR="00045AF3" w:rsidRPr="00354CE4" w:rsidRDefault="001E6086" w:rsidP="005F67FF">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bg-BG"/>
              </w:rPr>
            </w:pPr>
            <w:r w:rsidRPr="00354CE4">
              <w:rPr>
                <w:rFonts w:asciiTheme="majorHAnsi" w:hAnsiTheme="majorHAnsi" w:cstheme="majorHAnsi"/>
                <w:lang w:val="bg-BG"/>
              </w:rPr>
              <w:t xml:space="preserve">Отразени ли са препоръките от предходни оценки и извършени ли </w:t>
            </w:r>
            <w:r w:rsidR="0097249A" w:rsidRPr="00354CE4">
              <w:rPr>
                <w:rFonts w:asciiTheme="majorHAnsi" w:hAnsiTheme="majorHAnsi" w:cstheme="majorHAnsi"/>
                <w:lang w:val="bg-BG"/>
              </w:rPr>
              <w:t xml:space="preserve">са </w:t>
            </w:r>
            <w:r w:rsidRPr="00354CE4">
              <w:rPr>
                <w:rFonts w:asciiTheme="majorHAnsi" w:hAnsiTheme="majorHAnsi" w:cstheme="majorHAnsi"/>
                <w:lang w:val="bg-BG"/>
              </w:rPr>
              <w:t>промени в ПМДРА в резултат на препоръки от други оценки?</w:t>
            </w:r>
          </w:p>
          <w:p w:rsidR="001E6086" w:rsidRPr="00354CE4" w:rsidRDefault="001E6086" w:rsidP="005F67FF">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bg-BG"/>
              </w:rPr>
            </w:pPr>
            <w:r w:rsidRPr="00354CE4">
              <w:rPr>
                <w:rFonts w:asciiTheme="majorHAnsi" w:hAnsiTheme="majorHAnsi" w:cstheme="majorHAnsi"/>
                <w:lang w:val="bg-BG"/>
              </w:rPr>
              <w:lastRenderedPageBreak/>
              <w:t>Какво е съответствието на ПМДРА с настъпили промени в политиката и нормативната уредба в областта на морското дело и рибарството на национално ниво и на ниво ЕС?</w:t>
            </w:r>
          </w:p>
          <w:p w:rsidR="001E6086" w:rsidRPr="00354CE4" w:rsidRDefault="001E6086" w:rsidP="005F67FF">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bg-BG"/>
              </w:rPr>
            </w:pPr>
            <w:r w:rsidRPr="00354CE4">
              <w:rPr>
                <w:rFonts w:asciiTheme="majorHAnsi" w:hAnsiTheme="majorHAnsi" w:cstheme="majorHAnsi"/>
                <w:lang w:val="bg-BG"/>
              </w:rPr>
              <w:t>Какво е съответствието на ПМДРА с настъпили промени в политиката и нормативната уредба?</w:t>
            </w:r>
          </w:p>
          <w:p w:rsidR="001E6086" w:rsidRPr="00354CE4" w:rsidRDefault="001E6086" w:rsidP="005F67FF">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bg-BG"/>
              </w:rPr>
            </w:pPr>
            <w:r w:rsidRPr="00354CE4">
              <w:rPr>
                <w:rFonts w:asciiTheme="majorHAnsi" w:hAnsiTheme="majorHAnsi" w:cstheme="majorHAnsi"/>
                <w:lang w:val="bg-BG"/>
              </w:rPr>
              <w:t xml:space="preserve">Какви са промените в социално-икономическото развитие на страната и </w:t>
            </w:r>
            <w:r w:rsidR="0097249A" w:rsidRPr="00354CE4">
              <w:rPr>
                <w:rFonts w:asciiTheme="majorHAnsi" w:hAnsiTheme="majorHAnsi" w:cstheme="majorHAnsi"/>
                <w:lang w:val="bg-BG"/>
              </w:rPr>
              <w:t>сектор „Рибарство“</w:t>
            </w:r>
            <w:r w:rsidRPr="00354CE4">
              <w:rPr>
                <w:rFonts w:asciiTheme="majorHAnsi" w:hAnsiTheme="majorHAnsi" w:cstheme="majorHAnsi"/>
                <w:lang w:val="bg-BG"/>
              </w:rPr>
              <w:t xml:space="preserve"> и представляват ли те ограничение за развитието?</w:t>
            </w:r>
          </w:p>
          <w:p w:rsidR="001E6086" w:rsidRPr="00354CE4" w:rsidRDefault="001E6086" w:rsidP="005F67FF">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bg-BG"/>
              </w:rPr>
            </w:pPr>
            <w:r w:rsidRPr="00354CE4">
              <w:rPr>
                <w:rFonts w:asciiTheme="majorHAnsi" w:hAnsiTheme="majorHAnsi" w:cstheme="majorHAnsi"/>
                <w:lang w:val="bg-BG"/>
              </w:rPr>
              <w:t>Съществуват ли нови фактори, благоприятстващи или затрудняващи икономическото и социалното устойчиво развитие на страната или рибарските райони като част от нея?</w:t>
            </w:r>
          </w:p>
          <w:p w:rsidR="001E6086" w:rsidRPr="00354CE4" w:rsidRDefault="001E6086" w:rsidP="005F67FF">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bg-BG"/>
              </w:rPr>
            </w:pPr>
            <w:r w:rsidRPr="00354CE4">
              <w:rPr>
                <w:rFonts w:asciiTheme="majorHAnsi" w:hAnsiTheme="majorHAnsi" w:cstheme="majorHAnsi"/>
                <w:lang w:val="bg-BG"/>
              </w:rPr>
              <w:t>Какво е съответствието на ПМДРА с настъпили промени в социално-икономическото развитие на страната?</w:t>
            </w:r>
          </w:p>
          <w:p w:rsidR="00CA4053" w:rsidRPr="00354CE4" w:rsidRDefault="00CA4053" w:rsidP="005F67FF">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bg-BG"/>
              </w:rPr>
            </w:pPr>
            <w:r w:rsidRPr="00354CE4">
              <w:rPr>
                <w:rFonts w:asciiTheme="majorHAnsi" w:hAnsiTheme="majorHAnsi" w:cstheme="majorHAnsi"/>
                <w:lang w:val="bg-BG"/>
              </w:rPr>
              <w:t>Съответства ли предоставената подкрепа на специфичните цели по Приоритети съгласно Стратегията на ПМДРА?</w:t>
            </w:r>
          </w:p>
          <w:p w:rsidR="00CA4053" w:rsidRPr="00354CE4" w:rsidRDefault="00CA4053" w:rsidP="005F67FF">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bg-BG"/>
              </w:rPr>
            </w:pPr>
            <w:r w:rsidRPr="00354CE4">
              <w:rPr>
                <w:rFonts w:asciiTheme="majorHAnsi" w:hAnsiTheme="majorHAnsi" w:cstheme="majorHAnsi"/>
                <w:lang w:val="bg-BG"/>
              </w:rPr>
              <w:t>Адресирани ли са релевантно нуждите на целевите групи с оглед настъпили промени в идентифицираните в процеса на програмиране нужди на целевите групи?</w:t>
            </w:r>
          </w:p>
          <w:p w:rsidR="001E6086" w:rsidRPr="00354CE4" w:rsidRDefault="001E6086" w:rsidP="005F67FF">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bg-BG"/>
              </w:rPr>
            </w:pPr>
            <w:r w:rsidRPr="00354CE4">
              <w:rPr>
                <w:rFonts w:asciiTheme="majorHAnsi" w:hAnsiTheme="majorHAnsi" w:cstheme="majorHAnsi"/>
                <w:lang w:val="bg-BG"/>
              </w:rPr>
              <w:t>Какви са текущите резултати от изпълнението на ПМДРА по физически и финансови индикатори на база последни налични данни (за периода 2021 – 2025 г.)?</w:t>
            </w:r>
          </w:p>
          <w:p w:rsidR="001E6086" w:rsidRPr="00354CE4" w:rsidRDefault="001E6086" w:rsidP="005F67FF">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bg-BG"/>
              </w:rPr>
            </w:pPr>
            <w:r w:rsidRPr="00354CE4">
              <w:rPr>
                <w:rFonts w:asciiTheme="majorHAnsi" w:hAnsiTheme="majorHAnsi" w:cstheme="majorHAnsi"/>
                <w:lang w:val="bg-BG"/>
              </w:rPr>
              <w:t xml:space="preserve">Каква е степента на постигане на </w:t>
            </w:r>
            <w:r w:rsidR="0097249A" w:rsidRPr="00354CE4">
              <w:rPr>
                <w:rFonts w:asciiTheme="majorHAnsi" w:hAnsiTheme="majorHAnsi" w:cstheme="majorHAnsi"/>
                <w:lang w:val="bg-BG"/>
              </w:rPr>
              <w:t xml:space="preserve">целите на </w:t>
            </w:r>
            <w:r w:rsidRPr="00354CE4">
              <w:rPr>
                <w:rFonts w:asciiTheme="majorHAnsi" w:hAnsiTheme="majorHAnsi" w:cstheme="majorHAnsi"/>
                <w:lang w:val="bg-BG"/>
              </w:rPr>
              <w:t>приоритетите и изпълнението на специфичните цели на ПМДРА?</w:t>
            </w:r>
          </w:p>
          <w:p w:rsidR="001E6086" w:rsidRPr="00354CE4" w:rsidRDefault="001E6086" w:rsidP="005F67FF">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bg-BG"/>
              </w:rPr>
            </w:pPr>
            <w:r w:rsidRPr="00354CE4">
              <w:rPr>
                <w:rFonts w:asciiTheme="majorHAnsi" w:hAnsiTheme="majorHAnsi" w:cstheme="majorHAnsi"/>
                <w:lang w:val="bg-BG"/>
              </w:rPr>
              <w:t>Каква е ефективността и ефикасността на използваните ресурси за изпълнение на ПМДРА?</w:t>
            </w:r>
          </w:p>
          <w:p w:rsidR="001E6086" w:rsidRPr="00354CE4" w:rsidRDefault="001E6086" w:rsidP="005F67FF">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bg-BG"/>
              </w:rPr>
            </w:pPr>
            <w:r w:rsidRPr="00354CE4">
              <w:rPr>
                <w:rFonts w:asciiTheme="majorHAnsi" w:hAnsiTheme="majorHAnsi" w:cstheme="majorHAnsi"/>
                <w:lang w:val="bg-BG"/>
              </w:rPr>
              <w:t>Как се оценяват процесите на наблюдение и координация на изпълнението на ПМДРА?</w:t>
            </w:r>
          </w:p>
        </w:tc>
      </w:tr>
      <w:tr w:rsidR="00045AF3" w:rsidRPr="00354CE4" w:rsidTr="004B0E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 w:type="pct"/>
          </w:tcPr>
          <w:p w:rsidR="00045AF3" w:rsidRPr="00354CE4" w:rsidRDefault="00045AF3" w:rsidP="005F67FF">
            <w:pPr>
              <w:rPr>
                <w:rFonts w:asciiTheme="majorHAnsi" w:hAnsiTheme="majorHAnsi" w:cstheme="majorHAnsi"/>
                <w:lang w:val="bg-BG"/>
              </w:rPr>
            </w:pPr>
            <w:r w:rsidRPr="00354CE4">
              <w:rPr>
                <w:rFonts w:asciiTheme="majorHAnsi" w:hAnsiTheme="majorHAnsi" w:cstheme="majorHAnsi"/>
                <w:lang w:val="bg-BG"/>
              </w:rPr>
              <w:lastRenderedPageBreak/>
              <w:t>Инструменти за набиране на информация и методи за извършване на оценката и изисквания по отношение на необходимите данни</w:t>
            </w:r>
          </w:p>
        </w:tc>
        <w:tc>
          <w:tcPr>
            <w:tcW w:w="4065" w:type="pct"/>
          </w:tcPr>
          <w:p w:rsidR="00CA4053" w:rsidRPr="00354CE4" w:rsidRDefault="00CA4053" w:rsidP="005F67FF">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bg-BG"/>
              </w:rPr>
            </w:pPr>
            <w:r w:rsidRPr="00354CE4">
              <w:rPr>
                <w:rFonts w:asciiTheme="majorHAnsi" w:hAnsiTheme="majorHAnsi" w:cstheme="majorHAnsi"/>
                <w:lang w:val="bg-BG"/>
              </w:rPr>
              <w:t>Необходимият индикативен минимум, който методиката трябва да включва е:</w:t>
            </w:r>
          </w:p>
          <w:p w:rsidR="00CA4053" w:rsidRPr="00354CE4" w:rsidRDefault="00CA4053" w:rsidP="005F67FF">
            <w:pPr>
              <w:pStyle w:val="ListParagraph"/>
              <w:numPr>
                <w:ilvl w:val="0"/>
                <w:numId w:val="27"/>
              </w:num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bg-BG"/>
              </w:rPr>
            </w:pPr>
            <w:r w:rsidRPr="00354CE4">
              <w:rPr>
                <w:rFonts w:asciiTheme="majorHAnsi" w:hAnsiTheme="majorHAnsi" w:cstheme="majorHAnsi"/>
                <w:lang w:val="bg-BG"/>
              </w:rPr>
              <w:t xml:space="preserve">кабинетно проучване - преглед и анализ на документи, проучване на конкретни случаи (case study); </w:t>
            </w:r>
          </w:p>
          <w:p w:rsidR="00CA4053" w:rsidRPr="00354CE4" w:rsidRDefault="00CA4053" w:rsidP="005F67FF">
            <w:pPr>
              <w:pStyle w:val="ListParagraph"/>
              <w:numPr>
                <w:ilvl w:val="0"/>
                <w:numId w:val="27"/>
              </w:num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bg-BG"/>
              </w:rPr>
            </w:pPr>
            <w:r w:rsidRPr="00354CE4">
              <w:rPr>
                <w:rFonts w:asciiTheme="majorHAnsi" w:hAnsiTheme="majorHAnsi" w:cstheme="majorHAnsi"/>
                <w:lang w:val="bg-BG"/>
              </w:rPr>
              <w:t xml:space="preserve">събиране и обработка на първична и вторична информация - количествени и качествени методи; </w:t>
            </w:r>
          </w:p>
          <w:p w:rsidR="00CA4053" w:rsidRPr="00354CE4" w:rsidRDefault="00CA4053" w:rsidP="005F67FF">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bg-BG"/>
              </w:rPr>
            </w:pPr>
            <w:r w:rsidRPr="00354CE4">
              <w:rPr>
                <w:rFonts w:asciiTheme="majorHAnsi" w:hAnsiTheme="majorHAnsi" w:cstheme="majorHAnsi"/>
                <w:lang w:val="bg-BG"/>
              </w:rPr>
              <w:t>За целите за набиране на първична количествена и качествена информация следва да бъде планирано прилагането на анкетни карти/въпросници за проучвания (в съответния подходящ метод), интервюта, дискусия /фокус групи с представители на УО на ръководно и оперативно ниво и представители на целевите групи</w:t>
            </w:r>
            <w:r w:rsidR="0097249A" w:rsidRPr="00354CE4">
              <w:rPr>
                <w:rFonts w:asciiTheme="majorHAnsi" w:hAnsiTheme="majorHAnsi" w:cstheme="majorHAnsi"/>
                <w:lang w:val="bg-BG"/>
              </w:rPr>
              <w:t xml:space="preserve"> </w:t>
            </w:r>
            <w:r w:rsidRPr="00354CE4">
              <w:rPr>
                <w:rFonts w:asciiTheme="majorHAnsi" w:hAnsiTheme="majorHAnsi" w:cstheme="majorHAnsi"/>
                <w:lang w:val="bg-BG"/>
              </w:rPr>
              <w:t>/</w:t>
            </w:r>
            <w:r w:rsidR="0097249A" w:rsidRPr="00354CE4">
              <w:rPr>
                <w:rFonts w:asciiTheme="majorHAnsi" w:hAnsiTheme="majorHAnsi" w:cstheme="majorHAnsi"/>
                <w:lang w:val="bg-BG"/>
              </w:rPr>
              <w:t xml:space="preserve"> </w:t>
            </w:r>
            <w:r w:rsidRPr="00354CE4">
              <w:rPr>
                <w:rFonts w:asciiTheme="majorHAnsi" w:hAnsiTheme="majorHAnsi" w:cstheme="majorHAnsi"/>
                <w:lang w:val="bg-BG"/>
              </w:rPr>
              <w:t xml:space="preserve">бенефициентите по Програмата, потенциални бенефициенти и други заинтересовани страни; </w:t>
            </w:r>
          </w:p>
          <w:p w:rsidR="00CA4053" w:rsidRPr="00354CE4" w:rsidRDefault="00CA4053" w:rsidP="005F67FF">
            <w:pPr>
              <w:pStyle w:val="ListParagraph"/>
              <w:numPr>
                <w:ilvl w:val="0"/>
                <w:numId w:val="27"/>
              </w:num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bg-BG"/>
              </w:rPr>
            </w:pPr>
            <w:r w:rsidRPr="00354CE4">
              <w:rPr>
                <w:rFonts w:asciiTheme="majorHAnsi" w:hAnsiTheme="majorHAnsi" w:cstheme="majorHAnsi"/>
                <w:lang w:val="bg-BG"/>
              </w:rPr>
              <w:t>анализ на ефективността и ефикасността на изпълнението, на уместността и съгласуването на програмата;</w:t>
            </w:r>
          </w:p>
          <w:p w:rsidR="00CA4053" w:rsidRPr="00354CE4" w:rsidRDefault="00CA4053" w:rsidP="005F67FF">
            <w:pPr>
              <w:pStyle w:val="ListParagraph"/>
              <w:numPr>
                <w:ilvl w:val="0"/>
                <w:numId w:val="27"/>
              </w:num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bg-BG"/>
              </w:rPr>
            </w:pPr>
            <w:r w:rsidRPr="00354CE4">
              <w:rPr>
                <w:rFonts w:asciiTheme="majorHAnsi" w:hAnsiTheme="majorHAnsi" w:cstheme="majorHAnsi"/>
                <w:lang w:val="bg-BG"/>
              </w:rPr>
              <w:lastRenderedPageBreak/>
              <w:t xml:space="preserve">други методически подходи, според целите, спецификата и въпросите на оценката (подробно описани и обосновани от изпълнителя в техническото му предложение по обществената поръчка). </w:t>
            </w:r>
          </w:p>
          <w:p w:rsidR="00045AF3" w:rsidRPr="00354CE4" w:rsidRDefault="00CA4053" w:rsidP="00DC126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bg-BG"/>
              </w:rPr>
            </w:pPr>
            <w:r w:rsidRPr="00354CE4">
              <w:rPr>
                <w:rFonts w:asciiTheme="majorHAnsi" w:hAnsiTheme="majorHAnsi" w:cstheme="majorHAnsi"/>
                <w:lang w:val="bg-BG"/>
              </w:rPr>
              <w:t>При проектиране на методическия инструментариум релевантността и качеството на информацията следва да бъде гарантирано чрез на триангулаци</w:t>
            </w:r>
            <w:r w:rsidR="00DC1260" w:rsidRPr="00354CE4">
              <w:rPr>
                <w:rFonts w:asciiTheme="majorHAnsi" w:hAnsiTheme="majorHAnsi" w:cstheme="majorHAnsi"/>
                <w:lang w:val="bg-BG"/>
              </w:rPr>
              <w:t>я на данните и методите за те</w:t>
            </w:r>
            <w:r w:rsidR="008053D4" w:rsidRPr="00354CE4">
              <w:rPr>
                <w:rFonts w:asciiTheme="majorHAnsi" w:hAnsiTheme="majorHAnsi" w:cstheme="majorHAnsi"/>
                <w:lang w:val="bg-BG"/>
              </w:rPr>
              <w:t>х</w:t>
            </w:r>
            <w:r w:rsidR="00DC1260" w:rsidRPr="00354CE4">
              <w:rPr>
                <w:rFonts w:asciiTheme="majorHAnsi" w:hAnsiTheme="majorHAnsi" w:cstheme="majorHAnsi"/>
                <w:lang w:val="bg-BG"/>
              </w:rPr>
              <w:t>ния анализ</w:t>
            </w:r>
            <w:r w:rsidRPr="00354CE4">
              <w:rPr>
                <w:rFonts w:asciiTheme="majorHAnsi" w:hAnsiTheme="majorHAnsi" w:cstheme="majorHAnsi"/>
                <w:lang w:val="bg-BG"/>
              </w:rPr>
              <w:t>.</w:t>
            </w:r>
          </w:p>
        </w:tc>
      </w:tr>
    </w:tbl>
    <w:p w:rsidR="00F6758A" w:rsidRPr="00354CE4" w:rsidRDefault="00F6758A" w:rsidP="005F67FF"/>
    <w:p w:rsidR="00C421E3" w:rsidRPr="00354CE4" w:rsidRDefault="00C421E3" w:rsidP="005F67FF">
      <w:pPr>
        <w:pStyle w:val="Heading2"/>
      </w:pPr>
      <w:bookmarkStart w:id="45" w:name="_Toc153543124"/>
      <w:bookmarkStart w:id="46" w:name="_Toc160622940"/>
      <w:r w:rsidRPr="00354CE4">
        <w:t xml:space="preserve">Анализ състоянието на </w:t>
      </w:r>
      <w:r w:rsidR="0097249A" w:rsidRPr="00354CE4">
        <w:t>сектор „Рибарство“</w:t>
      </w:r>
      <w:r w:rsidRPr="00354CE4">
        <w:t xml:space="preserve"> в България за подготовка на програмния период 2028+</w:t>
      </w:r>
      <w:bookmarkEnd w:id="45"/>
      <w:bookmarkEnd w:id="46"/>
    </w:p>
    <w:tbl>
      <w:tblPr>
        <w:tblStyle w:val="351"/>
        <w:tblW w:w="5000" w:type="pct"/>
        <w:tblLook w:val="04A0" w:firstRow="1" w:lastRow="0" w:firstColumn="1" w:lastColumn="0" w:noHBand="0" w:noVBand="1"/>
      </w:tblPr>
      <w:tblGrid>
        <w:gridCol w:w="1851"/>
        <w:gridCol w:w="8004"/>
      </w:tblGrid>
      <w:tr w:rsidR="00CA4053" w:rsidRPr="00354CE4" w:rsidTr="004B0EC8">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935" w:type="pct"/>
          </w:tcPr>
          <w:p w:rsidR="00CA4053" w:rsidRPr="00354CE4" w:rsidRDefault="00CA4053" w:rsidP="005F67FF">
            <w:pPr>
              <w:rPr>
                <w:rFonts w:asciiTheme="majorHAnsi" w:hAnsiTheme="majorHAnsi" w:cstheme="majorHAnsi"/>
                <w:lang w:val="bg-BG"/>
              </w:rPr>
            </w:pPr>
            <w:r w:rsidRPr="00354CE4">
              <w:rPr>
                <w:rFonts w:asciiTheme="majorHAnsi" w:hAnsiTheme="majorHAnsi" w:cstheme="majorHAnsi"/>
                <w:lang w:val="bg-BG"/>
              </w:rPr>
              <w:t xml:space="preserve">Тема на </w:t>
            </w:r>
            <w:r w:rsidR="00F65084" w:rsidRPr="00354CE4">
              <w:rPr>
                <w:rFonts w:asciiTheme="majorHAnsi" w:hAnsiTheme="majorHAnsi" w:cstheme="majorHAnsi"/>
                <w:lang w:val="bg-BG"/>
              </w:rPr>
              <w:t>анализа</w:t>
            </w:r>
          </w:p>
        </w:tc>
        <w:tc>
          <w:tcPr>
            <w:tcW w:w="4065" w:type="pct"/>
          </w:tcPr>
          <w:p w:rsidR="00CA4053" w:rsidRPr="00354CE4" w:rsidRDefault="005A4E17" w:rsidP="005F67FF">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lang w:val="bg-BG"/>
              </w:rPr>
            </w:pPr>
            <w:r w:rsidRPr="00354CE4">
              <w:rPr>
                <w:rFonts w:asciiTheme="majorHAnsi" w:hAnsiTheme="majorHAnsi" w:cstheme="majorHAnsi"/>
                <w:lang w:val="bg-BG"/>
              </w:rPr>
              <w:t xml:space="preserve">Анализ състоянието на </w:t>
            </w:r>
            <w:r w:rsidR="0097249A" w:rsidRPr="00354CE4">
              <w:rPr>
                <w:rFonts w:asciiTheme="majorHAnsi" w:hAnsiTheme="majorHAnsi" w:cstheme="majorHAnsi"/>
                <w:lang w:val="bg-BG"/>
              </w:rPr>
              <w:t>сектор „Рибарство“</w:t>
            </w:r>
            <w:r w:rsidRPr="00354CE4">
              <w:rPr>
                <w:rFonts w:asciiTheme="majorHAnsi" w:hAnsiTheme="majorHAnsi" w:cstheme="majorHAnsi"/>
                <w:lang w:val="bg-BG"/>
              </w:rPr>
              <w:t xml:space="preserve"> в България за подготовка на програмния период 2028+</w:t>
            </w:r>
          </w:p>
        </w:tc>
      </w:tr>
      <w:tr w:rsidR="00CA4053" w:rsidRPr="00354CE4" w:rsidTr="004B0E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 w:type="pct"/>
          </w:tcPr>
          <w:p w:rsidR="00CA4053" w:rsidRPr="00354CE4" w:rsidRDefault="00CA4053" w:rsidP="005F67FF">
            <w:pPr>
              <w:rPr>
                <w:rFonts w:asciiTheme="majorHAnsi" w:hAnsiTheme="majorHAnsi" w:cstheme="majorHAnsi"/>
                <w:lang w:val="bg-BG"/>
              </w:rPr>
            </w:pPr>
            <w:r w:rsidRPr="00354CE4">
              <w:rPr>
                <w:rFonts w:asciiTheme="majorHAnsi" w:hAnsiTheme="majorHAnsi" w:cstheme="majorHAnsi"/>
                <w:lang w:val="bg-BG"/>
              </w:rPr>
              <w:t>Предмет, обхват, контекст и обосновка на необходимостта от оценката</w:t>
            </w:r>
          </w:p>
        </w:tc>
        <w:tc>
          <w:tcPr>
            <w:tcW w:w="4065" w:type="pct"/>
          </w:tcPr>
          <w:p w:rsidR="00442DB8" w:rsidRPr="00354CE4" w:rsidRDefault="00CA4053" w:rsidP="005F67FF">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bg-BG"/>
              </w:rPr>
            </w:pPr>
            <w:r w:rsidRPr="00354CE4">
              <w:rPr>
                <w:rFonts w:asciiTheme="majorHAnsi" w:hAnsiTheme="majorHAnsi" w:cstheme="majorHAnsi"/>
                <w:lang w:val="bg-BG"/>
              </w:rPr>
              <w:t xml:space="preserve">Предмет на </w:t>
            </w:r>
            <w:r w:rsidR="005A4E17" w:rsidRPr="00354CE4">
              <w:rPr>
                <w:rFonts w:asciiTheme="majorHAnsi" w:hAnsiTheme="majorHAnsi" w:cstheme="majorHAnsi"/>
                <w:lang w:val="bg-BG"/>
              </w:rPr>
              <w:t>анализа</w:t>
            </w:r>
            <w:r w:rsidR="00442DB8" w:rsidRPr="00354CE4">
              <w:rPr>
                <w:rFonts w:asciiTheme="majorHAnsi" w:hAnsiTheme="majorHAnsi" w:cstheme="majorHAnsi"/>
                <w:lang w:val="bg-BG"/>
              </w:rPr>
              <w:t xml:space="preserve"> е състоянието на сектор „Рибарство“ в България: състояние на подсектори, тенденции за развитие и перспективи за сектора във връзка с подготовката на програмния период след 2028 г. </w:t>
            </w:r>
          </w:p>
          <w:p w:rsidR="00442DB8" w:rsidRPr="00354CE4" w:rsidRDefault="00442DB8" w:rsidP="005F67FF">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bg-BG"/>
              </w:rPr>
            </w:pPr>
            <w:r w:rsidRPr="00354CE4">
              <w:rPr>
                <w:rFonts w:asciiTheme="majorHAnsi" w:hAnsiTheme="majorHAnsi" w:cstheme="majorHAnsi"/>
                <w:lang w:val="bg-BG"/>
              </w:rPr>
              <w:t xml:space="preserve">Обхватът на секторния анализ следва да включва стопански риболов, аквакултури, преработка на риба и други водни организми, пазари и търговия с риба и рибни продукти, консумация на риба и рибни продукти. </w:t>
            </w:r>
          </w:p>
          <w:p w:rsidR="00442DB8" w:rsidRPr="00354CE4" w:rsidRDefault="00442DB8" w:rsidP="005F67FF">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bg-BG"/>
              </w:rPr>
            </w:pPr>
            <w:r w:rsidRPr="00354CE4">
              <w:rPr>
                <w:rFonts w:asciiTheme="majorHAnsi" w:hAnsiTheme="majorHAnsi" w:cstheme="majorHAnsi"/>
                <w:lang w:val="bg-BG"/>
              </w:rPr>
              <w:t>Следва да бъдат анализирани и тенденции по отношение на заетост в сектора, роля на сектора в социалното развитие на регионите и включването на жените, екологични аспекти на сектора, вкл. влияние на климатичните промени, образование, обучение и научно-изследователска дейност, достъп до финансови средства, промени в нормативната уредба в сектора, управление на рибарството, организации на производители и заинтересовани страни.</w:t>
            </w:r>
          </w:p>
          <w:p w:rsidR="00442DB8" w:rsidRPr="00354CE4" w:rsidRDefault="00442DB8" w:rsidP="005F67FF">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bg-BG"/>
              </w:rPr>
            </w:pPr>
            <w:r w:rsidRPr="00354CE4">
              <w:rPr>
                <w:rFonts w:asciiTheme="majorHAnsi" w:hAnsiTheme="majorHAnsi" w:cstheme="majorHAnsi"/>
                <w:lang w:val="bg-BG"/>
              </w:rPr>
              <w:t>Въз основа на проследените тенденции следва да бъде изготвен SWOT анализ, вкл. различните стратегии за управление на комбинации от вътрешни и външни фактори.</w:t>
            </w:r>
          </w:p>
          <w:p w:rsidR="00CA4053" w:rsidRPr="00354CE4" w:rsidRDefault="00442DB8" w:rsidP="005F67FF">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bg-BG"/>
              </w:rPr>
            </w:pPr>
            <w:r w:rsidRPr="00354CE4">
              <w:rPr>
                <w:rFonts w:asciiTheme="majorHAnsi" w:hAnsiTheme="majorHAnsi" w:cstheme="majorHAnsi"/>
                <w:lang w:val="bg-BG"/>
              </w:rPr>
              <w:t xml:space="preserve">Анализът на състоянието следва да изведе визия за развитието на </w:t>
            </w:r>
            <w:r w:rsidR="0097249A" w:rsidRPr="00354CE4">
              <w:rPr>
                <w:rFonts w:asciiTheme="majorHAnsi" w:hAnsiTheme="majorHAnsi" w:cstheme="majorHAnsi"/>
                <w:lang w:val="bg-BG"/>
              </w:rPr>
              <w:t>сектор „Рибарство“</w:t>
            </w:r>
            <w:r w:rsidRPr="00354CE4">
              <w:rPr>
                <w:rFonts w:asciiTheme="majorHAnsi" w:hAnsiTheme="majorHAnsi" w:cstheme="majorHAnsi"/>
                <w:lang w:val="bg-BG"/>
              </w:rPr>
              <w:t xml:space="preserve"> за следващия програмен период в контекста на Общата политика в областта на рибарството и да се изведат конкретни стратегически насоки за действия, </w:t>
            </w:r>
            <w:r w:rsidR="007C2CC8" w:rsidRPr="00354CE4">
              <w:rPr>
                <w:rFonts w:asciiTheme="majorHAnsi" w:hAnsiTheme="majorHAnsi" w:cstheme="majorHAnsi"/>
                <w:lang w:val="bg-BG"/>
              </w:rPr>
              <w:t xml:space="preserve">да се </w:t>
            </w:r>
            <w:r w:rsidRPr="00354CE4">
              <w:rPr>
                <w:rFonts w:asciiTheme="majorHAnsi" w:hAnsiTheme="majorHAnsi" w:cstheme="majorHAnsi"/>
                <w:lang w:val="bg-BG"/>
              </w:rPr>
              <w:t>определят приоритети</w:t>
            </w:r>
            <w:r w:rsidR="007C2CC8" w:rsidRPr="00354CE4">
              <w:rPr>
                <w:rFonts w:asciiTheme="majorHAnsi" w:hAnsiTheme="majorHAnsi" w:cstheme="majorHAnsi"/>
                <w:lang w:val="bg-BG"/>
              </w:rPr>
              <w:t>те</w:t>
            </w:r>
            <w:r w:rsidRPr="00354CE4">
              <w:rPr>
                <w:rFonts w:asciiTheme="majorHAnsi" w:hAnsiTheme="majorHAnsi" w:cstheme="majorHAnsi"/>
                <w:lang w:val="bg-BG"/>
              </w:rPr>
              <w:t xml:space="preserve"> за сектора и неговите подсектори. Анализът следва да определи ключови индикатори и техни базови показатели за проследяване състоянието на сектора. </w:t>
            </w:r>
          </w:p>
        </w:tc>
      </w:tr>
      <w:tr w:rsidR="00CA4053" w:rsidRPr="00354CE4" w:rsidTr="004B0EC8">
        <w:tc>
          <w:tcPr>
            <w:cnfStyle w:val="001000000000" w:firstRow="0" w:lastRow="0" w:firstColumn="1" w:lastColumn="0" w:oddVBand="0" w:evenVBand="0" w:oddHBand="0" w:evenHBand="0" w:firstRowFirstColumn="0" w:firstRowLastColumn="0" w:lastRowFirstColumn="0" w:lastRowLastColumn="0"/>
            <w:tcW w:w="935" w:type="pct"/>
          </w:tcPr>
          <w:p w:rsidR="00CA4053" w:rsidRPr="00354CE4" w:rsidRDefault="00CA4053" w:rsidP="005F67FF">
            <w:pPr>
              <w:rPr>
                <w:rFonts w:asciiTheme="majorHAnsi" w:hAnsiTheme="majorHAnsi" w:cstheme="majorHAnsi"/>
                <w:lang w:val="bg-BG"/>
              </w:rPr>
            </w:pPr>
            <w:r w:rsidRPr="00354CE4">
              <w:rPr>
                <w:rFonts w:asciiTheme="majorHAnsi" w:hAnsiTheme="majorHAnsi" w:cstheme="majorHAnsi"/>
                <w:lang w:val="bg-BG"/>
              </w:rPr>
              <w:t>Индикативни дейности</w:t>
            </w:r>
          </w:p>
        </w:tc>
        <w:tc>
          <w:tcPr>
            <w:tcW w:w="4065" w:type="pct"/>
          </w:tcPr>
          <w:p w:rsidR="00CA4053" w:rsidRPr="00354CE4" w:rsidRDefault="006F7AA4" w:rsidP="005F67FF">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bg-BG"/>
              </w:rPr>
            </w:pPr>
            <w:r w:rsidRPr="00354CE4">
              <w:rPr>
                <w:rFonts w:asciiTheme="majorHAnsi" w:hAnsiTheme="majorHAnsi" w:cstheme="majorHAnsi"/>
                <w:lang w:val="bg-BG"/>
              </w:rPr>
              <w:t>Анализът на състоянието ще се основава на изпълнението следните минимални типове дейности:</w:t>
            </w:r>
          </w:p>
          <w:p w:rsidR="006F7AA4" w:rsidRPr="00354CE4" w:rsidRDefault="006F7AA4" w:rsidP="005F67FF">
            <w:pPr>
              <w:pStyle w:val="ListParagraph"/>
              <w:numPr>
                <w:ilvl w:val="0"/>
                <w:numId w:val="28"/>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bg-BG"/>
              </w:rPr>
            </w:pPr>
            <w:r w:rsidRPr="00354CE4">
              <w:rPr>
                <w:rFonts w:asciiTheme="majorHAnsi" w:hAnsiTheme="majorHAnsi" w:cstheme="majorHAnsi"/>
                <w:lang w:val="bg-BG"/>
              </w:rPr>
              <w:t xml:space="preserve">Набиране и обработка на информация за състоянието и развитието на </w:t>
            </w:r>
            <w:r w:rsidR="0097249A" w:rsidRPr="00354CE4">
              <w:rPr>
                <w:rFonts w:asciiTheme="majorHAnsi" w:hAnsiTheme="majorHAnsi" w:cstheme="majorHAnsi"/>
                <w:lang w:val="bg-BG"/>
              </w:rPr>
              <w:t>сектор „Рибарство“</w:t>
            </w:r>
            <w:r w:rsidRPr="00354CE4">
              <w:rPr>
                <w:rFonts w:asciiTheme="majorHAnsi" w:hAnsiTheme="majorHAnsi" w:cstheme="majorHAnsi"/>
                <w:lang w:val="bg-BG"/>
              </w:rPr>
              <w:t xml:space="preserve"> и неговите подсектори в обхвата, посочен по-горе;</w:t>
            </w:r>
          </w:p>
          <w:p w:rsidR="006F7AA4" w:rsidRPr="00354CE4" w:rsidRDefault="006F7AA4" w:rsidP="005F67FF">
            <w:pPr>
              <w:pStyle w:val="ListParagraph"/>
              <w:numPr>
                <w:ilvl w:val="0"/>
                <w:numId w:val="28"/>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bg-BG"/>
              </w:rPr>
            </w:pPr>
            <w:r w:rsidRPr="00354CE4">
              <w:rPr>
                <w:rFonts w:asciiTheme="majorHAnsi" w:hAnsiTheme="majorHAnsi" w:cstheme="majorHAnsi"/>
                <w:lang w:val="bg-BG"/>
              </w:rPr>
              <w:t xml:space="preserve">Изготвяне на анализ на състоянието и тенденциите за развитие на </w:t>
            </w:r>
            <w:r w:rsidR="0097249A" w:rsidRPr="00354CE4">
              <w:rPr>
                <w:rFonts w:asciiTheme="majorHAnsi" w:hAnsiTheme="majorHAnsi" w:cstheme="majorHAnsi"/>
                <w:lang w:val="bg-BG"/>
              </w:rPr>
              <w:t>сектор „Рибарство“</w:t>
            </w:r>
            <w:r w:rsidRPr="00354CE4">
              <w:rPr>
                <w:rFonts w:asciiTheme="majorHAnsi" w:hAnsiTheme="majorHAnsi" w:cstheme="majorHAnsi"/>
                <w:lang w:val="bg-BG"/>
              </w:rPr>
              <w:t xml:space="preserve"> и неговите подсектори в обхвата, посочен по-</w:t>
            </w:r>
            <w:r w:rsidRPr="00354CE4">
              <w:rPr>
                <w:rFonts w:asciiTheme="majorHAnsi" w:hAnsiTheme="majorHAnsi" w:cstheme="majorHAnsi"/>
                <w:lang w:val="bg-BG"/>
              </w:rPr>
              <w:lastRenderedPageBreak/>
              <w:t xml:space="preserve">горе, вкл. оценка на приноса на оперативните програми за развитието на </w:t>
            </w:r>
            <w:r w:rsidR="0097249A" w:rsidRPr="00354CE4">
              <w:rPr>
                <w:rFonts w:asciiTheme="majorHAnsi" w:hAnsiTheme="majorHAnsi" w:cstheme="majorHAnsi"/>
                <w:lang w:val="bg-BG"/>
              </w:rPr>
              <w:t>сектор „Рибарство“</w:t>
            </w:r>
            <w:r w:rsidRPr="00354CE4">
              <w:rPr>
                <w:rFonts w:asciiTheme="majorHAnsi" w:hAnsiTheme="majorHAnsi" w:cstheme="majorHAnsi"/>
                <w:lang w:val="bg-BG"/>
              </w:rPr>
              <w:t xml:space="preserve"> в периодите 2014-2020 и 2021-2027 г.;</w:t>
            </w:r>
          </w:p>
          <w:p w:rsidR="006F7AA4" w:rsidRPr="00354CE4" w:rsidRDefault="006F7AA4" w:rsidP="005F67FF">
            <w:pPr>
              <w:pStyle w:val="ListParagraph"/>
              <w:numPr>
                <w:ilvl w:val="0"/>
                <w:numId w:val="28"/>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bg-BG"/>
              </w:rPr>
            </w:pPr>
            <w:r w:rsidRPr="00354CE4">
              <w:rPr>
                <w:rFonts w:asciiTheme="majorHAnsi" w:hAnsiTheme="majorHAnsi" w:cstheme="majorHAnsi"/>
                <w:lang w:val="bg-BG"/>
              </w:rPr>
              <w:t>Изготвяне на SWOT анализ и предложения за стратегии за оползотворяване на силните страни и възможности и преодоляване на слабите страни и заплахите;</w:t>
            </w:r>
          </w:p>
          <w:p w:rsidR="006F7AA4" w:rsidRPr="00354CE4" w:rsidRDefault="006F7AA4" w:rsidP="005F67FF">
            <w:pPr>
              <w:pStyle w:val="ListParagraph"/>
              <w:numPr>
                <w:ilvl w:val="0"/>
                <w:numId w:val="28"/>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bg-BG"/>
              </w:rPr>
            </w:pPr>
            <w:r w:rsidRPr="00354CE4">
              <w:rPr>
                <w:rFonts w:asciiTheme="majorHAnsi" w:hAnsiTheme="majorHAnsi" w:cstheme="majorHAnsi"/>
                <w:lang w:val="bg-BG"/>
              </w:rPr>
              <w:t>Определяне на визия за развитие на сектора и определяне на приоритетите за неговото развитие. Стратегически цели за постигане в следващия програмен период 2028+.</w:t>
            </w:r>
          </w:p>
        </w:tc>
      </w:tr>
      <w:tr w:rsidR="00CA4053" w:rsidRPr="00354CE4" w:rsidTr="004B0E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 w:type="pct"/>
          </w:tcPr>
          <w:p w:rsidR="00CA4053" w:rsidRPr="00354CE4" w:rsidRDefault="00CA4053" w:rsidP="005F67FF">
            <w:pPr>
              <w:rPr>
                <w:rFonts w:asciiTheme="majorHAnsi" w:hAnsiTheme="majorHAnsi" w:cstheme="majorHAnsi"/>
                <w:lang w:val="bg-BG"/>
              </w:rPr>
            </w:pPr>
            <w:r w:rsidRPr="00354CE4">
              <w:rPr>
                <w:rFonts w:asciiTheme="majorHAnsi" w:hAnsiTheme="majorHAnsi" w:cstheme="majorHAnsi"/>
                <w:lang w:val="bg-BG"/>
              </w:rPr>
              <w:lastRenderedPageBreak/>
              <w:t>Приложим подход</w:t>
            </w:r>
          </w:p>
        </w:tc>
        <w:tc>
          <w:tcPr>
            <w:tcW w:w="4065" w:type="pct"/>
          </w:tcPr>
          <w:p w:rsidR="006F7AA4" w:rsidRPr="00354CE4" w:rsidRDefault="006F7AA4" w:rsidP="005F67FF">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bg-BG"/>
              </w:rPr>
            </w:pPr>
            <w:r w:rsidRPr="00354CE4">
              <w:rPr>
                <w:rFonts w:asciiTheme="majorHAnsi" w:hAnsiTheme="majorHAnsi" w:cstheme="majorHAnsi"/>
                <w:lang w:val="bg-BG"/>
              </w:rPr>
              <w:t>Оценка на състоянието, базирана на теорията</w:t>
            </w:r>
          </w:p>
          <w:p w:rsidR="00CA4053" w:rsidRPr="00354CE4" w:rsidRDefault="00CA4053" w:rsidP="005F67FF">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highlight w:val="yellow"/>
                <w:lang w:val="bg-BG"/>
              </w:rPr>
            </w:pPr>
            <w:r w:rsidRPr="00354CE4">
              <w:rPr>
                <w:rFonts w:asciiTheme="majorHAnsi" w:hAnsiTheme="majorHAnsi" w:cstheme="majorHAnsi"/>
                <w:lang w:val="bg-BG"/>
              </w:rPr>
              <w:t>Оценка на процесите и изпълнението</w:t>
            </w:r>
          </w:p>
        </w:tc>
      </w:tr>
      <w:tr w:rsidR="00CA4053" w:rsidRPr="00354CE4" w:rsidTr="004B0EC8">
        <w:tc>
          <w:tcPr>
            <w:cnfStyle w:val="001000000000" w:firstRow="0" w:lastRow="0" w:firstColumn="1" w:lastColumn="0" w:oddVBand="0" w:evenVBand="0" w:oddHBand="0" w:evenHBand="0" w:firstRowFirstColumn="0" w:firstRowLastColumn="0" w:lastRowFirstColumn="0" w:lastRowLastColumn="0"/>
            <w:tcW w:w="935" w:type="pct"/>
          </w:tcPr>
          <w:p w:rsidR="00CA4053" w:rsidRPr="00354CE4" w:rsidRDefault="00CA4053" w:rsidP="005F67FF">
            <w:pPr>
              <w:rPr>
                <w:rFonts w:asciiTheme="majorHAnsi" w:hAnsiTheme="majorHAnsi" w:cstheme="majorHAnsi"/>
                <w:lang w:val="bg-BG"/>
              </w:rPr>
            </w:pPr>
            <w:r w:rsidRPr="00354CE4">
              <w:rPr>
                <w:rFonts w:asciiTheme="majorHAnsi" w:hAnsiTheme="majorHAnsi" w:cstheme="majorHAnsi"/>
                <w:lang w:val="bg-BG"/>
              </w:rPr>
              <w:t xml:space="preserve">Основни </w:t>
            </w:r>
            <w:r w:rsidR="006F7AA4" w:rsidRPr="00354CE4">
              <w:rPr>
                <w:rFonts w:asciiTheme="majorHAnsi" w:hAnsiTheme="majorHAnsi" w:cstheme="majorHAnsi"/>
                <w:lang w:val="bg-BG"/>
              </w:rPr>
              <w:t>теми</w:t>
            </w:r>
            <w:r w:rsidRPr="00354CE4">
              <w:rPr>
                <w:rFonts w:asciiTheme="majorHAnsi" w:hAnsiTheme="majorHAnsi" w:cstheme="majorHAnsi"/>
                <w:lang w:val="bg-BG"/>
              </w:rPr>
              <w:t xml:space="preserve"> за </w:t>
            </w:r>
            <w:r w:rsidR="006F7AA4" w:rsidRPr="00354CE4">
              <w:rPr>
                <w:rFonts w:asciiTheme="majorHAnsi" w:hAnsiTheme="majorHAnsi" w:cstheme="majorHAnsi"/>
                <w:lang w:val="bg-BG"/>
              </w:rPr>
              <w:t>анализ</w:t>
            </w:r>
          </w:p>
        </w:tc>
        <w:tc>
          <w:tcPr>
            <w:tcW w:w="4065" w:type="pct"/>
          </w:tcPr>
          <w:p w:rsidR="00CA4053" w:rsidRPr="00354CE4" w:rsidRDefault="006F7AA4" w:rsidP="005F67FF">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bg-BG"/>
              </w:rPr>
            </w:pPr>
            <w:r w:rsidRPr="00354CE4">
              <w:rPr>
                <w:rFonts w:asciiTheme="majorHAnsi" w:hAnsiTheme="majorHAnsi" w:cstheme="majorHAnsi"/>
                <w:lang w:val="bg-BG"/>
              </w:rPr>
              <w:t>Анализът</w:t>
            </w:r>
            <w:r w:rsidR="00CA4053" w:rsidRPr="00354CE4">
              <w:rPr>
                <w:rFonts w:asciiTheme="majorHAnsi" w:hAnsiTheme="majorHAnsi" w:cstheme="majorHAnsi"/>
                <w:lang w:val="bg-BG"/>
              </w:rPr>
              <w:t xml:space="preserve"> ще изследва, но няма да се ограничава до следните основни въпроси:</w:t>
            </w:r>
          </w:p>
          <w:p w:rsidR="00CA4053" w:rsidRPr="00354CE4" w:rsidRDefault="006F7AA4" w:rsidP="005F67FF">
            <w:pPr>
              <w:pStyle w:val="ListParagraph"/>
              <w:numPr>
                <w:ilvl w:val="0"/>
                <w:numId w:val="29"/>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bg-BG"/>
              </w:rPr>
            </w:pPr>
            <w:r w:rsidRPr="00354CE4">
              <w:rPr>
                <w:rFonts w:asciiTheme="majorHAnsi" w:hAnsiTheme="majorHAnsi" w:cstheme="majorHAnsi"/>
                <w:lang w:val="bg-BG"/>
              </w:rPr>
              <w:t xml:space="preserve">Стопански риболов – състояние на риболовния флот, рибарски пристанища/лодкостоянки, стопански риболов – икономически оператори, пазари, икономически показатели; </w:t>
            </w:r>
            <w:r w:rsidR="007C2CC8" w:rsidRPr="00354CE4">
              <w:rPr>
                <w:rFonts w:asciiTheme="majorHAnsi" w:hAnsiTheme="majorHAnsi" w:cstheme="majorHAnsi"/>
                <w:lang w:val="bg-BG"/>
              </w:rPr>
              <w:t xml:space="preserve">състояние </w:t>
            </w:r>
            <w:r w:rsidRPr="00354CE4">
              <w:rPr>
                <w:rFonts w:asciiTheme="majorHAnsi" w:hAnsiTheme="majorHAnsi" w:cstheme="majorHAnsi"/>
                <w:lang w:val="bg-BG"/>
              </w:rPr>
              <w:t>на рибните запаси – Черно море и р. Дунав</w:t>
            </w:r>
            <w:r w:rsidR="00664152" w:rsidRPr="00354CE4">
              <w:rPr>
                <w:rFonts w:asciiTheme="majorHAnsi" w:hAnsiTheme="majorHAnsi" w:cstheme="majorHAnsi"/>
                <w:lang w:val="bg-BG"/>
              </w:rPr>
              <w:t xml:space="preserve">; </w:t>
            </w:r>
            <w:r w:rsidR="007C2CC8" w:rsidRPr="00354CE4">
              <w:rPr>
                <w:rFonts w:asciiTheme="majorHAnsi" w:hAnsiTheme="majorHAnsi" w:cstheme="majorHAnsi"/>
                <w:lang w:val="bg-BG"/>
              </w:rPr>
              <w:t xml:space="preserve">преглед </w:t>
            </w:r>
            <w:r w:rsidR="00664152" w:rsidRPr="00354CE4">
              <w:rPr>
                <w:rFonts w:asciiTheme="majorHAnsi" w:hAnsiTheme="majorHAnsi" w:cstheme="majorHAnsi"/>
                <w:lang w:val="bg-BG"/>
              </w:rPr>
              <w:t>на правната рамка, свързана със стопанският риболов;</w:t>
            </w:r>
          </w:p>
          <w:p w:rsidR="00664152" w:rsidRPr="00354CE4" w:rsidRDefault="00664152" w:rsidP="005F67FF">
            <w:pPr>
              <w:pStyle w:val="ListParagraph"/>
              <w:numPr>
                <w:ilvl w:val="0"/>
                <w:numId w:val="29"/>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bg-BG"/>
              </w:rPr>
            </w:pPr>
            <w:r w:rsidRPr="00354CE4">
              <w:rPr>
                <w:rFonts w:asciiTheme="majorHAnsi" w:hAnsiTheme="majorHAnsi" w:cstheme="majorHAnsi"/>
                <w:lang w:val="bg-BG"/>
              </w:rPr>
              <w:t>Аквакултури - икономически оператори, разпределение на стопанства за аквакултури, пазари, икономически показатели, динамика в сектора, екологични аспекти, прилагане на иновации и мерки за опазване на околната среда и биологичното разнообразие, преглед на нормативната уредба, относима към производството на аквакултури;</w:t>
            </w:r>
          </w:p>
          <w:p w:rsidR="00664152" w:rsidRPr="00354CE4" w:rsidRDefault="00664152" w:rsidP="005F67FF">
            <w:pPr>
              <w:pStyle w:val="ListParagraph"/>
              <w:numPr>
                <w:ilvl w:val="0"/>
                <w:numId w:val="29"/>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bg-BG"/>
              </w:rPr>
            </w:pPr>
            <w:r w:rsidRPr="00354CE4">
              <w:rPr>
                <w:rFonts w:asciiTheme="majorHAnsi" w:hAnsiTheme="majorHAnsi" w:cstheme="majorHAnsi"/>
                <w:lang w:val="bg-BG"/>
              </w:rPr>
              <w:t>Преработка на риба и други водни организми - икономически оператори, разпределение на мощностите за преработка, преработвани видове и основни типове продукция, пазари, икономически показатели, динамика в сектора, екологични аспекти, прилагане на иновации и мерки за опазване на околната среда и биологичното разнообразие, преглед на нормативната уредба, относима към производството на преработката;</w:t>
            </w:r>
          </w:p>
          <w:p w:rsidR="00664152" w:rsidRPr="00354CE4" w:rsidRDefault="00664152" w:rsidP="005F67FF">
            <w:pPr>
              <w:pStyle w:val="ListParagraph"/>
              <w:numPr>
                <w:ilvl w:val="0"/>
                <w:numId w:val="29"/>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bg-BG"/>
              </w:rPr>
            </w:pPr>
            <w:r w:rsidRPr="00354CE4">
              <w:rPr>
                <w:rFonts w:asciiTheme="majorHAnsi" w:hAnsiTheme="majorHAnsi" w:cstheme="majorHAnsi"/>
                <w:lang w:val="bg-BG"/>
              </w:rPr>
              <w:t>Пазари и търговия с риба и други водни организми;</w:t>
            </w:r>
          </w:p>
          <w:p w:rsidR="00664152" w:rsidRPr="00354CE4" w:rsidRDefault="00664152" w:rsidP="005F67FF">
            <w:pPr>
              <w:pStyle w:val="ListParagraph"/>
              <w:numPr>
                <w:ilvl w:val="0"/>
                <w:numId w:val="29"/>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bg-BG"/>
              </w:rPr>
            </w:pPr>
            <w:r w:rsidRPr="00354CE4">
              <w:rPr>
                <w:rFonts w:asciiTheme="majorHAnsi" w:hAnsiTheme="majorHAnsi" w:cstheme="majorHAnsi"/>
                <w:lang w:val="bg-BG"/>
              </w:rPr>
              <w:t>Любителски риболов – състояние и тенденции, взаимовръзки на любителския риболов с производството на аквакултури и стопанския риболов, анализ на правната рамка на любителския риболов;</w:t>
            </w:r>
          </w:p>
          <w:p w:rsidR="00664152" w:rsidRPr="00354CE4" w:rsidRDefault="00664152" w:rsidP="005F67FF">
            <w:pPr>
              <w:pStyle w:val="ListParagraph"/>
              <w:numPr>
                <w:ilvl w:val="0"/>
                <w:numId w:val="29"/>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bg-BG"/>
              </w:rPr>
            </w:pPr>
            <w:r w:rsidRPr="00354CE4">
              <w:rPr>
                <w:rFonts w:asciiTheme="majorHAnsi" w:hAnsiTheme="majorHAnsi" w:cstheme="majorHAnsi"/>
                <w:lang w:val="bg-BG"/>
              </w:rPr>
              <w:t xml:space="preserve">Заетост и доходи в </w:t>
            </w:r>
            <w:r w:rsidR="0097249A" w:rsidRPr="00354CE4">
              <w:rPr>
                <w:rFonts w:asciiTheme="majorHAnsi" w:hAnsiTheme="majorHAnsi" w:cstheme="majorHAnsi"/>
                <w:lang w:val="bg-BG"/>
              </w:rPr>
              <w:t>сектор „Рибарство“</w:t>
            </w:r>
            <w:r w:rsidRPr="00354CE4">
              <w:rPr>
                <w:rFonts w:asciiTheme="majorHAnsi" w:hAnsiTheme="majorHAnsi" w:cstheme="majorHAnsi"/>
                <w:lang w:val="bg-BG"/>
              </w:rPr>
              <w:t xml:space="preserve"> и подсекторите стопански риболов, производство на аквакултури и преработка и социални аспекти;</w:t>
            </w:r>
          </w:p>
          <w:p w:rsidR="00664152" w:rsidRPr="00354CE4" w:rsidRDefault="00664152" w:rsidP="005F67FF">
            <w:pPr>
              <w:pStyle w:val="ListParagraph"/>
              <w:numPr>
                <w:ilvl w:val="0"/>
                <w:numId w:val="29"/>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bg-BG"/>
              </w:rPr>
            </w:pPr>
            <w:r w:rsidRPr="00354CE4">
              <w:rPr>
                <w:rFonts w:asciiTheme="majorHAnsi" w:hAnsiTheme="majorHAnsi" w:cstheme="majorHAnsi"/>
                <w:lang w:val="bg-BG"/>
              </w:rPr>
              <w:t>Консумация на риба и рибни продукти в страната и в ЕС;</w:t>
            </w:r>
          </w:p>
          <w:p w:rsidR="00664152" w:rsidRPr="00354CE4" w:rsidRDefault="00664152" w:rsidP="005F67FF">
            <w:pPr>
              <w:pStyle w:val="ListParagraph"/>
              <w:numPr>
                <w:ilvl w:val="0"/>
                <w:numId w:val="29"/>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bg-BG"/>
              </w:rPr>
            </w:pPr>
            <w:r w:rsidRPr="00354CE4">
              <w:rPr>
                <w:rFonts w:asciiTheme="majorHAnsi" w:hAnsiTheme="majorHAnsi" w:cstheme="majorHAnsi"/>
                <w:lang w:val="bg-BG"/>
              </w:rPr>
              <w:t xml:space="preserve">Принос на оперативните програми за развитието на </w:t>
            </w:r>
            <w:r w:rsidR="0097249A" w:rsidRPr="00354CE4">
              <w:rPr>
                <w:rFonts w:asciiTheme="majorHAnsi" w:hAnsiTheme="majorHAnsi" w:cstheme="majorHAnsi"/>
                <w:lang w:val="bg-BG"/>
              </w:rPr>
              <w:t>сектор „Рибарство“</w:t>
            </w:r>
            <w:r w:rsidRPr="00354CE4">
              <w:rPr>
                <w:rFonts w:asciiTheme="majorHAnsi" w:hAnsiTheme="majorHAnsi" w:cstheme="majorHAnsi"/>
                <w:lang w:val="bg-BG"/>
              </w:rPr>
              <w:t xml:space="preserve"> – ПМДР 2014-2020 и ПМДРА 2021-2027</w:t>
            </w:r>
          </w:p>
          <w:p w:rsidR="006F7AA4" w:rsidRPr="00354CE4" w:rsidRDefault="00664152" w:rsidP="005F67FF">
            <w:pPr>
              <w:pStyle w:val="ListParagraph"/>
              <w:numPr>
                <w:ilvl w:val="0"/>
                <w:numId w:val="29"/>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bg-BG"/>
              </w:rPr>
            </w:pPr>
            <w:r w:rsidRPr="00354CE4">
              <w:rPr>
                <w:rFonts w:asciiTheme="majorHAnsi" w:hAnsiTheme="majorHAnsi" w:cstheme="majorHAnsi"/>
                <w:lang w:val="bg-BG"/>
              </w:rPr>
              <w:lastRenderedPageBreak/>
              <w:t>Други</w:t>
            </w:r>
          </w:p>
        </w:tc>
      </w:tr>
      <w:tr w:rsidR="00CA4053" w:rsidRPr="00354CE4" w:rsidTr="004B0E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 w:type="pct"/>
          </w:tcPr>
          <w:p w:rsidR="00CA4053" w:rsidRPr="00354CE4" w:rsidRDefault="00CA4053" w:rsidP="000E73EC">
            <w:pPr>
              <w:jc w:val="left"/>
              <w:rPr>
                <w:rFonts w:asciiTheme="majorHAnsi" w:hAnsiTheme="majorHAnsi" w:cstheme="majorHAnsi"/>
                <w:lang w:val="bg-BG"/>
              </w:rPr>
            </w:pPr>
            <w:r w:rsidRPr="00354CE4">
              <w:rPr>
                <w:rFonts w:asciiTheme="majorHAnsi" w:hAnsiTheme="majorHAnsi" w:cstheme="majorHAnsi"/>
                <w:lang w:val="bg-BG"/>
              </w:rPr>
              <w:lastRenderedPageBreak/>
              <w:t>Инструменти за набиране на информация и методи за извършване на оценката и изисквания по отношение на необходимите данни</w:t>
            </w:r>
          </w:p>
        </w:tc>
        <w:tc>
          <w:tcPr>
            <w:tcW w:w="4065" w:type="pct"/>
          </w:tcPr>
          <w:p w:rsidR="00915E63" w:rsidRPr="00354CE4" w:rsidRDefault="00915E63" w:rsidP="005F67FF">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bg-BG"/>
              </w:rPr>
            </w:pPr>
            <w:r w:rsidRPr="00354CE4">
              <w:rPr>
                <w:rFonts w:asciiTheme="majorHAnsi" w:hAnsiTheme="majorHAnsi" w:cstheme="majorHAnsi"/>
                <w:lang w:val="bg-BG"/>
              </w:rPr>
              <w:t>Първоначалната оценка на необходимият индикативен инструментариум  минимум, който методиката трябва да включва един или няколко, но не само, от следните е:</w:t>
            </w:r>
          </w:p>
          <w:p w:rsidR="00CA4053" w:rsidRPr="00354CE4" w:rsidRDefault="00CA4053" w:rsidP="005F67FF">
            <w:pPr>
              <w:pStyle w:val="ListParagraph"/>
              <w:numPr>
                <w:ilvl w:val="0"/>
                <w:numId w:val="27"/>
              </w:num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bg-BG"/>
              </w:rPr>
            </w:pPr>
            <w:r w:rsidRPr="00354CE4">
              <w:rPr>
                <w:rFonts w:asciiTheme="majorHAnsi" w:hAnsiTheme="majorHAnsi" w:cstheme="majorHAnsi"/>
                <w:lang w:val="bg-BG"/>
              </w:rPr>
              <w:t xml:space="preserve">кабинетно проучване - преглед и анализ на документи, проучване на конкретни случаи (case study); </w:t>
            </w:r>
          </w:p>
          <w:p w:rsidR="00CA4053" w:rsidRPr="00354CE4" w:rsidRDefault="00CA4053" w:rsidP="005F67FF">
            <w:pPr>
              <w:pStyle w:val="ListParagraph"/>
              <w:numPr>
                <w:ilvl w:val="0"/>
                <w:numId w:val="27"/>
              </w:num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bg-BG"/>
              </w:rPr>
            </w:pPr>
            <w:r w:rsidRPr="00354CE4">
              <w:rPr>
                <w:rFonts w:asciiTheme="majorHAnsi" w:hAnsiTheme="majorHAnsi" w:cstheme="majorHAnsi"/>
                <w:lang w:val="bg-BG"/>
              </w:rPr>
              <w:t xml:space="preserve">събиране и обработка на първична и вторична информация - количествени и качествени методи; </w:t>
            </w:r>
          </w:p>
          <w:p w:rsidR="00CA4053" w:rsidRPr="00354CE4" w:rsidRDefault="00CA4053" w:rsidP="005F67FF">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bg-BG"/>
              </w:rPr>
            </w:pPr>
            <w:r w:rsidRPr="00354CE4">
              <w:rPr>
                <w:rFonts w:asciiTheme="majorHAnsi" w:hAnsiTheme="majorHAnsi" w:cstheme="majorHAnsi"/>
                <w:lang w:val="bg-BG"/>
              </w:rPr>
              <w:t>За целите за набиране на първична количествена и качествена информация следва да бъде планирано прилагането на анкетни карти/въпросници за проучвания (в съответния подходящ метод), интервюта, дискусия /фокус групи с представители на УО на ръководно и оперативно ниво и представители на целевите групи/</w:t>
            </w:r>
            <w:r w:rsidR="00985E0C" w:rsidRPr="00354CE4">
              <w:rPr>
                <w:rFonts w:asciiTheme="majorHAnsi" w:hAnsiTheme="majorHAnsi" w:cstheme="majorHAnsi"/>
                <w:lang w:val="bg-BG"/>
              </w:rPr>
              <w:t xml:space="preserve"> </w:t>
            </w:r>
            <w:r w:rsidRPr="00354CE4">
              <w:rPr>
                <w:rFonts w:asciiTheme="majorHAnsi" w:hAnsiTheme="majorHAnsi" w:cstheme="majorHAnsi"/>
                <w:lang w:val="bg-BG"/>
              </w:rPr>
              <w:t xml:space="preserve">бенефициентите по Програмата, потенциални бенефициенти и други заинтересовани страни; </w:t>
            </w:r>
          </w:p>
          <w:p w:rsidR="00CA4053" w:rsidRPr="00354CE4" w:rsidRDefault="00CA4053" w:rsidP="005F67FF">
            <w:pPr>
              <w:pStyle w:val="ListParagraph"/>
              <w:numPr>
                <w:ilvl w:val="0"/>
                <w:numId w:val="27"/>
              </w:num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bg-BG"/>
              </w:rPr>
            </w:pPr>
            <w:r w:rsidRPr="00354CE4">
              <w:rPr>
                <w:rFonts w:asciiTheme="majorHAnsi" w:hAnsiTheme="majorHAnsi" w:cstheme="majorHAnsi"/>
                <w:lang w:val="bg-BG"/>
              </w:rPr>
              <w:t xml:space="preserve">други методически подходи, според целите, спецификата и въпросите на оценката (подробно описани и обосновани от изпълнителя в техническото му предложение по обществената поръчка). </w:t>
            </w:r>
          </w:p>
          <w:p w:rsidR="00CA4053" w:rsidRPr="00354CE4" w:rsidRDefault="00CA4053" w:rsidP="001349AB">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bg-BG"/>
              </w:rPr>
            </w:pPr>
            <w:r w:rsidRPr="00354CE4">
              <w:rPr>
                <w:rFonts w:asciiTheme="majorHAnsi" w:hAnsiTheme="majorHAnsi" w:cstheme="majorHAnsi"/>
                <w:lang w:val="bg-BG"/>
              </w:rPr>
              <w:t>При проектиране на методическия инструментариум релевантността и качеството на информацията следва да бъде гарантирано чрез прилагане триангулация</w:t>
            </w:r>
            <w:r w:rsidR="001349AB" w:rsidRPr="00354CE4">
              <w:rPr>
                <w:rFonts w:asciiTheme="majorHAnsi" w:hAnsiTheme="majorHAnsi" w:cstheme="majorHAnsi"/>
                <w:lang w:val="bg-BG"/>
              </w:rPr>
              <w:t xml:space="preserve"> на данните и методите за техния анализ</w:t>
            </w:r>
            <w:r w:rsidRPr="00354CE4">
              <w:rPr>
                <w:rFonts w:asciiTheme="majorHAnsi" w:hAnsiTheme="majorHAnsi" w:cstheme="majorHAnsi"/>
                <w:lang w:val="bg-BG"/>
              </w:rPr>
              <w:t>.</w:t>
            </w:r>
          </w:p>
        </w:tc>
      </w:tr>
    </w:tbl>
    <w:p w:rsidR="00F6758A" w:rsidRPr="00354CE4" w:rsidRDefault="00F6758A" w:rsidP="005F67FF"/>
    <w:p w:rsidR="00F65084" w:rsidRPr="00354CE4" w:rsidRDefault="00F65084" w:rsidP="005F67FF">
      <w:pPr>
        <w:pStyle w:val="Heading2"/>
      </w:pPr>
      <w:bookmarkStart w:id="47" w:name="_Toc153543125"/>
      <w:bookmarkStart w:id="48" w:name="_Toc160622941"/>
      <w:r w:rsidRPr="00354CE4">
        <w:t>Изготвяне на Многогодишен национален стратегически план за аквакултурите в България като част от подготовка на програмния период 2028+</w:t>
      </w:r>
      <w:bookmarkEnd w:id="47"/>
      <w:bookmarkEnd w:id="48"/>
    </w:p>
    <w:tbl>
      <w:tblPr>
        <w:tblStyle w:val="351"/>
        <w:tblW w:w="5000" w:type="pct"/>
        <w:tblLook w:val="04A0" w:firstRow="1" w:lastRow="0" w:firstColumn="1" w:lastColumn="0" w:noHBand="0" w:noVBand="1"/>
      </w:tblPr>
      <w:tblGrid>
        <w:gridCol w:w="1851"/>
        <w:gridCol w:w="8004"/>
      </w:tblGrid>
      <w:tr w:rsidR="00F65084" w:rsidRPr="00354CE4" w:rsidTr="004B0EC8">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935" w:type="pct"/>
          </w:tcPr>
          <w:p w:rsidR="00F65084" w:rsidRPr="00354CE4" w:rsidRDefault="00F65084" w:rsidP="007E47C9">
            <w:pPr>
              <w:jc w:val="left"/>
              <w:rPr>
                <w:rFonts w:asciiTheme="majorHAnsi" w:hAnsiTheme="majorHAnsi" w:cstheme="majorHAnsi"/>
                <w:lang w:val="bg-BG"/>
              </w:rPr>
            </w:pPr>
            <w:r w:rsidRPr="00354CE4">
              <w:rPr>
                <w:rFonts w:asciiTheme="majorHAnsi" w:hAnsiTheme="majorHAnsi" w:cstheme="majorHAnsi"/>
                <w:lang w:val="bg-BG"/>
              </w:rPr>
              <w:t>Тема на анализа</w:t>
            </w:r>
          </w:p>
        </w:tc>
        <w:tc>
          <w:tcPr>
            <w:tcW w:w="4065" w:type="pct"/>
          </w:tcPr>
          <w:p w:rsidR="00F65084" w:rsidRPr="00354CE4" w:rsidRDefault="00F65084" w:rsidP="005F67FF">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lang w:val="bg-BG"/>
              </w:rPr>
            </w:pPr>
            <w:r w:rsidRPr="00354CE4">
              <w:rPr>
                <w:rFonts w:asciiTheme="majorHAnsi" w:hAnsiTheme="majorHAnsi" w:cstheme="majorHAnsi"/>
                <w:lang w:val="bg-BG"/>
              </w:rPr>
              <w:t>Изготвяне на Многогодишен национален стратегически план за аквакултурите в България като част от подготовка на програмния период 2028+</w:t>
            </w:r>
          </w:p>
        </w:tc>
      </w:tr>
      <w:tr w:rsidR="00F65084" w:rsidRPr="00354CE4" w:rsidTr="004B0E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 w:type="pct"/>
          </w:tcPr>
          <w:p w:rsidR="00F65084" w:rsidRPr="00354CE4" w:rsidRDefault="00F65084" w:rsidP="005F67FF">
            <w:pPr>
              <w:rPr>
                <w:rFonts w:asciiTheme="majorHAnsi" w:hAnsiTheme="majorHAnsi" w:cstheme="majorHAnsi"/>
                <w:lang w:val="bg-BG"/>
              </w:rPr>
            </w:pPr>
            <w:r w:rsidRPr="00354CE4">
              <w:rPr>
                <w:rFonts w:asciiTheme="majorHAnsi" w:hAnsiTheme="majorHAnsi" w:cstheme="majorHAnsi"/>
                <w:lang w:val="bg-BG"/>
              </w:rPr>
              <w:t>Предмет, обхват, контекст и обосновка на необходимостта от оценката</w:t>
            </w:r>
          </w:p>
        </w:tc>
        <w:tc>
          <w:tcPr>
            <w:tcW w:w="4065" w:type="pct"/>
          </w:tcPr>
          <w:p w:rsidR="00F65084" w:rsidRPr="00354CE4" w:rsidRDefault="00F65084" w:rsidP="005F67FF">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bg-BG"/>
              </w:rPr>
            </w:pPr>
            <w:r w:rsidRPr="00354CE4">
              <w:rPr>
                <w:rFonts w:asciiTheme="majorHAnsi" w:hAnsiTheme="majorHAnsi" w:cstheme="majorHAnsi"/>
                <w:lang w:val="bg-BG"/>
              </w:rPr>
              <w:t>Предмет на анализа за подготовка на МНСПА е проследяване и анализ на състоянието на производството на аквакултури, идентифициране на тенденциите за развитие и очертаване на перспективите за отглеждането и развъждането на риба и други водни организми.</w:t>
            </w:r>
          </w:p>
          <w:p w:rsidR="00F65084" w:rsidRPr="00354CE4" w:rsidRDefault="004C1070" w:rsidP="005F67FF">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bg-BG"/>
              </w:rPr>
            </w:pPr>
            <w:r w:rsidRPr="00354CE4">
              <w:rPr>
                <w:rFonts w:asciiTheme="majorHAnsi" w:hAnsiTheme="majorHAnsi" w:cstheme="majorHAnsi"/>
                <w:lang w:val="bg-BG"/>
              </w:rPr>
              <w:t xml:space="preserve">Анализът следва да отчита оценка на влиянието на програмните периоди 2014-2020 и 2021-2027 върху развитието на аквакултурите в България, вкл. да оцени степента устойчивост на развитието на подсектор </w:t>
            </w:r>
            <w:r w:rsidR="008273CF" w:rsidRPr="00354CE4">
              <w:rPr>
                <w:rFonts w:asciiTheme="majorHAnsi" w:hAnsiTheme="majorHAnsi" w:cstheme="majorHAnsi"/>
                <w:lang w:val="bg-BG"/>
              </w:rPr>
              <w:t>„</w:t>
            </w:r>
            <w:r w:rsidRPr="00354CE4">
              <w:rPr>
                <w:rFonts w:asciiTheme="majorHAnsi" w:hAnsiTheme="majorHAnsi" w:cstheme="majorHAnsi"/>
                <w:lang w:val="bg-BG"/>
              </w:rPr>
              <w:t>Аквакултури</w:t>
            </w:r>
            <w:r w:rsidR="008273CF" w:rsidRPr="00354CE4">
              <w:rPr>
                <w:rFonts w:asciiTheme="majorHAnsi" w:hAnsiTheme="majorHAnsi" w:cstheme="majorHAnsi"/>
                <w:lang w:val="bg-BG"/>
              </w:rPr>
              <w:t>“</w:t>
            </w:r>
            <w:r w:rsidRPr="00354CE4">
              <w:rPr>
                <w:rFonts w:asciiTheme="majorHAnsi" w:hAnsiTheme="majorHAnsi" w:cstheme="majorHAnsi"/>
                <w:lang w:val="bg-BG"/>
              </w:rPr>
              <w:t>, състояние и възможности за подкрепа на конкурентоспособността и насърчаване на икономическата активност в подсектора, степента на прилагане и предизвикан ефект на дейности за подкрепа за развойната дейност, прилагане на екологосъобразни технологии и иновации.</w:t>
            </w:r>
          </w:p>
          <w:p w:rsidR="00F65084" w:rsidRPr="00354CE4" w:rsidRDefault="004C1070" w:rsidP="005F67FF">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bg-BG"/>
              </w:rPr>
            </w:pPr>
            <w:r w:rsidRPr="00354CE4">
              <w:rPr>
                <w:rFonts w:asciiTheme="majorHAnsi" w:hAnsiTheme="majorHAnsi" w:cstheme="majorHAnsi"/>
                <w:lang w:val="bg-BG"/>
              </w:rPr>
              <w:t xml:space="preserve">Анализът следва да послужи за основа за изготвяне на визия за развитието на аквакултурите през следващият програмен период 2028+, разработване на мерки за подобряване на конкурентоспособността и прилагане на </w:t>
            </w:r>
            <w:r w:rsidRPr="00354CE4">
              <w:rPr>
                <w:rFonts w:asciiTheme="majorHAnsi" w:hAnsiTheme="majorHAnsi" w:cstheme="majorHAnsi"/>
                <w:lang w:val="bg-BG"/>
              </w:rPr>
              <w:lastRenderedPageBreak/>
              <w:t>дейс</w:t>
            </w:r>
            <w:r w:rsidR="00915E63" w:rsidRPr="00354CE4">
              <w:rPr>
                <w:rFonts w:asciiTheme="majorHAnsi" w:hAnsiTheme="majorHAnsi" w:cstheme="majorHAnsi"/>
                <w:lang w:val="bg-BG"/>
              </w:rPr>
              <w:t>твия за подкрепа съобразно приоритетите на ЕС и предвижданията на ЕК за програмния период.</w:t>
            </w:r>
          </w:p>
        </w:tc>
      </w:tr>
      <w:tr w:rsidR="00F65084" w:rsidRPr="00354CE4" w:rsidTr="004B0EC8">
        <w:tc>
          <w:tcPr>
            <w:cnfStyle w:val="001000000000" w:firstRow="0" w:lastRow="0" w:firstColumn="1" w:lastColumn="0" w:oddVBand="0" w:evenVBand="0" w:oddHBand="0" w:evenHBand="0" w:firstRowFirstColumn="0" w:firstRowLastColumn="0" w:lastRowFirstColumn="0" w:lastRowLastColumn="0"/>
            <w:tcW w:w="935" w:type="pct"/>
          </w:tcPr>
          <w:p w:rsidR="00F65084" w:rsidRPr="00354CE4" w:rsidRDefault="00F65084" w:rsidP="005F67FF">
            <w:pPr>
              <w:rPr>
                <w:rFonts w:asciiTheme="majorHAnsi" w:hAnsiTheme="majorHAnsi" w:cstheme="majorHAnsi"/>
                <w:lang w:val="bg-BG"/>
              </w:rPr>
            </w:pPr>
            <w:r w:rsidRPr="00354CE4">
              <w:rPr>
                <w:rFonts w:asciiTheme="majorHAnsi" w:hAnsiTheme="majorHAnsi" w:cstheme="majorHAnsi"/>
                <w:lang w:val="bg-BG"/>
              </w:rPr>
              <w:lastRenderedPageBreak/>
              <w:t>Индикативни дейности</w:t>
            </w:r>
          </w:p>
        </w:tc>
        <w:tc>
          <w:tcPr>
            <w:tcW w:w="4065" w:type="pct"/>
          </w:tcPr>
          <w:p w:rsidR="00F65084" w:rsidRPr="00354CE4" w:rsidRDefault="00F65084" w:rsidP="005F67FF">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bg-BG"/>
              </w:rPr>
            </w:pPr>
            <w:r w:rsidRPr="00354CE4">
              <w:rPr>
                <w:rFonts w:asciiTheme="majorHAnsi" w:hAnsiTheme="majorHAnsi" w:cstheme="majorHAnsi"/>
                <w:lang w:val="bg-BG"/>
              </w:rPr>
              <w:t xml:space="preserve">Анализът </w:t>
            </w:r>
            <w:r w:rsidR="00915E63" w:rsidRPr="00354CE4">
              <w:rPr>
                <w:rFonts w:asciiTheme="majorHAnsi" w:hAnsiTheme="majorHAnsi" w:cstheme="majorHAnsi"/>
                <w:lang w:val="bg-BG"/>
              </w:rPr>
              <w:t xml:space="preserve">на подсектора и изготвянето на визия за неговото развитие за периода 2028+ </w:t>
            </w:r>
            <w:r w:rsidRPr="00354CE4">
              <w:rPr>
                <w:rFonts w:asciiTheme="majorHAnsi" w:hAnsiTheme="majorHAnsi" w:cstheme="majorHAnsi"/>
                <w:lang w:val="bg-BG"/>
              </w:rPr>
              <w:t>ще се основава на изпълнението следните минимални типове дейности:</w:t>
            </w:r>
          </w:p>
          <w:p w:rsidR="00F65084" w:rsidRPr="00354CE4" w:rsidRDefault="00F65084" w:rsidP="005F67FF">
            <w:pPr>
              <w:pStyle w:val="ListParagraph"/>
              <w:numPr>
                <w:ilvl w:val="0"/>
                <w:numId w:val="28"/>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bg-BG"/>
              </w:rPr>
            </w:pPr>
            <w:r w:rsidRPr="00354CE4">
              <w:rPr>
                <w:rFonts w:asciiTheme="majorHAnsi" w:hAnsiTheme="majorHAnsi" w:cstheme="majorHAnsi"/>
                <w:lang w:val="bg-BG"/>
              </w:rPr>
              <w:t xml:space="preserve">Набиране и обработка на информация за състоянието и развитието на </w:t>
            </w:r>
            <w:r w:rsidR="00915E63" w:rsidRPr="00354CE4">
              <w:rPr>
                <w:rFonts w:asciiTheme="majorHAnsi" w:hAnsiTheme="majorHAnsi" w:cstheme="majorHAnsi"/>
                <w:lang w:val="bg-BG"/>
              </w:rPr>
              <w:t>под</w:t>
            </w:r>
            <w:r w:rsidRPr="00354CE4">
              <w:rPr>
                <w:rFonts w:asciiTheme="majorHAnsi" w:hAnsiTheme="majorHAnsi" w:cstheme="majorHAnsi"/>
                <w:lang w:val="bg-BG"/>
              </w:rPr>
              <w:t xml:space="preserve">сектор </w:t>
            </w:r>
            <w:r w:rsidR="008273CF" w:rsidRPr="00354CE4">
              <w:rPr>
                <w:rFonts w:asciiTheme="majorHAnsi" w:hAnsiTheme="majorHAnsi" w:cstheme="majorHAnsi"/>
                <w:lang w:val="bg-BG"/>
              </w:rPr>
              <w:t>„</w:t>
            </w:r>
            <w:r w:rsidR="00915E63" w:rsidRPr="00354CE4">
              <w:rPr>
                <w:rFonts w:asciiTheme="majorHAnsi" w:hAnsiTheme="majorHAnsi" w:cstheme="majorHAnsi"/>
                <w:lang w:val="bg-BG"/>
              </w:rPr>
              <w:t>Аквакултури</w:t>
            </w:r>
            <w:r w:rsidR="008273CF" w:rsidRPr="00354CE4">
              <w:rPr>
                <w:rFonts w:asciiTheme="majorHAnsi" w:hAnsiTheme="majorHAnsi" w:cstheme="majorHAnsi"/>
                <w:lang w:val="bg-BG"/>
              </w:rPr>
              <w:t>“</w:t>
            </w:r>
            <w:r w:rsidRPr="00354CE4">
              <w:rPr>
                <w:rFonts w:asciiTheme="majorHAnsi" w:hAnsiTheme="majorHAnsi" w:cstheme="majorHAnsi"/>
                <w:lang w:val="bg-BG"/>
              </w:rPr>
              <w:t xml:space="preserve"> </w:t>
            </w:r>
            <w:r w:rsidR="00915E63" w:rsidRPr="00354CE4">
              <w:rPr>
                <w:rFonts w:asciiTheme="majorHAnsi" w:hAnsiTheme="majorHAnsi" w:cstheme="majorHAnsi"/>
                <w:lang w:val="bg-BG"/>
              </w:rPr>
              <w:t>в относим обхват</w:t>
            </w:r>
            <w:r w:rsidRPr="00354CE4">
              <w:rPr>
                <w:rFonts w:asciiTheme="majorHAnsi" w:hAnsiTheme="majorHAnsi" w:cstheme="majorHAnsi"/>
                <w:lang w:val="bg-BG"/>
              </w:rPr>
              <w:t>;</w:t>
            </w:r>
          </w:p>
          <w:p w:rsidR="00F65084" w:rsidRPr="00354CE4" w:rsidRDefault="00F65084" w:rsidP="005F67FF">
            <w:pPr>
              <w:pStyle w:val="ListParagraph"/>
              <w:numPr>
                <w:ilvl w:val="0"/>
                <w:numId w:val="28"/>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bg-BG"/>
              </w:rPr>
            </w:pPr>
            <w:r w:rsidRPr="00354CE4">
              <w:rPr>
                <w:rFonts w:asciiTheme="majorHAnsi" w:hAnsiTheme="majorHAnsi" w:cstheme="majorHAnsi"/>
                <w:lang w:val="bg-BG"/>
              </w:rPr>
              <w:t xml:space="preserve">Изготвяне на анализ на състоянието и тенденциите за развитие на </w:t>
            </w:r>
            <w:r w:rsidR="00915E63" w:rsidRPr="00354CE4">
              <w:rPr>
                <w:rFonts w:asciiTheme="majorHAnsi" w:hAnsiTheme="majorHAnsi" w:cstheme="majorHAnsi"/>
                <w:lang w:val="bg-BG"/>
              </w:rPr>
              <w:t>подсектор</w:t>
            </w:r>
            <w:r w:rsidRPr="00354CE4">
              <w:rPr>
                <w:rFonts w:asciiTheme="majorHAnsi" w:hAnsiTheme="majorHAnsi" w:cstheme="majorHAnsi"/>
                <w:lang w:val="bg-BG"/>
              </w:rPr>
              <w:t xml:space="preserve"> </w:t>
            </w:r>
            <w:r w:rsidR="008273CF" w:rsidRPr="00354CE4">
              <w:rPr>
                <w:rFonts w:asciiTheme="majorHAnsi" w:hAnsiTheme="majorHAnsi" w:cstheme="majorHAnsi"/>
                <w:lang w:val="bg-BG"/>
              </w:rPr>
              <w:t>„</w:t>
            </w:r>
            <w:r w:rsidR="00915E63" w:rsidRPr="00354CE4">
              <w:rPr>
                <w:rFonts w:asciiTheme="majorHAnsi" w:hAnsiTheme="majorHAnsi" w:cstheme="majorHAnsi"/>
                <w:lang w:val="bg-BG"/>
              </w:rPr>
              <w:t>Аквакултури</w:t>
            </w:r>
            <w:r w:rsidR="008273CF" w:rsidRPr="00354CE4">
              <w:rPr>
                <w:rFonts w:asciiTheme="majorHAnsi" w:hAnsiTheme="majorHAnsi" w:cstheme="majorHAnsi"/>
                <w:lang w:val="bg-BG"/>
              </w:rPr>
              <w:t>“</w:t>
            </w:r>
            <w:r w:rsidR="00915E63" w:rsidRPr="00354CE4">
              <w:rPr>
                <w:rFonts w:asciiTheme="majorHAnsi" w:hAnsiTheme="majorHAnsi" w:cstheme="majorHAnsi"/>
                <w:lang w:val="bg-BG"/>
              </w:rPr>
              <w:t xml:space="preserve"> в относим обхват</w:t>
            </w:r>
            <w:r w:rsidRPr="00354CE4">
              <w:rPr>
                <w:rFonts w:asciiTheme="majorHAnsi" w:hAnsiTheme="majorHAnsi" w:cstheme="majorHAnsi"/>
                <w:lang w:val="bg-BG"/>
              </w:rPr>
              <w:t>, вкл. оценка на приноса на оперативните програми в периодите 2014-2020 и 2021-2027 г.;</w:t>
            </w:r>
          </w:p>
          <w:p w:rsidR="00F65084" w:rsidRPr="00354CE4" w:rsidRDefault="00F65084" w:rsidP="005F67FF">
            <w:pPr>
              <w:pStyle w:val="ListParagraph"/>
              <w:numPr>
                <w:ilvl w:val="0"/>
                <w:numId w:val="28"/>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bg-BG"/>
              </w:rPr>
            </w:pPr>
            <w:r w:rsidRPr="00354CE4">
              <w:rPr>
                <w:rFonts w:asciiTheme="majorHAnsi" w:hAnsiTheme="majorHAnsi" w:cstheme="majorHAnsi"/>
                <w:lang w:val="bg-BG"/>
              </w:rPr>
              <w:t>Изготвяне на SWOT анализ и предложения за стратегии за оползотворяване на силните страни и възможности и преодоляване на слабите страни и заплахите;</w:t>
            </w:r>
          </w:p>
          <w:p w:rsidR="00F65084" w:rsidRPr="00354CE4" w:rsidRDefault="00F65084" w:rsidP="005F67FF">
            <w:pPr>
              <w:pStyle w:val="ListParagraph"/>
              <w:numPr>
                <w:ilvl w:val="0"/>
                <w:numId w:val="28"/>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bg-BG"/>
              </w:rPr>
            </w:pPr>
            <w:r w:rsidRPr="00354CE4">
              <w:rPr>
                <w:rFonts w:asciiTheme="majorHAnsi" w:hAnsiTheme="majorHAnsi" w:cstheme="majorHAnsi"/>
                <w:lang w:val="bg-BG"/>
              </w:rPr>
              <w:t xml:space="preserve">Определяне на визия за развитие на </w:t>
            </w:r>
            <w:r w:rsidR="00915E63" w:rsidRPr="00354CE4">
              <w:rPr>
                <w:rFonts w:asciiTheme="majorHAnsi" w:hAnsiTheme="majorHAnsi" w:cstheme="majorHAnsi"/>
                <w:lang w:val="bg-BG"/>
              </w:rPr>
              <w:t xml:space="preserve">подсектора </w:t>
            </w:r>
            <w:r w:rsidRPr="00354CE4">
              <w:rPr>
                <w:rFonts w:asciiTheme="majorHAnsi" w:hAnsiTheme="majorHAnsi" w:cstheme="majorHAnsi"/>
                <w:lang w:val="bg-BG"/>
              </w:rPr>
              <w:t>и определяне на приоритетите за неговото развитие. Стратегически цели за постигане в следващия програмен период 2028+.</w:t>
            </w:r>
            <w:r w:rsidR="00915E63" w:rsidRPr="00354CE4">
              <w:rPr>
                <w:rFonts w:asciiTheme="majorHAnsi" w:hAnsiTheme="majorHAnsi" w:cstheme="majorHAnsi"/>
                <w:lang w:val="bg-BG"/>
              </w:rPr>
              <w:t xml:space="preserve"> Необходими предпоставки за създаване на условия за устойчив растеж на подсектор Аквакултури в България</w:t>
            </w:r>
          </w:p>
        </w:tc>
      </w:tr>
      <w:tr w:rsidR="00F65084" w:rsidRPr="00354CE4" w:rsidTr="004B0E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 w:type="pct"/>
          </w:tcPr>
          <w:p w:rsidR="00F65084" w:rsidRPr="00354CE4" w:rsidRDefault="00F65084" w:rsidP="005F67FF">
            <w:pPr>
              <w:rPr>
                <w:rFonts w:asciiTheme="majorHAnsi" w:hAnsiTheme="majorHAnsi" w:cstheme="majorHAnsi"/>
                <w:lang w:val="bg-BG"/>
              </w:rPr>
            </w:pPr>
            <w:r w:rsidRPr="00354CE4">
              <w:rPr>
                <w:rFonts w:asciiTheme="majorHAnsi" w:hAnsiTheme="majorHAnsi" w:cstheme="majorHAnsi"/>
                <w:lang w:val="bg-BG"/>
              </w:rPr>
              <w:t>Приложим подход</w:t>
            </w:r>
          </w:p>
        </w:tc>
        <w:tc>
          <w:tcPr>
            <w:tcW w:w="4065" w:type="pct"/>
          </w:tcPr>
          <w:p w:rsidR="00F65084" w:rsidRPr="00354CE4" w:rsidRDefault="00F65084" w:rsidP="005F67FF">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bg-BG"/>
              </w:rPr>
            </w:pPr>
            <w:r w:rsidRPr="00354CE4">
              <w:rPr>
                <w:rFonts w:asciiTheme="majorHAnsi" w:hAnsiTheme="majorHAnsi" w:cstheme="majorHAnsi"/>
                <w:lang w:val="bg-BG"/>
              </w:rPr>
              <w:t>Оценка на състоянието, базирана на теорията</w:t>
            </w:r>
          </w:p>
          <w:p w:rsidR="00F65084" w:rsidRPr="00354CE4" w:rsidRDefault="00F65084" w:rsidP="005F67FF">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highlight w:val="yellow"/>
                <w:lang w:val="bg-BG"/>
              </w:rPr>
            </w:pPr>
            <w:r w:rsidRPr="00354CE4">
              <w:rPr>
                <w:rFonts w:asciiTheme="majorHAnsi" w:hAnsiTheme="majorHAnsi" w:cstheme="majorHAnsi"/>
                <w:lang w:val="bg-BG"/>
              </w:rPr>
              <w:t>Оценка на процесите и изпълнението</w:t>
            </w:r>
          </w:p>
        </w:tc>
      </w:tr>
      <w:tr w:rsidR="00F65084" w:rsidRPr="00354CE4" w:rsidTr="004B0EC8">
        <w:tc>
          <w:tcPr>
            <w:cnfStyle w:val="001000000000" w:firstRow="0" w:lastRow="0" w:firstColumn="1" w:lastColumn="0" w:oddVBand="0" w:evenVBand="0" w:oddHBand="0" w:evenHBand="0" w:firstRowFirstColumn="0" w:firstRowLastColumn="0" w:lastRowFirstColumn="0" w:lastRowLastColumn="0"/>
            <w:tcW w:w="935" w:type="pct"/>
          </w:tcPr>
          <w:p w:rsidR="00F65084" w:rsidRPr="00354CE4" w:rsidRDefault="00F65084" w:rsidP="005F67FF">
            <w:pPr>
              <w:rPr>
                <w:rFonts w:asciiTheme="majorHAnsi" w:hAnsiTheme="majorHAnsi" w:cstheme="majorHAnsi"/>
                <w:lang w:val="bg-BG"/>
              </w:rPr>
            </w:pPr>
            <w:r w:rsidRPr="00354CE4">
              <w:rPr>
                <w:rFonts w:asciiTheme="majorHAnsi" w:hAnsiTheme="majorHAnsi" w:cstheme="majorHAnsi"/>
                <w:lang w:val="bg-BG"/>
              </w:rPr>
              <w:t>Основни теми за анализ</w:t>
            </w:r>
          </w:p>
        </w:tc>
        <w:tc>
          <w:tcPr>
            <w:tcW w:w="4065" w:type="pct"/>
          </w:tcPr>
          <w:p w:rsidR="00F65084" w:rsidRPr="00354CE4" w:rsidRDefault="00F65084" w:rsidP="005F67FF">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bg-BG"/>
              </w:rPr>
            </w:pPr>
            <w:r w:rsidRPr="00354CE4">
              <w:rPr>
                <w:rFonts w:asciiTheme="majorHAnsi" w:hAnsiTheme="majorHAnsi" w:cstheme="majorHAnsi"/>
                <w:lang w:val="bg-BG"/>
              </w:rPr>
              <w:t>Анализът ще изследва, но няма да се ограничава до следните основни въпроси:</w:t>
            </w:r>
          </w:p>
          <w:p w:rsidR="00F65084" w:rsidRPr="00354CE4" w:rsidRDefault="00915E63" w:rsidP="005F67FF">
            <w:pPr>
              <w:pStyle w:val="ListParagraph"/>
              <w:numPr>
                <w:ilvl w:val="0"/>
                <w:numId w:val="29"/>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bg-BG"/>
              </w:rPr>
            </w:pPr>
            <w:r w:rsidRPr="00354CE4">
              <w:rPr>
                <w:rFonts w:asciiTheme="majorHAnsi" w:hAnsiTheme="majorHAnsi" w:cstheme="majorHAnsi"/>
                <w:lang w:val="bg-BG"/>
              </w:rPr>
              <w:t>Преглед на производството на аквакултури, икономически показатели, търговия с продукция от аквакултури и консумация</w:t>
            </w:r>
            <w:r w:rsidR="00F65084" w:rsidRPr="00354CE4">
              <w:rPr>
                <w:rFonts w:asciiTheme="majorHAnsi" w:hAnsiTheme="majorHAnsi" w:cstheme="majorHAnsi"/>
                <w:lang w:val="bg-BG"/>
              </w:rPr>
              <w:t>;</w:t>
            </w:r>
          </w:p>
          <w:p w:rsidR="00915E63" w:rsidRPr="00354CE4" w:rsidRDefault="00915E63" w:rsidP="005F67FF">
            <w:pPr>
              <w:pStyle w:val="ListParagraph"/>
              <w:numPr>
                <w:ilvl w:val="0"/>
                <w:numId w:val="29"/>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bg-BG"/>
              </w:rPr>
            </w:pPr>
            <w:r w:rsidRPr="00354CE4">
              <w:rPr>
                <w:rFonts w:asciiTheme="majorHAnsi" w:hAnsiTheme="majorHAnsi" w:cstheme="majorHAnsi"/>
                <w:lang w:val="bg-BG"/>
              </w:rPr>
              <w:t>Състояние на околната среда, климатичните промени и аквакултури</w:t>
            </w:r>
          </w:p>
          <w:p w:rsidR="00915E63" w:rsidRPr="00354CE4" w:rsidRDefault="00915E63" w:rsidP="005F67FF">
            <w:pPr>
              <w:pStyle w:val="ListParagraph"/>
              <w:numPr>
                <w:ilvl w:val="0"/>
                <w:numId w:val="29"/>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bg-BG"/>
              </w:rPr>
            </w:pPr>
            <w:r w:rsidRPr="00354CE4">
              <w:rPr>
                <w:rFonts w:asciiTheme="majorHAnsi" w:hAnsiTheme="majorHAnsi" w:cstheme="majorHAnsi"/>
                <w:lang w:val="bg-BG"/>
              </w:rPr>
              <w:t>Промени и развитие на нормативната уредба в подсектора</w:t>
            </w:r>
          </w:p>
          <w:p w:rsidR="00915E63" w:rsidRPr="00354CE4" w:rsidRDefault="00915E63" w:rsidP="005F67FF">
            <w:pPr>
              <w:pStyle w:val="ListParagraph"/>
              <w:numPr>
                <w:ilvl w:val="0"/>
                <w:numId w:val="29"/>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bg-BG"/>
              </w:rPr>
            </w:pPr>
            <w:r w:rsidRPr="00354CE4">
              <w:rPr>
                <w:rFonts w:asciiTheme="majorHAnsi" w:hAnsiTheme="majorHAnsi" w:cstheme="majorHAnsi"/>
                <w:lang w:val="bg-BG"/>
              </w:rPr>
              <w:t>Образование, обучение и научно-изследователска дейност</w:t>
            </w:r>
          </w:p>
          <w:p w:rsidR="00915E63" w:rsidRPr="00354CE4" w:rsidRDefault="00915E63" w:rsidP="005F67FF">
            <w:pPr>
              <w:pStyle w:val="ListParagraph"/>
              <w:numPr>
                <w:ilvl w:val="0"/>
                <w:numId w:val="29"/>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bg-BG"/>
              </w:rPr>
            </w:pPr>
            <w:r w:rsidRPr="00354CE4">
              <w:rPr>
                <w:rFonts w:asciiTheme="majorHAnsi" w:hAnsiTheme="majorHAnsi" w:cstheme="majorHAnsi"/>
                <w:lang w:val="bg-BG"/>
              </w:rPr>
              <w:t xml:space="preserve">Управление на подсектор </w:t>
            </w:r>
            <w:r w:rsidR="008273CF" w:rsidRPr="00354CE4">
              <w:rPr>
                <w:rFonts w:asciiTheme="majorHAnsi" w:hAnsiTheme="majorHAnsi" w:cstheme="majorHAnsi"/>
                <w:lang w:val="bg-BG"/>
              </w:rPr>
              <w:t>„</w:t>
            </w:r>
            <w:r w:rsidRPr="00354CE4">
              <w:rPr>
                <w:rFonts w:asciiTheme="majorHAnsi" w:hAnsiTheme="majorHAnsi" w:cstheme="majorHAnsi"/>
                <w:lang w:val="bg-BG"/>
              </w:rPr>
              <w:t>Аквакултури</w:t>
            </w:r>
            <w:r w:rsidR="008273CF" w:rsidRPr="00354CE4">
              <w:rPr>
                <w:rFonts w:asciiTheme="majorHAnsi" w:hAnsiTheme="majorHAnsi" w:cstheme="majorHAnsi"/>
                <w:lang w:val="bg-BG"/>
              </w:rPr>
              <w:t>“</w:t>
            </w:r>
          </w:p>
          <w:p w:rsidR="00915E63" w:rsidRPr="00354CE4" w:rsidRDefault="00915E63" w:rsidP="005F67FF">
            <w:pPr>
              <w:pStyle w:val="ListParagraph"/>
              <w:numPr>
                <w:ilvl w:val="0"/>
                <w:numId w:val="29"/>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bg-BG"/>
              </w:rPr>
            </w:pPr>
            <w:r w:rsidRPr="00354CE4">
              <w:rPr>
                <w:rFonts w:asciiTheme="majorHAnsi" w:hAnsiTheme="majorHAnsi" w:cstheme="majorHAnsi"/>
                <w:lang w:val="bg-BG"/>
              </w:rPr>
              <w:t>Достъп до финансови ресурси</w:t>
            </w:r>
          </w:p>
          <w:p w:rsidR="00915E63" w:rsidRPr="00354CE4" w:rsidRDefault="00915E63" w:rsidP="005F67FF">
            <w:pPr>
              <w:pStyle w:val="ListParagraph"/>
              <w:numPr>
                <w:ilvl w:val="0"/>
                <w:numId w:val="29"/>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bg-BG"/>
              </w:rPr>
            </w:pPr>
            <w:r w:rsidRPr="00354CE4">
              <w:rPr>
                <w:rFonts w:asciiTheme="majorHAnsi" w:hAnsiTheme="majorHAnsi" w:cstheme="majorHAnsi"/>
                <w:lang w:val="bg-BG"/>
              </w:rPr>
              <w:t>Преглед на изпълнението на МНСП 2021-2027</w:t>
            </w:r>
          </w:p>
          <w:p w:rsidR="00F65084" w:rsidRPr="00354CE4" w:rsidRDefault="00F65084" w:rsidP="005F67FF">
            <w:pPr>
              <w:pStyle w:val="ListParagraph"/>
              <w:numPr>
                <w:ilvl w:val="0"/>
                <w:numId w:val="29"/>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bg-BG"/>
              </w:rPr>
            </w:pPr>
            <w:r w:rsidRPr="00354CE4">
              <w:rPr>
                <w:rFonts w:asciiTheme="majorHAnsi" w:hAnsiTheme="majorHAnsi" w:cstheme="majorHAnsi"/>
                <w:lang w:val="bg-BG"/>
              </w:rPr>
              <w:t>Други</w:t>
            </w:r>
          </w:p>
        </w:tc>
      </w:tr>
      <w:tr w:rsidR="00F65084" w:rsidRPr="00354CE4" w:rsidTr="004B0E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 w:type="pct"/>
          </w:tcPr>
          <w:p w:rsidR="00F65084" w:rsidRPr="00354CE4" w:rsidRDefault="00F65084" w:rsidP="005F67FF">
            <w:pPr>
              <w:rPr>
                <w:rFonts w:asciiTheme="majorHAnsi" w:hAnsiTheme="majorHAnsi" w:cstheme="majorHAnsi"/>
                <w:lang w:val="bg-BG"/>
              </w:rPr>
            </w:pPr>
            <w:r w:rsidRPr="00354CE4">
              <w:rPr>
                <w:rFonts w:asciiTheme="majorHAnsi" w:hAnsiTheme="majorHAnsi" w:cstheme="majorHAnsi"/>
                <w:lang w:val="bg-BG"/>
              </w:rPr>
              <w:t xml:space="preserve">Инструменти за набиране на информация и методи за извършване на оценката и изисквания по </w:t>
            </w:r>
            <w:r w:rsidRPr="00354CE4">
              <w:rPr>
                <w:rFonts w:asciiTheme="majorHAnsi" w:hAnsiTheme="majorHAnsi" w:cstheme="majorHAnsi"/>
                <w:lang w:val="bg-BG"/>
              </w:rPr>
              <w:lastRenderedPageBreak/>
              <w:t>отношение на необходимите данни</w:t>
            </w:r>
          </w:p>
        </w:tc>
        <w:tc>
          <w:tcPr>
            <w:tcW w:w="4065" w:type="pct"/>
          </w:tcPr>
          <w:p w:rsidR="00915E63" w:rsidRPr="00354CE4" w:rsidRDefault="00915E63" w:rsidP="005F67FF">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bg-BG"/>
              </w:rPr>
            </w:pPr>
            <w:r w:rsidRPr="00354CE4">
              <w:rPr>
                <w:rFonts w:asciiTheme="majorHAnsi" w:hAnsiTheme="majorHAnsi" w:cstheme="majorHAnsi"/>
                <w:lang w:val="bg-BG"/>
              </w:rPr>
              <w:lastRenderedPageBreak/>
              <w:t>Първоначалната оценка на необходимият индикативен инструментариум  минимум, който методиката трябва да включва един или няколко, но не само, от следните е:</w:t>
            </w:r>
          </w:p>
          <w:p w:rsidR="00F65084" w:rsidRPr="00354CE4" w:rsidRDefault="00F65084" w:rsidP="005F67FF">
            <w:pPr>
              <w:pStyle w:val="ListParagraph"/>
              <w:numPr>
                <w:ilvl w:val="0"/>
                <w:numId w:val="27"/>
              </w:num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bg-BG"/>
              </w:rPr>
            </w:pPr>
            <w:r w:rsidRPr="00354CE4">
              <w:rPr>
                <w:rFonts w:asciiTheme="majorHAnsi" w:hAnsiTheme="majorHAnsi" w:cstheme="majorHAnsi"/>
                <w:lang w:val="bg-BG"/>
              </w:rPr>
              <w:t xml:space="preserve">кабинетно проучване - преглед и анализ на документи, проучване на конкретни случаи (case study); </w:t>
            </w:r>
          </w:p>
          <w:p w:rsidR="00F65084" w:rsidRPr="00354CE4" w:rsidRDefault="00F65084" w:rsidP="005F67FF">
            <w:pPr>
              <w:pStyle w:val="ListParagraph"/>
              <w:numPr>
                <w:ilvl w:val="0"/>
                <w:numId w:val="27"/>
              </w:num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bg-BG"/>
              </w:rPr>
            </w:pPr>
            <w:r w:rsidRPr="00354CE4">
              <w:rPr>
                <w:rFonts w:asciiTheme="majorHAnsi" w:hAnsiTheme="majorHAnsi" w:cstheme="majorHAnsi"/>
                <w:lang w:val="bg-BG"/>
              </w:rPr>
              <w:t xml:space="preserve">събиране и обработка на първична и вторична информация - </w:t>
            </w:r>
            <w:r w:rsidRPr="00354CE4">
              <w:rPr>
                <w:rFonts w:asciiTheme="majorHAnsi" w:hAnsiTheme="majorHAnsi" w:cstheme="majorHAnsi"/>
                <w:lang w:val="bg-BG"/>
              </w:rPr>
              <w:lastRenderedPageBreak/>
              <w:t xml:space="preserve">количествени и качествени методи; </w:t>
            </w:r>
          </w:p>
          <w:p w:rsidR="00F65084" w:rsidRPr="00354CE4" w:rsidRDefault="00F65084" w:rsidP="005F67FF">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bg-BG"/>
              </w:rPr>
            </w:pPr>
            <w:r w:rsidRPr="00354CE4">
              <w:rPr>
                <w:rFonts w:asciiTheme="majorHAnsi" w:hAnsiTheme="majorHAnsi" w:cstheme="majorHAnsi"/>
                <w:lang w:val="bg-BG"/>
              </w:rPr>
              <w:t xml:space="preserve">За целите за набиране на първична количествена и качествена информация следва да бъде планирано прилагането на анкетни карти/въпросници за проучвания (в съответния подходящ метод), интервюта, дискусия /фокус групи с представители на УО на ръководно и оперативно ниво и представители на целевите групи/бенефициентите по Програмата, потенциални бенефициенти и други заинтересовани страни; </w:t>
            </w:r>
          </w:p>
          <w:p w:rsidR="00F65084" w:rsidRPr="00354CE4" w:rsidRDefault="00F65084" w:rsidP="005F67FF">
            <w:pPr>
              <w:pStyle w:val="ListParagraph"/>
              <w:numPr>
                <w:ilvl w:val="0"/>
                <w:numId w:val="27"/>
              </w:num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bg-BG"/>
              </w:rPr>
            </w:pPr>
            <w:r w:rsidRPr="00354CE4">
              <w:rPr>
                <w:rFonts w:asciiTheme="majorHAnsi" w:hAnsiTheme="majorHAnsi" w:cstheme="majorHAnsi"/>
                <w:lang w:val="bg-BG"/>
              </w:rPr>
              <w:t xml:space="preserve">други методически подходи, според целите, спецификата и въпросите на оценката (подробно описани и обосновани от изпълнителя в техническото му предложение по обществената поръчка). </w:t>
            </w:r>
          </w:p>
          <w:p w:rsidR="00F65084" w:rsidRPr="00354CE4" w:rsidRDefault="00F65084" w:rsidP="008273CF">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bg-BG"/>
              </w:rPr>
            </w:pPr>
            <w:r w:rsidRPr="00354CE4">
              <w:rPr>
                <w:rFonts w:asciiTheme="majorHAnsi" w:hAnsiTheme="majorHAnsi" w:cstheme="majorHAnsi"/>
                <w:lang w:val="bg-BG"/>
              </w:rPr>
              <w:t>При проектиране на методическия инструментариум релевантността и качеството на информацията следва да бъде гарантирано чрез прилагане на триангулация</w:t>
            </w:r>
            <w:r w:rsidR="008273CF" w:rsidRPr="00354CE4">
              <w:rPr>
                <w:rFonts w:asciiTheme="majorHAnsi" w:hAnsiTheme="majorHAnsi" w:cstheme="majorHAnsi"/>
                <w:lang w:val="bg-BG"/>
              </w:rPr>
              <w:t xml:space="preserve"> на данните и методите за анализ</w:t>
            </w:r>
            <w:r w:rsidRPr="00354CE4">
              <w:rPr>
                <w:rFonts w:asciiTheme="majorHAnsi" w:hAnsiTheme="majorHAnsi" w:cstheme="majorHAnsi"/>
                <w:lang w:val="bg-BG"/>
              </w:rPr>
              <w:t>.</w:t>
            </w:r>
          </w:p>
        </w:tc>
      </w:tr>
    </w:tbl>
    <w:p w:rsidR="00F65084" w:rsidRPr="00354CE4" w:rsidRDefault="00F65084" w:rsidP="005F67FF"/>
    <w:p w:rsidR="00C421E3" w:rsidRPr="00354CE4" w:rsidRDefault="00C421E3" w:rsidP="005F67FF">
      <w:pPr>
        <w:pStyle w:val="Heading2"/>
      </w:pPr>
      <w:bookmarkStart w:id="49" w:name="_Toc153543126"/>
      <w:bookmarkStart w:id="50" w:name="_Toc160622942"/>
      <w:r w:rsidRPr="00354CE4">
        <w:t>Предварителна оценка и стратегическа оценка на околната среда на Програма за програмен период 2028+</w:t>
      </w:r>
      <w:bookmarkEnd w:id="49"/>
      <w:bookmarkEnd w:id="50"/>
    </w:p>
    <w:tbl>
      <w:tblPr>
        <w:tblStyle w:val="351"/>
        <w:tblW w:w="5000" w:type="pct"/>
        <w:tblLook w:val="04A0" w:firstRow="1" w:lastRow="0" w:firstColumn="1" w:lastColumn="0" w:noHBand="0" w:noVBand="1"/>
      </w:tblPr>
      <w:tblGrid>
        <w:gridCol w:w="1851"/>
        <w:gridCol w:w="8004"/>
      </w:tblGrid>
      <w:tr w:rsidR="00CE5586" w:rsidRPr="00354CE4" w:rsidTr="004B0EC8">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935" w:type="pct"/>
          </w:tcPr>
          <w:p w:rsidR="00CE5586" w:rsidRPr="00354CE4" w:rsidRDefault="00CE5586" w:rsidP="005F67FF">
            <w:pPr>
              <w:rPr>
                <w:rFonts w:asciiTheme="majorHAnsi" w:hAnsiTheme="majorHAnsi" w:cstheme="majorHAnsi"/>
                <w:lang w:val="bg-BG"/>
              </w:rPr>
            </w:pPr>
            <w:r w:rsidRPr="00354CE4">
              <w:rPr>
                <w:rFonts w:asciiTheme="majorHAnsi" w:hAnsiTheme="majorHAnsi" w:cstheme="majorHAnsi"/>
                <w:lang w:val="bg-BG"/>
              </w:rPr>
              <w:t>Тема на оценката</w:t>
            </w:r>
          </w:p>
        </w:tc>
        <w:tc>
          <w:tcPr>
            <w:tcW w:w="4065" w:type="pct"/>
          </w:tcPr>
          <w:p w:rsidR="00CE5586" w:rsidRPr="00354CE4" w:rsidRDefault="00CE5586" w:rsidP="005F67FF">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lang w:val="bg-BG"/>
              </w:rPr>
            </w:pPr>
            <w:r w:rsidRPr="00354CE4">
              <w:rPr>
                <w:rFonts w:asciiTheme="majorHAnsi" w:hAnsiTheme="majorHAnsi" w:cstheme="majorHAnsi"/>
                <w:lang w:val="bg-BG"/>
              </w:rPr>
              <w:t>Предварителна оценка и стратегическа оценка на околната среда на Програма за програмен период 2028+</w:t>
            </w:r>
          </w:p>
        </w:tc>
      </w:tr>
      <w:tr w:rsidR="00CE5586" w:rsidRPr="00354CE4" w:rsidTr="004B0E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 w:type="pct"/>
          </w:tcPr>
          <w:p w:rsidR="00CE5586" w:rsidRPr="00354CE4" w:rsidRDefault="00CE5586" w:rsidP="005F67FF">
            <w:pPr>
              <w:rPr>
                <w:rFonts w:asciiTheme="majorHAnsi" w:hAnsiTheme="majorHAnsi" w:cstheme="majorHAnsi"/>
                <w:lang w:val="bg-BG"/>
              </w:rPr>
            </w:pPr>
            <w:r w:rsidRPr="00354CE4">
              <w:rPr>
                <w:rFonts w:asciiTheme="majorHAnsi" w:hAnsiTheme="majorHAnsi" w:cstheme="majorHAnsi"/>
                <w:lang w:val="bg-BG"/>
              </w:rPr>
              <w:t>Предмет, обхват, контекст и обосновка на необходимостта от оценката</w:t>
            </w:r>
          </w:p>
        </w:tc>
        <w:tc>
          <w:tcPr>
            <w:tcW w:w="4065" w:type="pct"/>
          </w:tcPr>
          <w:p w:rsidR="00186871" w:rsidRPr="00354CE4" w:rsidRDefault="00186871" w:rsidP="005F67FF">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bg-BG"/>
              </w:rPr>
            </w:pPr>
            <w:r w:rsidRPr="00354CE4">
              <w:rPr>
                <w:rFonts w:asciiTheme="majorHAnsi" w:hAnsiTheme="majorHAnsi" w:cstheme="majorHAnsi"/>
                <w:lang w:val="bg-BG"/>
              </w:rPr>
              <w:t>Към момента не са разработени документи, вкл. и Регламенти, които са насочени към разработване и оценка на документите за програмен период 28+.</w:t>
            </w:r>
          </w:p>
          <w:p w:rsidR="00E629EF" w:rsidRPr="00354CE4" w:rsidRDefault="00186871" w:rsidP="005F67FF">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bg-BG"/>
              </w:rPr>
            </w:pPr>
            <w:r w:rsidRPr="00354CE4">
              <w:rPr>
                <w:rFonts w:asciiTheme="majorHAnsi" w:hAnsiTheme="majorHAnsi" w:cstheme="majorHAnsi"/>
                <w:lang w:val="bg-BG"/>
              </w:rPr>
              <w:t>План</w:t>
            </w:r>
            <w:r w:rsidR="008273CF" w:rsidRPr="00354CE4">
              <w:rPr>
                <w:rFonts w:asciiTheme="majorHAnsi" w:hAnsiTheme="majorHAnsi" w:cstheme="majorHAnsi"/>
                <w:lang w:val="bg-BG"/>
              </w:rPr>
              <w:t>ът</w:t>
            </w:r>
            <w:r w:rsidRPr="00354CE4">
              <w:rPr>
                <w:rFonts w:asciiTheme="majorHAnsi" w:hAnsiTheme="majorHAnsi" w:cstheme="majorHAnsi"/>
                <w:lang w:val="bg-BG"/>
              </w:rPr>
              <w:t xml:space="preserve"> за оценка предвижда възможността за изготвяне на предварителна оценка и стратегическа оценка на околната среда на Програма за програмен период 2028 – 2034 г., без да посочва конкретни обосновка, обхват и оценъчни въпроси за тази оценка. </w:t>
            </w:r>
          </w:p>
          <w:p w:rsidR="00E629EF" w:rsidRPr="00354CE4" w:rsidRDefault="00E629EF" w:rsidP="005F67FF">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bg-BG"/>
              </w:rPr>
            </w:pPr>
            <w:r w:rsidRPr="00354CE4">
              <w:rPr>
                <w:rFonts w:asciiTheme="majorHAnsi" w:hAnsiTheme="majorHAnsi" w:cstheme="majorHAnsi"/>
                <w:lang w:val="bg-BG"/>
              </w:rPr>
              <w:t xml:space="preserve">Предварителната оценка следва да подобри качеството и процеса на подготовка на Програмата за програмен период 28+ и да даде увереност, че целите и задачите, поставени в нея могат да бъдат постигнати. </w:t>
            </w:r>
          </w:p>
          <w:p w:rsidR="00CE5586" w:rsidRPr="00354CE4" w:rsidRDefault="00186871" w:rsidP="005F67FF">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highlight w:val="yellow"/>
                <w:lang w:val="bg-BG"/>
              </w:rPr>
            </w:pPr>
            <w:r w:rsidRPr="00354CE4">
              <w:rPr>
                <w:rFonts w:asciiTheme="majorHAnsi" w:hAnsiTheme="majorHAnsi" w:cstheme="majorHAnsi"/>
                <w:lang w:val="bg-BG"/>
              </w:rPr>
              <w:t>Посочените индикативни дейности се основават на преходния опит при изготвяне на предварителни оценки на оперативните програми за морско дело и рибарство</w:t>
            </w:r>
            <w:r w:rsidR="00E629EF" w:rsidRPr="00354CE4">
              <w:rPr>
                <w:rFonts w:asciiTheme="majorHAnsi" w:hAnsiTheme="majorHAnsi" w:cstheme="majorHAnsi"/>
                <w:lang w:val="bg-BG"/>
              </w:rPr>
              <w:t>.</w:t>
            </w:r>
          </w:p>
        </w:tc>
      </w:tr>
      <w:tr w:rsidR="00CE5586" w:rsidRPr="00354CE4" w:rsidTr="004B0EC8">
        <w:tc>
          <w:tcPr>
            <w:cnfStyle w:val="001000000000" w:firstRow="0" w:lastRow="0" w:firstColumn="1" w:lastColumn="0" w:oddVBand="0" w:evenVBand="0" w:oddHBand="0" w:evenHBand="0" w:firstRowFirstColumn="0" w:firstRowLastColumn="0" w:lastRowFirstColumn="0" w:lastRowLastColumn="0"/>
            <w:tcW w:w="935" w:type="pct"/>
          </w:tcPr>
          <w:p w:rsidR="00CE5586" w:rsidRPr="00354CE4" w:rsidRDefault="00CE5586" w:rsidP="005F67FF">
            <w:pPr>
              <w:rPr>
                <w:rFonts w:asciiTheme="majorHAnsi" w:hAnsiTheme="majorHAnsi" w:cstheme="majorHAnsi"/>
                <w:lang w:val="bg-BG"/>
              </w:rPr>
            </w:pPr>
            <w:r w:rsidRPr="00354CE4">
              <w:rPr>
                <w:rFonts w:asciiTheme="majorHAnsi" w:hAnsiTheme="majorHAnsi" w:cstheme="majorHAnsi"/>
                <w:lang w:val="bg-BG"/>
              </w:rPr>
              <w:t>Индикативни дейности</w:t>
            </w:r>
          </w:p>
        </w:tc>
        <w:tc>
          <w:tcPr>
            <w:tcW w:w="4065" w:type="pct"/>
          </w:tcPr>
          <w:p w:rsidR="00E629EF" w:rsidRPr="00354CE4" w:rsidRDefault="00E629EF" w:rsidP="005F67FF">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bg-BG"/>
              </w:rPr>
            </w:pPr>
            <w:r w:rsidRPr="00354CE4">
              <w:rPr>
                <w:rFonts w:asciiTheme="majorHAnsi" w:hAnsiTheme="majorHAnsi" w:cstheme="majorHAnsi"/>
                <w:lang w:val="bg-BG"/>
              </w:rPr>
              <w:t>Предварителната</w:t>
            </w:r>
            <w:r w:rsidR="00CE5586" w:rsidRPr="00354CE4">
              <w:rPr>
                <w:rFonts w:asciiTheme="majorHAnsi" w:hAnsiTheme="majorHAnsi" w:cstheme="majorHAnsi"/>
                <w:lang w:val="bg-BG"/>
              </w:rPr>
              <w:t xml:space="preserve"> оценка </w:t>
            </w:r>
            <w:r w:rsidRPr="00354CE4">
              <w:rPr>
                <w:rFonts w:asciiTheme="majorHAnsi" w:hAnsiTheme="majorHAnsi" w:cstheme="majorHAnsi"/>
                <w:lang w:val="bg-BG"/>
              </w:rPr>
              <w:t xml:space="preserve">обследва развитието на всички аспекти, включени в </w:t>
            </w:r>
            <w:r w:rsidR="009B6A72" w:rsidRPr="00354CE4">
              <w:rPr>
                <w:rFonts w:asciiTheme="majorHAnsi" w:hAnsiTheme="majorHAnsi" w:cstheme="majorHAnsi"/>
                <w:lang w:val="bg-BG"/>
              </w:rPr>
              <w:t xml:space="preserve">проекта на </w:t>
            </w:r>
            <w:r w:rsidRPr="00354CE4">
              <w:rPr>
                <w:rFonts w:asciiTheme="majorHAnsi" w:hAnsiTheme="majorHAnsi" w:cstheme="majorHAnsi"/>
                <w:lang w:val="bg-BG"/>
              </w:rPr>
              <w:t xml:space="preserve">Програмата за програмен период 28+, както и оценява качеството на изработения SWOT анализ и логиката на интервенциите и определянето на целите и дейностите. </w:t>
            </w:r>
          </w:p>
          <w:p w:rsidR="00E629EF" w:rsidRPr="00354CE4" w:rsidRDefault="00E629EF" w:rsidP="005F67FF">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bg-BG"/>
              </w:rPr>
            </w:pPr>
            <w:r w:rsidRPr="00354CE4">
              <w:rPr>
                <w:rFonts w:asciiTheme="majorHAnsi" w:hAnsiTheme="majorHAnsi" w:cstheme="majorHAnsi"/>
                <w:lang w:val="bg-BG"/>
              </w:rPr>
              <w:t>Предварителната оценка включва:</w:t>
            </w:r>
          </w:p>
          <w:p w:rsidR="00E629EF" w:rsidRPr="00354CE4" w:rsidRDefault="00E629EF" w:rsidP="005F67FF">
            <w:pPr>
              <w:pStyle w:val="ListParagraph"/>
              <w:numPr>
                <w:ilvl w:val="0"/>
                <w:numId w:val="27"/>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bg-BG"/>
              </w:rPr>
            </w:pPr>
            <w:r w:rsidRPr="00354CE4">
              <w:rPr>
                <w:rFonts w:asciiTheme="majorHAnsi" w:hAnsiTheme="majorHAnsi" w:cstheme="majorHAnsi"/>
                <w:lang w:val="bg-BG"/>
              </w:rPr>
              <w:t>Оценка на контекста и нуждите – оценка на анализа на ситуацията, на изработения SWOT анализ и анализа на нуждите</w:t>
            </w:r>
          </w:p>
          <w:p w:rsidR="00E629EF" w:rsidRPr="00354CE4" w:rsidRDefault="00E629EF" w:rsidP="005F67FF">
            <w:pPr>
              <w:pStyle w:val="ListParagraph"/>
              <w:numPr>
                <w:ilvl w:val="0"/>
                <w:numId w:val="27"/>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bg-BG"/>
              </w:rPr>
            </w:pPr>
            <w:r w:rsidRPr="00354CE4">
              <w:rPr>
                <w:rFonts w:asciiTheme="majorHAnsi" w:hAnsiTheme="majorHAnsi" w:cstheme="majorHAnsi"/>
                <w:lang w:val="bg-BG"/>
              </w:rPr>
              <w:lastRenderedPageBreak/>
              <w:t>Оценка на качеството на вътрешната и външната съгласуваност на Програмата</w:t>
            </w:r>
          </w:p>
          <w:p w:rsidR="00E629EF" w:rsidRPr="00354CE4" w:rsidRDefault="00E629EF" w:rsidP="005F67FF">
            <w:pPr>
              <w:pStyle w:val="ListParagraph"/>
              <w:numPr>
                <w:ilvl w:val="0"/>
                <w:numId w:val="27"/>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bg-BG"/>
              </w:rPr>
            </w:pPr>
            <w:r w:rsidRPr="00354CE4">
              <w:rPr>
                <w:rFonts w:asciiTheme="majorHAnsi" w:hAnsiTheme="majorHAnsi" w:cstheme="majorHAnsi"/>
                <w:lang w:val="bg-BG"/>
              </w:rPr>
              <w:t>Оценка на логиката и процедурите за измерване на напредъка и резултатите от Програмата</w:t>
            </w:r>
          </w:p>
          <w:p w:rsidR="00E629EF" w:rsidRPr="00354CE4" w:rsidRDefault="00E629EF" w:rsidP="005F67FF">
            <w:pPr>
              <w:pStyle w:val="ListParagraph"/>
              <w:numPr>
                <w:ilvl w:val="0"/>
                <w:numId w:val="27"/>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bg-BG"/>
              </w:rPr>
            </w:pPr>
            <w:r w:rsidRPr="00354CE4">
              <w:rPr>
                <w:rFonts w:asciiTheme="majorHAnsi" w:hAnsiTheme="majorHAnsi" w:cstheme="majorHAnsi"/>
                <w:lang w:val="bg-BG"/>
              </w:rPr>
              <w:t>Оценка на планираните дейности за изпълнение на Програмата</w:t>
            </w:r>
          </w:p>
          <w:p w:rsidR="00E629EF" w:rsidRPr="00354CE4" w:rsidRDefault="00E629EF" w:rsidP="005F67FF">
            <w:pPr>
              <w:pStyle w:val="ListParagraph"/>
              <w:numPr>
                <w:ilvl w:val="0"/>
                <w:numId w:val="27"/>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bg-BG"/>
              </w:rPr>
            </w:pPr>
            <w:r w:rsidRPr="00354CE4">
              <w:rPr>
                <w:rFonts w:asciiTheme="majorHAnsi" w:hAnsiTheme="majorHAnsi" w:cstheme="majorHAnsi"/>
                <w:lang w:val="bg-BG"/>
              </w:rPr>
              <w:t>Оценка на планираното постигане на хоризонталните цели</w:t>
            </w:r>
          </w:p>
          <w:p w:rsidR="00CE5586" w:rsidRPr="00354CE4" w:rsidRDefault="00E629EF" w:rsidP="005F67FF">
            <w:pPr>
              <w:pStyle w:val="ListParagraph"/>
              <w:numPr>
                <w:ilvl w:val="0"/>
                <w:numId w:val="27"/>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bg-BG"/>
              </w:rPr>
            </w:pPr>
            <w:r w:rsidRPr="00354CE4">
              <w:rPr>
                <w:rFonts w:asciiTheme="majorHAnsi" w:hAnsiTheme="majorHAnsi" w:cstheme="majorHAnsi"/>
                <w:lang w:val="bg-BG"/>
              </w:rPr>
              <w:t>Оценка на системите за управление на Програмата.</w:t>
            </w:r>
          </w:p>
        </w:tc>
      </w:tr>
      <w:tr w:rsidR="00CE5586" w:rsidRPr="00354CE4" w:rsidTr="004B0E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 w:type="pct"/>
          </w:tcPr>
          <w:p w:rsidR="00CE5586" w:rsidRPr="00354CE4" w:rsidRDefault="00CE5586" w:rsidP="005F67FF">
            <w:pPr>
              <w:rPr>
                <w:rFonts w:asciiTheme="majorHAnsi" w:hAnsiTheme="majorHAnsi" w:cstheme="majorHAnsi"/>
                <w:lang w:val="bg-BG"/>
              </w:rPr>
            </w:pPr>
            <w:r w:rsidRPr="00354CE4">
              <w:rPr>
                <w:rFonts w:asciiTheme="majorHAnsi" w:hAnsiTheme="majorHAnsi" w:cstheme="majorHAnsi"/>
                <w:lang w:val="bg-BG"/>
              </w:rPr>
              <w:lastRenderedPageBreak/>
              <w:t>Приложим подход</w:t>
            </w:r>
          </w:p>
        </w:tc>
        <w:tc>
          <w:tcPr>
            <w:tcW w:w="4065" w:type="pct"/>
          </w:tcPr>
          <w:p w:rsidR="00CE5586" w:rsidRPr="00354CE4" w:rsidRDefault="00CE5586" w:rsidP="005F67FF">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bg-BG"/>
              </w:rPr>
            </w:pPr>
            <w:r w:rsidRPr="00354CE4">
              <w:rPr>
                <w:rFonts w:asciiTheme="majorHAnsi" w:hAnsiTheme="majorHAnsi" w:cstheme="majorHAnsi"/>
                <w:lang w:val="bg-BG"/>
              </w:rPr>
              <w:t>Оценка на състоянието, базирана на теорията</w:t>
            </w:r>
          </w:p>
          <w:p w:rsidR="00CE5586" w:rsidRPr="00354CE4" w:rsidRDefault="00CE5586" w:rsidP="005F67FF">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bg-BG"/>
              </w:rPr>
            </w:pPr>
            <w:r w:rsidRPr="00354CE4">
              <w:rPr>
                <w:rFonts w:asciiTheme="majorHAnsi" w:hAnsiTheme="majorHAnsi" w:cstheme="majorHAnsi"/>
                <w:lang w:val="bg-BG"/>
              </w:rPr>
              <w:t>Оценка на процесите и изпълнението</w:t>
            </w:r>
          </w:p>
        </w:tc>
      </w:tr>
    </w:tbl>
    <w:p w:rsidR="00CA4053" w:rsidRPr="00354CE4" w:rsidRDefault="00CA4053" w:rsidP="005F67FF"/>
    <w:p w:rsidR="00C421E3" w:rsidRPr="00354CE4" w:rsidRDefault="00C421E3" w:rsidP="005F67FF">
      <w:pPr>
        <w:pStyle w:val="Heading2"/>
      </w:pPr>
      <w:bookmarkStart w:id="51" w:name="_Toc153543127"/>
      <w:bookmarkStart w:id="52" w:name="_Toc160622943"/>
      <w:r w:rsidRPr="00354CE4">
        <w:t>Оценка на въздействието на ПМДРА 2021-2027 г.</w:t>
      </w:r>
      <w:bookmarkEnd w:id="51"/>
      <w:bookmarkEnd w:id="52"/>
    </w:p>
    <w:tbl>
      <w:tblPr>
        <w:tblStyle w:val="351"/>
        <w:tblW w:w="5000" w:type="pct"/>
        <w:tblLook w:val="04A0" w:firstRow="1" w:lastRow="0" w:firstColumn="1" w:lastColumn="0" w:noHBand="0" w:noVBand="1"/>
      </w:tblPr>
      <w:tblGrid>
        <w:gridCol w:w="1851"/>
        <w:gridCol w:w="8004"/>
      </w:tblGrid>
      <w:tr w:rsidR="00C421E3" w:rsidRPr="00354CE4" w:rsidTr="004B0EC8">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935" w:type="pct"/>
          </w:tcPr>
          <w:p w:rsidR="00C421E3" w:rsidRPr="00354CE4" w:rsidRDefault="00C421E3" w:rsidP="005F67FF">
            <w:pPr>
              <w:rPr>
                <w:rFonts w:asciiTheme="majorHAnsi" w:hAnsiTheme="majorHAnsi" w:cstheme="majorHAnsi"/>
                <w:lang w:val="bg-BG"/>
              </w:rPr>
            </w:pPr>
            <w:r w:rsidRPr="00354CE4">
              <w:rPr>
                <w:rFonts w:asciiTheme="majorHAnsi" w:hAnsiTheme="majorHAnsi" w:cstheme="majorHAnsi"/>
                <w:lang w:val="bg-BG"/>
              </w:rPr>
              <w:t>Тема на оценката</w:t>
            </w:r>
          </w:p>
        </w:tc>
        <w:tc>
          <w:tcPr>
            <w:tcW w:w="4065" w:type="pct"/>
          </w:tcPr>
          <w:p w:rsidR="00C421E3" w:rsidRPr="00354CE4" w:rsidRDefault="00C421E3" w:rsidP="005F67FF">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lang w:val="bg-BG"/>
              </w:rPr>
            </w:pPr>
            <w:r w:rsidRPr="00354CE4">
              <w:rPr>
                <w:rFonts w:asciiTheme="majorHAnsi" w:hAnsiTheme="majorHAnsi" w:cstheme="majorHAnsi"/>
                <w:lang w:val="bg-BG"/>
              </w:rPr>
              <w:t>Оценка на въздействието на ПМДРА 2021-2027 г.</w:t>
            </w:r>
          </w:p>
        </w:tc>
      </w:tr>
      <w:tr w:rsidR="00C421E3" w:rsidRPr="00354CE4" w:rsidTr="004B0E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 w:type="pct"/>
          </w:tcPr>
          <w:p w:rsidR="00C421E3" w:rsidRPr="00354CE4" w:rsidRDefault="00C421E3" w:rsidP="005F67FF">
            <w:pPr>
              <w:rPr>
                <w:rFonts w:asciiTheme="majorHAnsi" w:hAnsiTheme="majorHAnsi" w:cstheme="majorHAnsi"/>
                <w:lang w:val="bg-BG"/>
              </w:rPr>
            </w:pPr>
            <w:r w:rsidRPr="00354CE4">
              <w:rPr>
                <w:rFonts w:asciiTheme="majorHAnsi" w:hAnsiTheme="majorHAnsi" w:cstheme="majorHAnsi"/>
                <w:lang w:val="bg-BG"/>
              </w:rPr>
              <w:t>Предмет, обхват, контекст и обосновка на необходимостта от оценката</w:t>
            </w:r>
          </w:p>
        </w:tc>
        <w:tc>
          <w:tcPr>
            <w:tcW w:w="4065" w:type="pct"/>
          </w:tcPr>
          <w:p w:rsidR="008A22AC" w:rsidRPr="00354CE4" w:rsidRDefault="00C421E3" w:rsidP="005F67FF">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bg-BG"/>
              </w:rPr>
            </w:pPr>
            <w:r w:rsidRPr="00354CE4">
              <w:rPr>
                <w:rFonts w:asciiTheme="majorHAnsi" w:hAnsiTheme="majorHAnsi" w:cstheme="majorHAnsi"/>
                <w:lang w:val="bg-BG"/>
              </w:rPr>
              <w:t xml:space="preserve">Предметът на оценката е </w:t>
            </w:r>
            <w:r w:rsidR="008A22AC" w:rsidRPr="00354CE4">
              <w:rPr>
                <w:rFonts w:asciiTheme="majorHAnsi" w:hAnsiTheme="majorHAnsi" w:cstheme="majorHAnsi"/>
                <w:lang w:val="bg-BG"/>
              </w:rPr>
              <w:t>в съответствие с чл. 44 (2) на Регламент (ЕС) 2021/1060, съгласно който до 30 юни 2029 г. се прави оценка на въздействието на всяка програма.</w:t>
            </w:r>
          </w:p>
          <w:p w:rsidR="00C421E3" w:rsidRPr="00354CE4" w:rsidRDefault="00F00515" w:rsidP="005F67FF">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bg-BG"/>
              </w:rPr>
            </w:pPr>
            <w:r w:rsidRPr="00354CE4">
              <w:rPr>
                <w:rFonts w:asciiTheme="majorHAnsi" w:hAnsiTheme="majorHAnsi" w:cstheme="majorHAnsi"/>
                <w:lang w:val="bg-BG"/>
              </w:rPr>
              <w:t>Съгласно Работния документ на Комисията (SWD(2021) 198 final) оценката на въздействието трябва да анализира не само дали интервенцията има ефект – положителен или отрицателен – и колко голям е той, но също така и как се поражда този ефект, доколко ефектът е бил планиран и дали има или не нежелани ефекти и колко значими са те.</w:t>
            </w:r>
            <w:r w:rsidR="00933BD7" w:rsidRPr="00354CE4">
              <w:rPr>
                <w:rFonts w:asciiTheme="majorHAnsi" w:hAnsiTheme="majorHAnsi" w:cstheme="majorHAnsi"/>
                <w:lang w:val="bg-BG"/>
              </w:rPr>
              <w:t xml:space="preserve"> </w:t>
            </w:r>
          </w:p>
          <w:p w:rsidR="00933BD7" w:rsidRPr="00354CE4" w:rsidRDefault="00933BD7" w:rsidP="005F67FF">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bg-BG"/>
              </w:rPr>
            </w:pPr>
            <w:r w:rsidRPr="00354CE4">
              <w:rPr>
                <w:rFonts w:asciiTheme="majorHAnsi" w:hAnsiTheme="majorHAnsi" w:cstheme="majorHAnsi"/>
                <w:lang w:val="bg-BG"/>
              </w:rPr>
              <w:t>Оценката на въздействието следва да проследи и въздействието на Програмата по отношение постигането на целите по стратегиите на Съюза за Европейски зелен пакт, стратегии за Зелен преход, Дигитален преход, добавена стойност на публичните инвестиции, „От фермата до трапезата“, Син растеж, Стратегия за биологично разнообразие и др.</w:t>
            </w:r>
          </w:p>
        </w:tc>
      </w:tr>
      <w:tr w:rsidR="00C421E3" w:rsidRPr="00354CE4" w:rsidTr="004B0EC8">
        <w:tc>
          <w:tcPr>
            <w:cnfStyle w:val="001000000000" w:firstRow="0" w:lastRow="0" w:firstColumn="1" w:lastColumn="0" w:oddVBand="0" w:evenVBand="0" w:oddHBand="0" w:evenHBand="0" w:firstRowFirstColumn="0" w:firstRowLastColumn="0" w:lastRowFirstColumn="0" w:lastRowLastColumn="0"/>
            <w:tcW w:w="935" w:type="pct"/>
          </w:tcPr>
          <w:p w:rsidR="00C421E3" w:rsidRPr="00354CE4" w:rsidRDefault="00C421E3" w:rsidP="005F67FF">
            <w:pPr>
              <w:rPr>
                <w:rFonts w:asciiTheme="majorHAnsi" w:hAnsiTheme="majorHAnsi" w:cstheme="majorHAnsi"/>
                <w:lang w:val="bg-BG"/>
              </w:rPr>
            </w:pPr>
            <w:r w:rsidRPr="00354CE4">
              <w:rPr>
                <w:rFonts w:asciiTheme="majorHAnsi" w:hAnsiTheme="majorHAnsi" w:cstheme="majorHAnsi"/>
                <w:lang w:val="bg-BG"/>
              </w:rPr>
              <w:t>Индикативни дейности</w:t>
            </w:r>
          </w:p>
        </w:tc>
        <w:tc>
          <w:tcPr>
            <w:tcW w:w="4065" w:type="pct"/>
          </w:tcPr>
          <w:p w:rsidR="00F00515" w:rsidRPr="00354CE4" w:rsidRDefault="00F00515" w:rsidP="005F67FF">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bg-BG"/>
              </w:rPr>
            </w:pPr>
            <w:r w:rsidRPr="00354CE4">
              <w:rPr>
                <w:rFonts w:asciiTheme="majorHAnsi" w:hAnsiTheme="majorHAnsi" w:cstheme="majorHAnsi"/>
                <w:lang w:val="bg-BG"/>
              </w:rPr>
              <w:t xml:space="preserve">В Работния документ Комисията отбелязва, че при оценка на въздействието на програма не всички интервенции трябва да бъдат подложени на </w:t>
            </w:r>
            <w:r w:rsidR="004B27E2" w:rsidRPr="00354CE4">
              <w:rPr>
                <w:rFonts w:asciiTheme="majorHAnsi" w:hAnsiTheme="majorHAnsi" w:cstheme="majorHAnsi"/>
                <w:lang w:val="bg-BG"/>
              </w:rPr>
              <w:t xml:space="preserve">детайлна </w:t>
            </w:r>
            <w:r w:rsidRPr="00354CE4">
              <w:rPr>
                <w:rFonts w:asciiTheme="majorHAnsi" w:hAnsiTheme="majorHAnsi" w:cstheme="majorHAnsi"/>
                <w:lang w:val="bg-BG"/>
              </w:rPr>
              <w:t xml:space="preserve">оценка на въздействието. Критериите за вземане на решение </w:t>
            </w:r>
            <w:r w:rsidR="00617682" w:rsidRPr="00354CE4">
              <w:rPr>
                <w:rFonts w:asciiTheme="majorHAnsi" w:hAnsiTheme="majorHAnsi" w:cstheme="majorHAnsi"/>
                <w:lang w:val="bg-BG"/>
              </w:rPr>
              <w:t xml:space="preserve">въздействието на </w:t>
            </w:r>
            <w:r w:rsidRPr="00354CE4">
              <w:rPr>
                <w:rFonts w:asciiTheme="majorHAnsi" w:hAnsiTheme="majorHAnsi" w:cstheme="majorHAnsi"/>
                <w:lang w:val="bg-BG"/>
              </w:rPr>
              <w:t xml:space="preserve">кои дейности да </w:t>
            </w:r>
            <w:r w:rsidR="00617682" w:rsidRPr="00354CE4">
              <w:rPr>
                <w:rFonts w:asciiTheme="majorHAnsi" w:hAnsiTheme="majorHAnsi" w:cstheme="majorHAnsi"/>
                <w:lang w:val="bg-BG"/>
              </w:rPr>
              <w:t>се оцени</w:t>
            </w:r>
            <w:r w:rsidRPr="00354CE4">
              <w:rPr>
                <w:rFonts w:asciiTheme="majorHAnsi" w:hAnsiTheme="majorHAnsi" w:cstheme="majorHAnsi"/>
                <w:lang w:val="bg-BG"/>
              </w:rPr>
              <w:t xml:space="preserve"> включват:</w:t>
            </w:r>
          </w:p>
          <w:p w:rsidR="00F00515" w:rsidRPr="00354CE4" w:rsidRDefault="00F00515" w:rsidP="005F67FF">
            <w:pPr>
              <w:pStyle w:val="ListParagraph"/>
              <w:numPr>
                <w:ilvl w:val="0"/>
                <w:numId w:val="30"/>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bg-BG"/>
              </w:rPr>
            </w:pPr>
            <w:r w:rsidRPr="00354CE4">
              <w:rPr>
                <w:rFonts w:asciiTheme="majorHAnsi" w:hAnsiTheme="majorHAnsi" w:cstheme="majorHAnsi"/>
                <w:lang w:val="bg-BG"/>
              </w:rPr>
              <w:t>Стратегическата/политическа значимост на тези действия;</w:t>
            </w:r>
          </w:p>
          <w:p w:rsidR="00F00515" w:rsidRPr="00354CE4" w:rsidRDefault="00F00515" w:rsidP="005F67FF">
            <w:pPr>
              <w:pStyle w:val="ListParagraph"/>
              <w:numPr>
                <w:ilvl w:val="0"/>
                <w:numId w:val="30"/>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bg-BG"/>
              </w:rPr>
            </w:pPr>
            <w:r w:rsidRPr="00354CE4">
              <w:rPr>
                <w:rFonts w:asciiTheme="majorHAnsi" w:hAnsiTheme="majorHAnsi" w:cstheme="majorHAnsi"/>
                <w:lang w:val="bg-BG"/>
              </w:rPr>
              <w:t>Действия, които могат да бъдат въведени и възпроизведени в бъдеще;</w:t>
            </w:r>
          </w:p>
          <w:p w:rsidR="00F00515" w:rsidRPr="00354CE4" w:rsidRDefault="00F00515" w:rsidP="005F67FF">
            <w:pPr>
              <w:pStyle w:val="ListParagraph"/>
              <w:numPr>
                <w:ilvl w:val="0"/>
                <w:numId w:val="30"/>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bg-BG"/>
              </w:rPr>
            </w:pPr>
            <w:r w:rsidRPr="00354CE4">
              <w:rPr>
                <w:rFonts w:asciiTheme="majorHAnsi" w:hAnsiTheme="majorHAnsi" w:cstheme="majorHAnsi"/>
                <w:lang w:val="bg-BG"/>
              </w:rPr>
              <w:t>Включени големи бюджети;</w:t>
            </w:r>
          </w:p>
          <w:p w:rsidR="00F00515" w:rsidRPr="00354CE4" w:rsidRDefault="00F00515" w:rsidP="005F67FF">
            <w:pPr>
              <w:pStyle w:val="ListParagraph"/>
              <w:numPr>
                <w:ilvl w:val="0"/>
                <w:numId w:val="30"/>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bg-BG"/>
              </w:rPr>
            </w:pPr>
            <w:r w:rsidRPr="00354CE4">
              <w:rPr>
                <w:rFonts w:asciiTheme="majorHAnsi" w:hAnsiTheme="majorHAnsi" w:cstheme="majorHAnsi"/>
                <w:lang w:val="bg-BG"/>
              </w:rPr>
              <w:t>Нови и иновативни интервенции, когато искаме да разберем как, защо и кога работят;</w:t>
            </w:r>
          </w:p>
          <w:p w:rsidR="00C421E3" w:rsidRPr="00354CE4" w:rsidRDefault="00F00515" w:rsidP="005F67FF">
            <w:pPr>
              <w:pStyle w:val="ListParagraph"/>
              <w:numPr>
                <w:ilvl w:val="0"/>
                <w:numId w:val="30"/>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bg-BG"/>
              </w:rPr>
            </w:pPr>
            <w:r w:rsidRPr="00354CE4">
              <w:rPr>
                <w:rFonts w:asciiTheme="majorHAnsi" w:hAnsiTheme="majorHAnsi" w:cstheme="majorHAnsi"/>
                <w:lang w:val="bg-BG"/>
              </w:rPr>
              <w:t>Интервенции, за чиито ефекти има малко доказателства за оценка</w:t>
            </w:r>
          </w:p>
        </w:tc>
      </w:tr>
      <w:tr w:rsidR="00C421E3" w:rsidRPr="00354CE4" w:rsidTr="004B0E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 w:type="pct"/>
          </w:tcPr>
          <w:p w:rsidR="00C421E3" w:rsidRPr="00354CE4" w:rsidRDefault="00C421E3" w:rsidP="005F67FF">
            <w:pPr>
              <w:rPr>
                <w:rFonts w:asciiTheme="majorHAnsi" w:hAnsiTheme="majorHAnsi" w:cstheme="majorHAnsi"/>
                <w:lang w:val="bg-BG"/>
              </w:rPr>
            </w:pPr>
            <w:r w:rsidRPr="00354CE4">
              <w:rPr>
                <w:rFonts w:asciiTheme="majorHAnsi" w:hAnsiTheme="majorHAnsi" w:cstheme="majorHAnsi"/>
                <w:lang w:val="bg-BG"/>
              </w:rPr>
              <w:lastRenderedPageBreak/>
              <w:t>Приложим подход</w:t>
            </w:r>
          </w:p>
        </w:tc>
        <w:tc>
          <w:tcPr>
            <w:tcW w:w="4065" w:type="pct"/>
          </w:tcPr>
          <w:p w:rsidR="00C421E3" w:rsidRPr="00354CE4" w:rsidRDefault="00C421E3" w:rsidP="005F67FF">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bg-BG"/>
              </w:rPr>
            </w:pPr>
            <w:r w:rsidRPr="00354CE4">
              <w:rPr>
                <w:rFonts w:asciiTheme="majorHAnsi" w:hAnsiTheme="majorHAnsi" w:cstheme="majorHAnsi"/>
                <w:lang w:val="bg-BG"/>
              </w:rPr>
              <w:t xml:space="preserve">Оценка на </w:t>
            </w:r>
            <w:r w:rsidR="00494F81" w:rsidRPr="00354CE4">
              <w:rPr>
                <w:rFonts w:asciiTheme="majorHAnsi" w:hAnsiTheme="majorHAnsi" w:cstheme="majorHAnsi"/>
                <w:lang w:val="bg-BG"/>
              </w:rPr>
              <w:t>въздействието</w:t>
            </w:r>
          </w:p>
        </w:tc>
      </w:tr>
      <w:tr w:rsidR="00C421E3" w:rsidRPr="00354CE4" w:rsidTr="004B0EC8">
        <w:tc>
          <w:tcPr>
            <w:cnfStyle w:val="001000000000" w:firstRow="0" w:lastRow="0" w:firstColumn="1" w:lastColumn="0" w:oddVBand="0" w:evenVBand="0" w:oddHBand="0" w:evenHBand="0" w:firstRowFirstColumn="0" w:firstRowLastColumn="0" w:lastRowFirstColumn="0" w:lastRowLastColumn="0"/>
            <w:tcW w:w="935" w:type="pct"/>
          </w:tcPr>
          <w:p w:rsidR="00C421E3" w:rsidRPr="00354CE4" w:rsidRDefault="00C421E3" w:rsidP="005F67FF">
            <w:pPr>
              <w:rPr>
                <w:rFonts w:asciiTheme="majorHAnsi" w:hAnsiTheme="majorHAnsi" w:cstheme="majorHAnsi"/>
                <w:lang w:val="bg-BG"/>
              </w:rPr>
            </w:pPr>
            <w:r w:rsidRPr="00354CE4">
              <w:rPr>
                <w:rFonts w:asciiTheme="majorHAnsi" w:hAnsiTheme="majorHAnsi" w:cstheme="majorHAnsi"/>
                <w:lang w:val="bg-BG"/>
              </w:rPr>
              <w:t>Основни въпроси за оценка</w:t>
            </w:r>
          </w:p>
        </w:tc>
        <w:tc>
          <w:tcPr>
            <w:tcW w:w="4065" w:type="pct"/>
          </w:tcPr>
          <w:p w:rsidR="0007449E" w:rsidRPr="00354CE4" w:rsidRDefault="0007449E" w:rsidP="005F67FF">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bg-BG"/>
              </w:rPr>
            </w:pPr>
            <w:r w:rsidRPr="00354CE4">
              <w:rPr>
                <w:rFonts w:asciiTheme="majorHAnsi" w:hAnsiTheme="majorHAnsi" w:cstheme="majorHAnsi"/>
                <w:lang w:val="bg-BG"/>
              </w:rPr>
              <w:t>Оценъчните въпроси следва да търсят отговор на критериите за оценка, свързани с ефективност, ефикасност, съгласуваност и ЕС добавена стойност на осъществените интервенции.</w:t>
            </w:r>
          </w:p>
          <w:p w:rsidR="00C421E3" w:rsidRPr="00354CE4" w:rsidRDefault="00F00515" w:rsidP="005F67FF">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bg-BG"/>
              </w:rPr>
            </w:pPr>
            <w:r w:rsidRPr="00354CE4">
              <w:rPr>
                <w:rFonts w:asciiTheme="majorHAnsi" w:hAnsiTheme="majorHAnsi" w:cstheme="majorHAnsi"/>
                <w:lang w:val="bg-BG"/>
              </w:rPr>
              <w:t>Основните въпроси и обхвата на оценката на въздействието на ПМДРА ще бъдат формулирани въз основа на резултатите от междинните и тематични оценки, завършени до края на 2028 г., методическите указания на ЕК и дискусиите в рамките на FAMENET.</w:t>
            </w:r>
          </w:p>
        </w:tc>
      </w:tr>
      <w:tr w:rsidR="00C421E3" w:rsidRPr="00354CE4" w:rsidTr="004B0E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 w:type="pct"/>
          </w:tcPr>
          <w:p w:rsidR="00C421E3" w:rsidRPr="00354CE4" w:rsidRDefault="00C421E3" w:rsidP="005F67FF">
            <w:pPr>
              <w:rPr>
                <w:rFonts w:asciiTheme="majorHAnsi" w:hAnsiTheme="majorHAnsi" w:cstheme="majorHAnsi"/>
                <w:lang w:val="bg-BG"/>
              </w:rPr>
            </w:pPr>
            <w:r w:rsidRPr="00354CE4">
              <w:rPr>
                <w:rFonts w:asciiTheme="majorHAnsi" w:hAnsiTheme="majorHAnsi" w:cstheme="majorHAnsi"/>
                <w:lang w:val="bg-BG"/>
              </w:rPr>
              <w:t>Инструменти за набиране на информация и методи за извършване на оценката и изисквания по отношение на необходимите данни</w:t>
            </w:r>
          </w:p>
        </w:tc>
        <w:tc>
          <w:tcPr>
            <w:tcW w:w="4065" w:type="pct"/>
          </w:tcPr>
          <w:p w:rsidR="00C421E3" w:rsidRPr="00354CE4" w:rsidRDefault="002F1EB2" w:rsidP="005F67FF">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bg-BG"/>
              </w:rPr>
            </w:pPr>
            <w:r w:rsidRPr="00354CE4">
              <w:rPr>
                <w:rFonts w:asciiTheme="majorHAnsi" w:hAnsiTheme="majorHAnsi" w:cstheme="majorHAnsi"/>
                <w:lang w:val="bg-BG"/>
              </w:rPr>
              <w:t>Първоначалната оценка на необходимият индикативен инструментариум, който методиката трябва да включва един или няколко, но не само, от следните е</w:t>
            </w:r>
            <w:r w:rsidR="00C421E3" w:rsidRPr="00354CE4">
              <w:rPr>
                <w:rFonts w:asciiTheme="majorHAnsi" w:hAnsiTheme="majorHAnsi" w:cstheme="majorHAnsi"/>
                <w:lang w:val="bg-BG"/>
              </w:rPr>
              <w:t>:</w:t>
            </w:r>
          </w:p>
          <w:p w:rsidR="00C421E3" w:rsidRPr="00354CE4" w:rsidRDefault="00C421E3" w:rsidP="005F67FF">
            <w:pPr>
              <w:pStyle w:val="ListParagraph"/>
              <w:numPr>
                <w:ilvl w:val="0"/>
                <w:numId w:val="27"/>
              </w:num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bg-BG"/>
              </w:rPr>
            </w:pPr>
            <w:r w:rsidRPr="00354CE4">
              <w:rPr>
                <w:rFonts w:asciiTheme="majorHAnsi" w:hAnsiTheme="majorHAnsi" w:cstheme="majorHAnsi"/>
                <w:lang w:val="bg-BG"/>
              </w:rPr>
              <w:t xml:space="preserve">кабинетно проучване - преглед и анализ на документи, проучване на конкретни случаи (case study); </w:t>
            </w:r>
          </w:p>
          <w:p w:rsidR="00C421E3" w:rsidRPr="00354CE4" w:rsidRDefault="00C421E3" w:rsidP="005F67FF">
            <w:pPr>
              <w:pStyle w:val="ListParagraph"/>
              <w:numPr>
                <w:ilvl w:val="0"/>
                <w:numId w:val="27"/>
              </w:num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bg-BG"/>
              </w:rPr>
            </w:pPr>
            <w:r w:rsidRPr="00354CE4">
              <w:rPr>
                <w:rFonts w:asciiTheme="majorHAnsi" w:hAnsiTheme="majorHAnsi" w:cstheme="majorHAnsi"/>
                <w:lang w:val="bg-BG"/>
              </w:rPr>
              <w:t xml:space="preserve">събиране и обработка на първична и вторична информация - количествени и качествени методи; </w:t>
            </w:r>
          </w:p>
          <w:p w:rsidR="00494F81" w:rsidRPr="00354CE4" w:rsidRDefault="00494F81" w:rsidP="005F67FF">
            <w:pPr>
              <w:pStyle w:val="ListParagraph"/>
              <w:numPr>
                <w:ilvl w:val="0"/>
                <w:numId w:val="27"/>
              </w:num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bg-BG"/>
              </w:rPr>
            </w:pPr>
            <w:r w:rsidRPr="00354CE4">
              <w:rPr>
                <w:rFonts w:asciiTheme="majorHAnsi" w:hAnsiTheme="majorHAnsi" w:cstheme="majorHAnsi"/>
                <w:lang w:val="bg-BG"/>
              </w:rPr>
              <w:t>Оценка на съответствието на целите (SMART);</w:t>
            </w:r>
          </w:p>
          <w:p w:rsidR="00494F81" w:rsidRPr="00354CE4" w:rsidRDefault="00494F81" w:rsidP="005F67FF">
            <w:pPr>
              <w:pStyle w:val="ListParagraph"/>
              <w:numPr>
                <w:ilvl w:val="0"/>
                <w:numId w:val="27"/>
              </w:num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bg-BG"/>
              </w:rPr>
            </w:pPr>
            <w:r w:rsidRPr="00354CE4">
              <w:rPr>
                <w:rFonts w:asciiTheme="majorHAnsi" w:hAnsiTheme="majorHAnsi" w:cstheme="majorHAnsi"/>
                <w:lang w:val="bg-BG"/>
              </w:rPr>
              <w:t xml:space="preserve">Финансов и статистически анализ; </w:t>
            </w:r>
          </w:p>
          <w:p w:rsidR="00494F81" w:rsidRPr="00354CE4" w:rsidRDefault="00494F81" w:rsidP="005F67FF">
            <w:pPr>
              <w:pStyle w:val="ListParagraph"/>
              <w:numPr>
                <w:ilvl w:val="0"/>
                <w:numId w:val="27"/>
              </w:num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bg-BG"/>
              </w:rPr>
            </w:pPr>
            <w:r w:rsidRPr="00354CE4">
              <w:rPr>
                <w:rFonts w:asciiTheme="majorHAnsi" w:hAnsiTheme="majorHAnsi" w:cstheme="majorHAnsi"/>
                <w:lang w:val="bg-BG"/>
              </w:rPr>
              <w:t>Количествени и качествени методи за оценка на въздействието: контрафактулна оценка, оценка, базирана на теорията и др.;</w:t>
            </w:r>
          </w:p>
          <w:p w:rsidR="00494F81" w:rsidRPr="00354CE4" w:rsidRDefault="00494F81" w:rsidP="005F67FF">
            <w:pPr>
              <w:pStyle w:val="ListParagraph"/>
              <w:numPr>
                <w:ilvl w:val="0"/>
                <w:numId w:val="27"/>
              </w:num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bg-BG"/>
              </w:rPr>
            </w:pPr>
            <w:r w:rsidRPr="00354CE4">
              <w:rPr>
                <w:rFonts w:asciiTheme="majorHAnsi" w:hAnsiTheme="majorHAnsi" w:cstheme="majorHAnsi"/>
                <w:lang w:val="bg-BG"/>
              </w:rPr>
              <w:t>Логически модели и казуси;</w:t>
            </w:r>
          </w:p>
          <w:p w:rsidR="00494F81" w:rsidRPr="00354CE4" w:rsidRDefault="00494F81" w:rsidP="005F67FF">
            <w:pPr>
              <w:pStyle w:val="ListParagraph"/>
              <w:numPr>
                <w:ilvl w:val="0"/>
                <w:numId w:val="27"/>
              </w:num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bg-BG"/>
              </w:rPr>
            </w:pPr>
            <w:r w:rsidRPr="00354CE4">
              <w:rPr>
                <w:rFonts w:asciiTheme="majorHAnsi" w:hAnsiTheme="majorHAnsi" w:cstheme="majorHAnsi"/>
                <w:lang w:val="bg-BG"/>
              </w:rPr>
              <w:t>Оценка на процесите и изпълнението;</w:t>
            </w:r>
          </w:p>
          <w:p w:rsidR="00494F81" w:rsidRPr="00354CE4" w:rsidRDefault="00494F81" w:rsidP="005F67FF">
            <w:pPr>
              <w:pStyle w:val="ListParagraph"/>
              <w:numPr>
                <w:ilvl w:val="0"/>
                <w:numId w:val="27"/>
              </w:num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bg-BG"/>
              </w:rPr>
            </w:pPr>
            <w:r w:rsidRPr="00354CE4">
              <w:rPr>
                <w:rFonts w:asciiTheme="majorHAnsi" w:hAnsiTheme="majorHAnsi" w:cstheme="majorHAnsi"/>
                <w:lang w:val="bg-BG"/>
              </w:rPr>
              <w:t>Анализ на вече натрупан опит, идентифицирани проблеми и съответно добри практики;</w:t>
            </w:r>
          </w:p>
          <w:p w:rsidR="00494F81" w:rsidRPr="00354CE4" w:rsidRDefault="00494F81" w:rsidP="005F67FF">
            <w:pPr>
              <w:pStyle w:val="ListParagraph"/>
              <w:numPr>
                <w:ilvl w:val="0"/>
                <w:numId w:val="27"/>
              </w:num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bg-BG"/>
              </w:rPr>
            </w:pPr>
            <w:r w:rsidRPr="00354CE4">
              <w:rPr>
                <w:rFonts w:asciiTheme="majorHAnsi" w:hAnsiTheme="majorHAnsi" w:cstheme="majorHAnsi"/>
                <w:lang w:val="bg-BG"/>
              </w:rPr>
              <w:t>Анализ на икономичността, ефективността и ефикасността на изпълнението;</w:t>
            </w:r>
          </w:p>
          <w:p w:rsidR="00494F81" w:rsidRPr="00354CE4" w:rsidRDefault="00494F81" w:rsidP="005F67FF">
            <w:pPr>
              <w:pStyle w:val="ListParagraph"/>
              <w:numPr>
                <w:ilvl w:val="0"/>
                <w:numId w:val="27"/>
              </w:num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bg-BG"/>
              </w:rPr>
            </w:pPr>
            <w:r w:rsidRPr="00354CE4">
              <w:rPr>
                <w:rFonts w:asciiTheme="majorHAnsi" w:hAnsiTheme="majorHAnsi" w:cstheme="majorHAnsi"/>
                <w:lang w:val="bg-BG"/>
              </w:rPr>
              <w:t>Анализ на устойчивостта на изпълнението - показатели, индикатори за оценка на устойчивост и ефект от устойчивостта;</w:t>
            </w:r>
          </w:p>
          <w:p w:rsidR="00C421E3" w:rsidRPr="00354CE4" w:rsidRDefault="00494F81" w:rsidP="005F67FF">
            <w:pPr>
              <w:pStyle w:val="ListParagraph"/>
              <w:numPr>
                <w:ilvl w:val="0"/>
                <w:numId w:val="27"/>
              </w:num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bg-BG"/>
              </w:rPr>
            </w:pPr>
            <w:r w:rsidRPr="00354CE4">
              <w:rPr>
                <w:rFonts w:asciiTheme="majorHAnsi" w:hAnsiTheme="majorHAnsi" w:cstheme="majorHAnsi"/>
                <w:lang w:val="bg-BG"/>
              </w:rPr>
              <w:t>Други.</w:t>
            </w:r>
            <w:r w:rsidR="00C421E3" w:rsidRPr="00354CE4">
              <w:rPr>
                <w:rFonts w:asciiTheme="majorHAnsi" w:hAnsiTheme="majorHAnsi" w:cstheme="majorHAnsi"/>
                <w:lang w:val="bg-BG"/>
              </w:rPr>
              <w:t xml:space="preserve"> </w:t>
            </w:r>
          </w:p>
          <w:p w:rsidR="00C421E3" w:rsidRPr="00354CE4" w:rsidRDefault="00C421E3" w:rsidP="00617682">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bg-BG"/>
              </w:rPr>
            </w:pPr>
            <w:r w:rsidRPr="00354CE4">
              <w:rPr>
                <w:rFonts w:asciiTheme="majorHAnsi" w:hAnsiTheme="majorHAnsi" w:cstheme="majorHAnsi"/>
                <w:lang w:val="bg-BG"/>
              </w:rPr>
              <w:t>При проектиране на методическия инструментариум релевантността и качеството на информацията следва да бъде гарантирано чрез прилагане на триангулация</w:t>
            </w:r>
            <w:r w:rsidR="00617682" w:rsidRPr="00354CE4">
              <w:rPr>
                <w:rFonts w:asciiTheme="majorHAnsi" w:hAnsiTheme="majorHAnsi" w:cstheme="majorHAnsi"/>
                <w:lang w:val="bg-BG"/>
              </w:rPr>
              <w:t xml:space="preserve"> на данните и методите за анализ</w:t>
            </w:r>
            <w:r w:rsidRPr="00354CE4">
              <w:rPr>
                <w:rFonts w:asciiTheme="majorHAnsi" w:hAnsiTheme="majorHAnsi" w:cstheme="majorHAnsi"/>
                <w:lang w:val="bg-BG"/>
              </w:rPr>
              <w:t>.</w:t>
            </w:r>
          </w:p>
        </w:tc>
      </w:tr>
    </w:tbl>
    <w:p w:rsidR="00F55010" w:rsidRPr="00354CE4" w:rsidRDefault="00B57939" w:rsidP="0069306E">
      <w:pPr>
        <w:pStyle w:val="Heading1"/>
      </w:pPr>
      <w:bookmarkStart w:id="53" w:name="_Toc153543128"/>
      <w:bookmarkStart w:id="54" w:name="_Toc160622944"/>
      <w:r w:rsidRPr="00354CE4">
        <w:lastRenderedPageBreak/>
        <w:t>Методи за оценка и източници на информация</w:t>
      </w:r>
      <w:bookmarkEnd w:id="53"/>
      <w:bookmarkEnd w:id="54"/>
    </w:p>
    <w:p w:rsidR="007A6A6E" w:rsidRPr="00354CE4" w:rsidRDefault="007A6A6E" w:rsidP="005F67FF">
      <w:r w:rsidRPr="00354CE4">
        <w:t xml:space="preserve">Методите за оценка и източниците на информация ще бъдат конкретизирани от УО на ПМДРА за всяка оценка при изготвяне на техническите спецификации/заданията към документациите за провеждане на обществени поръчки за избор на външни оценители. УО на ПМДРА ще се възползва от възможността да изиска принос от участниците в процедурите по възлагане за допълване на методите и инструментариума за оценка в техническите им предложения, когато е уместно и по релевантен начин. </w:t>
      </w:r>
    </w:p>
    <w:p w:rsidR="00B57939" w:rsidRPr="00354CE4" w:rsidRDefault="007A6A6E" w:rsidP="005F67FF">
      <w:r w:rsidRPr="00354CE4">
        <w:t>За осъществяване на</w:t>
      </w:r>
      <w:r w:rsidR="00B57939" w:rsidRPr="00354CE4">
        <w:t xml:space="preserve"> </w:t>
      </w:r>
      <w:r w:rsidRPr="00354CE4">
        <w:t xml:space="preserve">предвидените </w:t>
      </w:r>
      <w:r w:rsidR="00B57939" w:rsidRPr="00354CE4">
        <w:t>оценки</w:t>
      </w:r>
      <w:r w:rsidRPr="00354CE4">
        <w:t xml:space="preserve"> и анализи</w:t>
      </w:r>
      <w:r w:rsidR="00B57939" w:rsidRPr="00354CE4">
        <w:t xml:space="preserve">, в т.ч. и при оценката на въздействието, </w:t>
      </w:r>
      <w:r w:rsidRPr="00354CE4">
        <w:t>ще бъдат използвани най-малко следните методически подходи</w:t>
      </w:r>
      <w:r w:rsidR="00B57939" w:rsidRPr="00354CE4">
        <w:t>:</w:t>
      </w:r>
    </w:p>
    <w:p w:rsidR="00B57939" w:rsidRPr="00354CE4" w:rsidRDefault="00B57939" w:rsidP="005F67FF">
      <w:pPr>
        <w:pStyle w:val="ListParagraph"/>
        <w:numPr>
          <w:ilvl w:val="0"/>
          <w:numId w:val="32"/>
        </w:numPr>
      </w:pPr>
      <w:r w:rsidRPr="00354CE4">
        <w:t xml:space="preserve">Оценка на процесите и изпълнението (process/performance evaluation) – Този тип оценка има за задача да анализира ефективността на работата/процесите/системите и да предложи подходящи мерки, с оглед на тяхното ускоряване и подобряване. </w:t>
      </w:r>
    </w:p>
    <w:p w:rsidR="00B57939" w:rsidRPr="00354CE4" w:rsidRDefault="007A6A6E" w:rsidP="005F67FF">
      <w:pPr>
        <w:pStyle w:val="ListParagraph"/>
        <w:numPr>
          <w:ilvl w:val="0"/>
          <w:numId w:val="32"/>
        </w:numPr>
      </w:pPr>
      <w:r w:rsidRPr="00354CE4">
        <w:t>О</w:t>
      </w:r>
      <w:r w:rsidR="00B57939" w:rsidRPr="00354CE4">
        <w:t xml:space="preserve">ценка, базирана на теорията – При този тип оценки основно следва да се приложат традиционни изследователски методи – както качествени, така и количествени. Сред най-често използваните в първата група са набиране и преглед на специализирана литература и документи, провеждане на интервюта и фокус групи, изследване на конкретни случаи  и други. Сред вторите – използване на методи на описателната статистика, логически модели, метод за изчисление на разходи за единица продукт (при оценка на ефикасността), извадкови статистически изследвания или различни вариации на методи, при които се остойностяват ползите и разходите. </w:t>
      </w:r>
    </w:p>
    <w:p w:rsidR="00FB4E3F" w:rsidRPr="00354CE4" w:rsidRDefault="00FB4E3F" w:rsidP="00FB4E3F">
      <w:r w:rsidRPr="00354CE4">
        <w:t xml:space="preserve">За всеки отделен оценителен въпрос следва да бъдат определени обхват на въпроса и фактори, които се анализират; критерии за оценка (числово изражение); логика на анализ, изследователски хипотези. </w:t>
      </w:r>
    </w:p>
    <w:p w:rsidR="007A6A6E" w:rsidRPr="00354CE4" w:rsidRDefault="007A6A6E" w:rsidP="005F67FF">
      <w:r w:rsidRPr="00354CE4">
        <w:t>Релевантни</w:t>
      </w:r>
      <w:r w:rsidR="008843EF" w:rsidRPr="00354CE4">
        <w:t>те</w:t>
      </w:r>
      <w:r w:rsidRPr="00354CE4">
        <w:t xml:space="preserve"> за прилагане методи за оценка </w:t>
      </w:r>
      <w:r w:rsidR="008843EF" w:rsidRPr="00354CE4">
        <w:t xml:space="preserve">в зависимост от вида на оценка или анализ </w:t>
      </w:r>
      <w:r w:rsidRPr="00354CE4">
        <w:t>включват:</w:t>
      </w:r>
    </w:p>
    <w:p w:rsidR="007A6A6E" w:rsidRPr="00354CE4" w:rsidRDefault="007A6A6E" w:rsidP="005F67FF">
      <w:pPr>
        <w:pStyle w:val="ListParagraph"/>
        <w:numPr>
          <w:ilvl w:val="0"/>
          <w:numId w:val="32"/>
        </w:numPr>
      </w:pPr>
      <w:r w:rsidRPr="00354CE4">
        <w:t>Документално проучване/ Деск рисърч</w:t>
      </w:r>
    </w:p>
    <w:p w:rsidR="007A6A6E" w:rsidRPr="00354CE4" w:rsidRDefault="007A6A6E" w:rsidP="005F67FF">
      <w:r w:rsidRPr="00354CE4">
        <w:t xml:space="preserve">Методът за събиране и структуриране на информация чрез проучване на документи е широко използван при академични научни или приложни изследвания. </w:t>
      </w:r>
      <w:r w:rsidR="008843EF" w:rsidRPr="00354CE4">
        <w:t>Прилагането на този метод е насочено към осигуряване на актуалност и изчерпателност на значимите за определянето на адекватния набор от оценителни въпроси, осигуряващи в най-висока степен съответствие с целите на оценката.</w:t>
      </w:r>
    </w:p>
    <w:p w:rsidR="007A6A6E" w:rsidRPr="00354CE4" w:rsidRDefault="004B27E2" w:rsidP="005F67FF">
      <w:pPr>
        <w:pStyle w:val="ListParagraph"/>
        <w:numPr>
          <w:ilvl w:val="0"/>
          <w:numId w:val="32"/>
        </w:numPr>
      </w:pPr>
      <w:r w:rsidRPr="00354CE4">
        <w:t xml:space="preserve">Количествени методи за анализ </w:t>
      </w:r>
      <w:r w:rsidR="008843EF" w:rsidRPr="00354CE4">
        <w:t>на данни</w:t>
      </w:r>
    </w:p>
    <w:p w:rsidR="007A6A6E" w:rsidRPr="00354CE4" w:rsidRDefault="008843EF" w:rsidP="005F67FF">
      <w:r w:rsidRPr="00354CE4">
        <w:t>Приложимите инструменти включват сравнителен анализ между постигнати и заложени стойности на индикаторите; анализ на времеви редове; анализ на основни статистически показатели и др.</w:t>
      </w:r>
    </w:p>
    <w:p w:rsidR="008843EF" w:rsidRPr="00354CE4" w:rsidRDefault="008843EF" w:rsidP="005F67FF">
      <w:pPr>
        <w:pStyle w:val="ListParagraph"/>
        <w:numPr>
          <w:ilvl w:val="0"/>
          <w:numId w:val="32"/>
        </w:numPr>
      </w:pPr>
      <w:r w:rsidRPr="00354CE4">
        <w:t xml:space="preserve">Сравнителен анализ </w:t>
      </w:r>
    </w:p>
    <w:p w:rsidR="008843EF" w:rsidRPr="00354CE4" w:rsidRDefault="008843EF" w:rsidP="005F67FF">
      <w:pPr>
        <w:pStyle w:val="ListParagraph"/>
        <w:numPr>
          <w:ilvl w:val="0"/>
          <w:numId w:val="32"/>
        </w:numPr>
      </w:pPr>
      <w:r w:rsidRPr="00354CE4">
        <w:t>Анализ на съдържание</w:t>
      </w:r>
    </w:p>
    <w:p w:rsidR="008843EF" w:rsidRPr="00354CE4" w:rsidRDefault="008843EF" w:rsidP="005F67FF">
      <w:pPr>
        <w:pStyle w:val="ListParagraph"/>
        <w:numPr>
          <w:ilvl w:val="0"/>
          <w:numId w:val="32"/>
        </w:numPr>
      </w:pPr>
      <w:r w:rsidRPr="00354CE4">
        <w:lastRenderedPageBreak/>
        <w:t>Контрафактологичен анализ</w:t>
      </w:r>
    </w:p>
    <w:p w:rsidR="008843EF" w:rsidRPr="00354CE4" w:rsidRDefault="008843EF" w:rsidP="005F67FF">
      <w:r w:rsidRPr="00354CE4">
        <w:t>Анализът позволява изясняване на каква част от получения след края на дадена интервенция резултат се дължи на тази интервенция.</w:t>
      </w:r>
      <w:r w:rsidR="00273974" w:rsidRPr="00354CE4">
        <w:t xml:space="preserve"> Тъй като този тип анализ изисква наличието на специфични условия и данни, приложимостта му следва да бъде оценявана в рамките на подготовката на дизайна за всяка оценка в зависимост от нейните цели и обхват. </w:t>
      </w:r>
    </w:p>
    <w:p w:rsidR="00B57939" w:rsidRPr="00354CE4" w:rsidRDefault="008843EF" w:rsidP="005F67FF">
      <w:r w:rsidRPr="00354CE4">
        <w:t xml:space="preserve">Базово изискване при проектиране на изследователските методологии за целите на оценките на ПМДРА и предвидените анализи е осигуряване на надеждност на данните </w:t>
      </w:r>
      <w:r w:rsidR="00EE5F78" w:rsidRPr="00354CE4">
        <w:t xml:space="preserve">и заключенията. За целта следва да се прилага </w:t>
      </w:r>
      <w:r w:rsidR="00B57939" w:rsidRPr="00354CE4">
        <w:t xml:space="preserve"> триангулация</w:t>
      </w:r>
      <w:r w:rsidR="00273974" w:rsidRPr="00354CE4">
        <w:t xml:space="preserve"> на прилаганите методи и на данните за тяхното прилагане. </w:t>
      </w:r>
      <w:r w:rsidR="00EE5F78" w:rsidRPr="00354CE4">
        <w:t xml:space="preserve">. </w:t>
      </w:r>
      <w:r w:rsidR="00B57939" w:rsidRPr="00354CE4">
        <w:t>Данните и заключенията трябва да бъдат обосновани чрез използване на поне два източника на информация с цел получаване на потенциално адекватно ниво на достоверност</w:t>
      </w:r>
      <w:r w:rsidR="00EE5F78" w:rsidRPr="00354CE4">
        <w:t>.</w:t>
      </w:r>
    </w:p>
    <w:p w:rsidR="007A6A6E" w:rsidRPr="00354CE4" w:rsidRDefault="007A6A6E" w:rsidP="005F67FF">
      <w:r w:rsidRPr="00354CE4">
        <w:t>Извършването на оценк</w:t>
      </w:r>
      <w:r w:rsidR="00EE5F78" w:rsidRPr="00354CE4">
        <w:t xml:space="preserve">ите следва да се </w:t>
      </w:r>
      <w:r w:rsidRPr="00354CE4">
        <w:t>базира на комбинирано използване на количествена и качествена информация и данни. Първичната информация ще бъде събирана и е структурирана така, че да послужи за отговор на конкретни изследователски въпроси. Вторичната информация ще бъде използвана с оглед осигурена информация, която е достъпна от други източници и обикновено е структурирана по различен начин. Основен метод за набиране на вторична информация е кабинетното проучване и анкетно проучване, както и качествени проучвания – полуструктурирани интервюта и фокус групи.</w:t>
      </w:r>
    </w:p>
    <w:p w:rsidR="00EE5F78" w:rsidRPr="00354CE4" w:rsidRDefault="00EE5F78" w:rsidP="005F67FF">
      <w:r w:rsidRPr="00354CE4">
        <w:t xml:space="preserve">При извършване на оценка, изследователите следва да използват следните основни източници на информация: </w:t>
      </w:r>
    </w:p>
    <w:p w:rsidR="00EE5F78" w:rsidRPr="00354CE4" w:rsidRDefault="00EE5F78" w:rsidP="005F67FF">
      <w:pPr>
        <w:pStyle w:val="ListParagraph"/>
        <w:numPr>
          <w:ilvl w:val="0"/>
          <w:numId w:val="34"/>
        </w:numPr>
      </w:pPr>
      <w:r w:rsidRPr="00354CE4">
        <w:t>ИСУН</w:t>
      </w:r>
      <w:r w:rsidR="00951785" w:rsidRPr="00354CE4">
        <w:t xml:space="preserve"> 2020</w:t>
      </w:r>
    </w:p>
    <w:p w:rsidR="00EE5F78" w:rsidRPr="00354CE4" w:rsidRDefault="00EE5F78" w:rsidP="005F67FF">
      <w:pPr>
        <w:pStyle w:val="ListParagraph"/>
        <w:numPr>
          <w:ilvl w:val="0"/>
          <w:numId w:val="34"/>
        </w:numPr>
      </w:pPr>
      <w:r w:rsidRPr="00354CE4">
        <w:t>Национален статистически институт</w:t>
      </w:r>
    </w:p>
    <w:p w:rsidR="00EE5F78" w:rsidRPr="00354CE4" w:rsidRDefault="00EE5F78" w:rsidP="005F67FF">
      <w:pPr>
        <w:pStyle w:val="ListParagraph"/>
        <w:numPr>
          <w:ilvl w:val="0"/>
          <w:numId w:val="34"/>
        </w:numPr>
      </w:pPr>
      <w:r w:rsidRPr="00354CE4">
        <w:t>Евростат</w:t>
      </w:r>
    </w:p>
    <w:p w:rsidR="00EE5F78" w:rsidRPr="00354CE4" w:rsidRDefault="00EE5F78" w:rsidP="005F67FF">
      <w:pPr>
        <w:pStyle w:val="ListParagraph"/>
        <w:numPr>
          <w:ilvl w:val="0"/>
          <w:numId w:val="34"/>
        </w:numPr>
      </w:pPr>
      <w:r w:rsidRPr="00354CE4">
        <w:t xml:space="preserve">Специализирани бази данни с информация за </w:t>
      </w:r>
      <w:r w:rsidR="0097249A" w:rsidRPr="00354CE4">
        <w:t>сектор „Рибарство“</w:t>
      </w:r>
    </w:p>
    <w:p w:rsidR="00EE5F78" w:rsidRPr="00354CE4" w:rsidRDefault="00EE5F78" w:rsidP="005F67FF">
      <w:pPr>
        <w:pStyle w:val="ListParagraph"/>
        <w:numPr>
          <w:ilvl w:val="0"/>
          <w:numId w:val="34"/>
        </w:numPr>
      </w:pPr>
      <w:r w:rsidRPr="00354CE4">
        <w:t xml:space="preserve">Национални стратегически, планови и програмни документи, обнародвани в държавен вестник или в правителствения портал за обществени консултации – www.strategy.bg, както и официални интернет страници на съответните отговорни институции; </w:t>
      </w:r>
    </w:p>
    <w:p w:rsidR="00EE5F78" w:rsidRPr="00354CE4" w:rsidRDefault="00EE5F78" w:rsidP="005F67FF">
      <w:pPr>
        <w:pStyle w:val="ListParagraph"/>
        <w:numPr>
          <w:ilvl w:val="0"/>
          <w:numId w:val="34"/>
        </w:numPr>
      </w:pPr>
      <w:r w:rsidRPr="00354CE4">
        <w:t>Търговски регистър, публични регистри на държавни органи;</w:t>
      </w:r>
    </w:p>
    <w:p w:rsidR="00EE5F78" w:rsidRPr="00354CE4" w:rsidRDefault="00EE5F78" w:rsidP="005F67FF">
      <w:pPr>
        <w:pStyle w:val="ListParagraph"/>
        <w:numPr>
          <w:ilvl w:val="0"/>
          <w:numId w:val="34"/>
        </w:numPr>
      </w:pPr>
      <w:r w:rsidRPr="00354CE4">
        <w:t xml:space="preserve">Данни и информация на Европейската комисия; </w:t>
      </w:r>
    </w:p>
    <w:p w:rsidR="00EE5F78" w:rsidRPr="00354CE4" w:rsidRDefault="00EE5F78" w:rsidP="005F67FF">
      <w:pPr>
        <w:pStyle w:val="ListParagraph"/>
        <w:numPr>
          <w:ilvl w:val="0"/>
          <w:numId w:val="34"/>
        </w:numPr>
      </w:pPr>
      <w:r w:rsidRPr="00354CE4">
        <w:t xml:space="preserve">Данни и информация, </w:t>
      </w:r>
      <w:r w:rsidR="00966A30" w:rsidRPr="00354CE4">
        <w:t xml:space="preserve">събирана в процеса на планиране, управление и наблюдение на изпълнение на програмите, </w:t>
      </w:r>
      <w:r w:rsidRPr="00354CE4">
        <w:t xml:space="preserve">предоставена от УО на ПМДРА 2021-2027/ПМДР 2014-2020; </w:t>
      </w:r>
    </w:p>
    <w:p w:rsidR="00EE5F78" w:rsidRPr="00354CE4" w:rsidRDefault="00EE5F78" w:rsidP="005F67FF">
      <w:pPr>
        <w:pStyle w:val="ListParagraph"/>
        <w:numPr>
          <w:ilvl w:val="0"/>
          <w:numId w:val="34"/>
        </w:numPr>
      </w:pPr>
      <w:r w:rsidRPr="00354CE4">
        <w:t>Служебна информация, предоставяна от бенефициентите в техническите и финансовите им доклади за изпълнение и набирана от служителите на УО в рамките на процесите на мониторинг и верификация;</w:t>
      </w:r>
    </w:p>
    <w:p w:rsidR="00EE5F78" w:rsidRPr="00354CE4" w:rsidRDefault="00EE5F78" w:rsidP="005F67FF">
      <w:pPr>
        <w:pStyle w:val="ListParagraph"/>
        <w:numPr>
          <w:ilvl w:val="0"/>
          <w:numId w:val="34"/>
        </w:numPr>
      </w:pPr>
      <w:r w:rsidRPr="00354CE4">
        <w:t>Данни от иконометричния модел СИБИЛА за оценка на ефектите от ЕФМДР върху икономиката на България, поддържан от Министерство на финансите;</w:t>
      </w:r>
    </w:p>
    <w:p w:rsidR="00EE5F78" w:rsidRPr="00354CE4" w:rsidRDefault="00EE5F78" w:rsidP="005F67FF">
      <w:pPr>
        <w:pStyle w:val="ListParagraph"/>
        <w:numPr>
          <w:ilvl w:val="0"/>
          <w:numId w:val="34"/>
        </w:numPr>
      </w:pPr>
      <w:r w:rsidRPr="00354CE4">
        <w:lastRenderedPageBreak/>
        <w:t>Информация, събрана от проведени теренни и др. проучвания, осъществявани от избраните изпълнители;</w:t>
      </w:r>
    </w:p>
    <w:p w:rsidR="00EE5F78" w:rsidRPr="00354CE4" w:rsidRDefault="00EE5F78" w:rsidP="005F67FF">
      <w:pPr>
        <w:pStyle w:val="ListParagraph"/>
        <w:numPr>
          <w:ilvl w:val="0"/>
          <w:numId w:val="34"/>
        </w:numPr>
      </w:pPr>
      <w:r w:rsidRPr="00354CE4">
        <w:t>Друга специфична информация (предишни анализи, изследвания, оценки и пр.)</w:t>
      </w:r>
    </w:p>
    <w:p w:rsidR="007A6A6E" w:rsidRPr="00354CE4" w:rsidRDefault="008843EF" w:rsidP="005F67FF">
      <w:r w:rsidRPr="00354CE4">
        <w:t>Информацията, събирана и притежавана от други основни институции, имащи отношение към областта на сектора и програма, може да бъде от съществено значение за оценката</w:t>
      </w:r>
      <w:r w:rsidR="00966A30" w:rsidRPr="00354CE4">
        <w:t>.</w:t>
      </w:r>
    </w:p>
    <w:p w:rsidR="00E9695A" w:rsidRPr="00354CE4" w:rsidRDefault="00E9695A" w:rsidP="00E9695A">
      <w:r w:rsidRPr="00354CE4">
        <w:t xml:space="preserve">В съответствие с предвижданията на Наръчника по Програма за морско дело, рибарство и аквакултури 2021 - 2027 (ПМДРА) наред с останалите данни, при координацията и изпълнението на оценката отдел „Програмиране и договаряне“ в </w:t>
      </w:r>
      <w:r w:rsidRPr="00354CE4">
        <w:rPr>
          <w:lang w:eastAsia="ar-SA"/>
        </w:rPr>
        <w:t>УО</w:t>
      </w:r>
      <w:r w:rsidRPr="00354CE4">
        <w:t xml:space="preserve"> предоставя за анализ и: </w:t>
      </w:r>
    </w:p>
    <w:p w:rsidR="00E9695A" w:rsidRPr="00354CE4" w:rsidRDefault="00E9695A" w:rsidP="00E9695A">
      <w:pPr>
        <w:pStyle w:val="ListParagraph"/>
        <w:numPr>
          <w:ilvl w:val="1"/>
          <w:numId w:val="20"/>
        </w:numPr>
      </w:pPr>
      <w:r w:rsidRPr="00354CE4">
        <w:rPr>
          <w:lang w:eastAsia="ar-SA"/>
        </w:rPr>
        <w:t xml:space="preserve">данни за </w:t>
      </w:r>
      <w:r w:rsidRPr="00354CE4">
        <w:t xml:space="preserve">сключени договори. При извършване на оценки на системата за изпълнение и на институционалния капацитет могат да бъдат поискани по-подробни данни за сключените договори и договорените средства по ПМДРА;  </w:t>
      </w:r>
    </w:p>
    <w:p w:rsidR="00E9695A" w:rsidRPr="00354CE4" w:rsidRDefault="00E9695A" w:rsidP="00E9695A">
      <w:pPr>
        <w:pStyle w:val="ListParagraph"/>
        <w:numPr>
          <w:ilvl w:val="1"/>
          <w:numId w:val="20"/>
        </w:numPr>
      </w:pPr>
      <w:r w:rsidRPr="00354CE4">
        <w:t xml:space="preserve">мониторингови данни. При оценката на изпълнението на приоритетите в рамките на ПМДРА е необходимо да бъдат представени данни за напредъка по изпълнението на проектите, технически данни от мониторинга, данни за изпълнението на предварително заложените стойности на индикаторите, с цел установяване на причините за евентуално отклонение от тези стойности, неизпълнение на проекти и т.н. Оценката може да покрива и изпълнението на проекти по мярка Техническа помощ, за което съответния отдел/екип предоставя данни за техническия и финансов напредък по мярката, степента на изпълнение на заложените индикатори и т.н.; </w:t>
      </w:r>
    </w:p>
    <w:p w:rsidR="00E9695A" w:rsidRPr="00354CE4" w:rsidRDefault="00E9695A" w:rsidP="00E9695A">
      <w:pPr>
        <w:pStyle w:val="ListParagraph"/>
        <w:numPr>
          <w:ilvl w:val="1"/>
          <w:numId w:val="20"/>
        </w:numPr>
      </w:pPr>
      <w:r w:rsidRPr="00354CE4">
        <w:t>финансови данни - могат да бъдат поискани данни за изразходваните средства (планирани, поискани и сертифицирани), брой на подадени искания за плащане от бенефициентите, брой и размер на сертифицираните искания от страна на УО, искания за плащания, подадени от УО към Счетоводния орган (СО) и реално изплатени средства от ЕК. Данните могат да съдържат и най-често срещаните причини за връщане или отхвърляне на искания за плащане на всички нива (най-често срещани грешки и др.). Информацията служи за извършването на специализирани оценки на системата за изпълнение на ПМДРА;</w:t>
      </w:r>
    </w:p>
    <w:p w:rsidR="00E9695A" w:rsidRPr="00354CE4" w:rsidRDefault="00E9695A" w:rsidP="00E9695A">
      <w:pPr>
        <w:pStyle w:val="ListParagraph"/>
        <w:numPr>
          <w:ilvl w:val="1"/>
          <w:numId w:val="20"/>
        </w:numPr>
        <w:rPr>
          <w:lang w:eastAsia="ar-SA"/>
        </w:rPr>
      </w:pPr>
      <w:r w:rsidRPr="00354CE4">
        <w:t>данни за наложените финансови корекции</w:t>
      </w:r>
      <w:r w:rsidRPr="00354CE4">
        <w:rPr>
          <w:lang w:eastAsia="ar-SA"/>
        </w:rPr>
        <w:t xml:space="preserve"> и тяхното изпълнение. </w:t>
      </w:r>
    </w:p>
    <w:p w:rsidR="00E9695A" w:rsidRPr="00354CE4" w:rsidRDefault="00E9695A" w:rsidP="005F67FF"/>
    <w:p w:rsidR="00B57939" w:rsidRPr="00354CE4" w:rsidRDefault="00B57939" w:rsidP="005F67FF">
      <w:r w:rsidRPr="00354CE4">
        <w:t xml:space="preserve">При извършване на оценката, </w:t>
      </w:r>
      <w:r w:rsidR="00EE5F78" w:rsidRPr="00354CE4">
        <w:t>оценителите</w:t>
      </w:r>
      <w:r w:rsidRPr="00354CE4">
        <w:t xml:space="preserve"> </w:t>
      </w:r>
      <w:r w:rsidR="00EE5F78" w:rsidRPr="00354CE4">
        <w:t>з</w:t>
      </w:r>
      <w:r w:rsidRPr="00354CE4">
        <w:t>а всяка конкретна оценка мо</w:t>
      </w:r>
      <w:r w:rsidR="00EE5F78" w:rsidRPr="00354CE4">
        <w:t>гат</w:t>
      </w:r>
      <w:r w:rsidRPr="00354CE4">
        <w:t xml:space="preserve"> да използва</w:t>
      </w:r>
      <w:r w:rsidR="00951785" w:rsidRPr="00354CE4">
        <w:t>т</w:t>
      </w:r>
      <w:r w:rsidRPr="00354CE4">
        <w:t xml:space="preserve"> количествени, </w:t>
      </w:r>
      <w:r w:rsidR="004B27E2" w:rsidRPr="00354CE4">
        <w:t xml:space="preserve">в т.ч. </w:t>
      </w:r>
      <w:r w:rsidRPr="00354CE4">
        <w:t xml:space="preserve">иконометрични и качествени методи, като наборът от инструменти за събиране на данни следва да включва преглед на документация, провеждане на индивидуални интервюта, фокус групи, </w:t>
      </w:r>
      <w:r w:rsidR="00273974" w:rsidRPr="00354CE4">
        <w:t xml:space="preserve">проучване на случаи (казуси) </w:t>
      </w:r>
      <w:r w:rsidR="00951785" w:rsidRPr="00354CE4">
        <w:t xml:space="preserve">анкетни </w:t>
      </w:r>
      <w:r w:rsidR="00623D0F" w:rsidRPr="00354CE4">
        <w:t>проучвания</w:t>
      </w:r>
      <w:r w:rsidRPr="00354CE4">
        <w:t>, включително чрез уеб-базирани въпросници с всички основни заинтересовани страни и др., според спецификата на оценката.</w:t>
      </w:r>
    </w:p>
    <w:p w:rsidR="00B57939" w:rsidRPr="00354CE4" w:rsidRDefault="00B57939" w:rsidP="005F67FF"/>
    <w:p w:rsidR="003F70D7" w:rsidRPr="00354CE4" w:rsidRDefault="003F70D7" w:rsidP="0069306E">
      <w:pPr>
        <w:pStyle w:val="Heading1"/>
      </w:pPr>
      <w:bookmarkStart w:id="55" w:name="_Toc153543129"/>
      <w:bookmarkStart w:id="56" w:name="_Toc160622945"/>
      <w:r w:rsidRPr="00354CE4">
        <w:lastRenderedPageBreak/>
        <w:t>Индикативен план за дейностите по оценка</w:t>
      </w:r>
      <w:bookmarkEnd w:id="55"/>
      <w:bookmarkEnd w:id="56"/>
    </w:p>
    <w:p w:rsidR="003F70D7" w:rsidRPr="00354CE4" w:rsidRDefault="003F70D7" w:rsidP="005F67FF">
      <w:r w:rsidRPr="00354CE4">
        <w:t xml:space="preserve">Планът по-долу включва списък на дейности по оценка, планирани за целия програмен период 2021-2027 </w:t>
      </w:r>
      <w:r w:rsidR="000D5E7C">
        <w:t xml:space="preserve">за ПМДРА, като изпълнението </w:t>
      </w:r>
      <w:r w:rsidR="003920F7">
        <w:t>им ще приключи през 2030</w:t>
      </w:r>
      <w:r w:rsidR="008D5916">
        <w:t xml:space="preserve"> г.</w:t>
      </w:r>
      <w:r w:rsidRPr="00354CE4">
        <w:t xml:space="preserve"> Планът е изготвен съобразно изискванията, посочени в методическите изисквания в методическите материали на ЕК. </w:t>
      </w:r>
    </w:p>
    <w:p w:rsidR="001E535F" w:rsidRDefault="00966A30" w:rsidP="005F67FF">
      <w:r w:rsidRPr="00354CE4">
        <w:t>Периодите за провеждане на оценките в ПО са в съответствие с изискванията на РОР, като са отчетени спецификите на сектора, изпълнението на ПМДР 2014-2020 и стартирането на дейностите в настоящия планов период.</w:t>
      </w:r>
    </w:p>
    <w:p w:rsidR="00966A30" w:rsidRPr="00354CE4" w:rsidRDefault="00966A30" w:rsidP="005F67FF">
      <w:r w:rsidRPr="00354CE4">
        <w:t>Ориентировъчният бюджет за изпълнението на ПО е формиран въз основа на исторически данни, като са отразени инфлационните процеси през последните две години. Посочените стойности са в лева, без ДДС.</w:t>
      </w:r>
    </w:p>
    <w:p w:rsidR="00966A30" w:rsidRPr="00354CE4" w:rsidRDefault="00966A30" w:rsidP="005F67FF"/>
    <w:p w:rsidR="003F70D7" w:rsidRPr="00354CE4" w:rsidRDefault="003F70D7" w:rsidP="005F67FF"/>
    <w:p w:rsidR="003F70D7" w:rsidRPr="00354CE4" w:rsidRDefault="003F70D7" w:rsidP="005F67FF">
      <w:pPr>
        <w:sectPr w:rsidR="003F70D7" w:rsidRPr="00354CE4" w:rsidSect="000E0B39">
          <w:pgSz w:w="11907" w:h="16839" w:code="9"/>
          <w:pgMar w:top="1134" w:right="1134" w:bottom="1134" w:left="1134" w:header="708" w:footer="708" w:gutter="0"/>
          <w:cols w:space="708"/>
          <w:titlePg/>
          <w:docGrid w:linePitch="360"/>
        </w:sectPr>
      </w:pPr>
    </w:p>
    <w:p w:rsidR="003F70D7" w:rsidRPr="00354CE4" w:rsidRDefault="003F70D7" w:rsidP="005F67FF">
      <w:pPr>
        <w:rPr>
          <w:rStyle w:val="IntenseReference"/>
        </w:rPr>
      </w:pPr>
      <w:r w:rsidRPr="00354CE4">
        <w:rPr>
          <w:rStyle w:val="IntenseReference"/>
        </w:rPr>
        <w:lastRenderedPageBreak/>
        <w:t>Индикативен план за</w:t>
      </w:r>
      <w:r w:rsidR="00D13AA8" w:rsidRPr="00354CE4">
        <w:rPr>
          <w:rStyle w:val="IntenseReference"/>
        </w:rPr>
        <w:t xml:space="preserve"> дейностите по о</w:t>
      </w:r>
      <w:r w:rsidRPr="00354CE4">
        <w:rPr>
          <w:rStyle w:val="IntenseReference"/>
        </w:rPr>
        <w:t>ценка</w:t>
      </w:r>
    </w:p>
    <w:tbl>
      <w:tblPr>
        <w:tblStyle w:val="351"/>
        <w:tblW w:w="0" w:type="auto"/>
        <w:tblLook w:val="04A0" w:firstRow="1" w:lastRow="0" w:firstColumn="1" w:lastColumn="0" w:noHBand="0" w:noVBand="1"/>
      </w:tblPr>
      <w:tblGrid>
        <w:gridCol w:w="514"/>
        <w:gridCol w:w="2028"/>
        <w:gridCol w:w="2735"/>
        <w:gridCol w:w="1640"/>
        <w:gridCol w:w="1395"/>
        <w:gridCol w:w="1446"/>
        <w:gridCol w:w="1904"/>
        <w:gridCol w:w="3125"/>
      </w:tblGrid>
      <w:tr w:rsidR="004C29F2" w:rsidRPr="00354CE4" w:rsidTr="002704D7">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460" w:type="dxa"/>
          </w:tcPr>
          <w:p w:rsidR="003F70D7" w:rsidRPr="00354CE4" w:rsidRDefault="003F70D7" w:rsidP="005F67FF">
            <w:pPr>
              <w:rPr>
                <w:rFonts w:asciiTheme="majorHAnsi" w:hAnsiTheme="majorHAnsi" w:cstheme="majorHAnsi"/>
                <w:lang w:val="bg-BG"/>
              </w:rPr>
            </w:pPr>
            <w:bookmarkStart w:id="57" w:name="_Hlk151643136"/>
            <w:r w:rsidRPr="00354CE4">
              <w:rPr>
                <w:rFonts w:asciiTheme="majorHAnsi" w:hAnsiTheme="majorHAnsi" w:cstheme="majorHAnsi"/>
                <w:lang w:val="bg-BG"/>
              </w:rPr>
              <w:t>№</w:t>
            </w:r>
          </w:p>
        </w:tc>
        <w:tc>
          <w:tcPr>
            <w:tcW w:w="2057" w:type="dxa"/>
          </w:tcPr>
          <w:p w:rsidR="003F70D7" w:rsidRPr="00354CE4" w:rsidRDefault="003F70D7" w:rsidP="005F67FF">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lang w:val="bg-BG"/>
              </w:rPr>
            </w:pPr>
            <w:r w:rsidRPr="00354CE4">
              <w:rPr>
                <w:rFonts w:asciiTheme="majorHAnsi" w:hAnsiTheme="majorHAnsi" w:cstheme="majorHAnsi"/>
                <w:lang w:val="bg-BG"/>
              </w:rPr>
              <w:t>Заглавие на оценката</w:t>
            </w:r>
          </w:p>
        </w:tc>
        <w:tc>
          <w:tcPr>
            <w:tcW w:w="2525" w:type="dxa"/>
          </w:tcPr>
          <w:p w:rsidR="003F70D7" w:rsidRPr="00354CE4" w:rsidRDefault="003F70D7" w:rsidP="005F67FF">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lang w:val="bg-BG"/>
              </w:rPr>
            </w:pPr>
            <w:r w:rsidRPr="00354CE4">
              <w:rPr>
                <w:rFonts w:asciiTheme="majorHAnsi" w:hAnsiTheme="majorHAnsi" w:cstheme="majorHAnsi"/>
                <w:lang w:val="bg-BG"/>
              </w:rPr>
              <w:t>Предмет на оценката</w:t>
            </w:r>
          </w:p>
        </w:tc>
        <w:tc>
          <w:tcPr>
            <w:tcW w:w="1616" w:type="dxa"/>
          </w:tcPr>
          <w:p w:rsidR="003F70D7" w:rsidRPr="00354CE4" w:rsidRDefault="003F70D7" w:rsidP="005F67FF">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lang w:val="bg-BG"/>
              </w:rPr>
            </w:pPr>
            <w:r w:rsidRPr="00354CE4">
              <w:rPr>
                <w:rFonts w:asciiTheme="majorHAnsi" w:hAnsiTheme="majorHAnsi" w:cstheme="majorHAnsi"/>
                <w:lang w:val="bg-BG"/>
              </w:rPr>
              <w:t>Критерии за оценяване</w:t>
            </w:r>
          </w:p>
        </w:tc>
        <w:tc>
          <w:tcPr>
            <w:tcW w:w="1417" w:type="dxa"/>
          </w:tcPr>
          <w:p w:rsidR="003F70D7" w:rsidRPr="00354CE4" w:rsidRDefault="003F70D7" w:rsidP="005F67FF">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lang w:val="bg-BG"/>
              </w:rPr>
            </w:pPr>
            <w:r w:rsidRPr="00354CE4">
              <w:rPr>
                <w:rFonts w:asciiTheme="majorHAnsi" w:hAnsiTheme="majorHAnsi" w:cstheme="majorHAnsi"/>
                <w:lang w:val="bg-BG"/>
              </w:rPr>
              <w:t xml:space="preserve">Оценители </w:t>
            </w:r>
          </w:p>
        </w:tc>
        <w:tc>
          <w:tcPr>
            <w:tcW w:w="1418" w:type="dxa"/>
          </w:tcPr>
          <w:p w:rsidR="003F70D7" w:rsidRPr="00354CE4" w:rsidRDefault="003F70D7" w:rsidP="005F67FF">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lang w:val="bg-BG"/>
              </w:rPr>
            </w:pPr>
            <w:r w:rsidRPr="00354CE4">
              <w:rPr>
                <w:rFonts w:asciiTheme="majorHAnsi" w:hAnsiTheme="majorHAnsi" w:cstheme="majorHAnsi"/>
                <w:lang w:val="bg-BG"/>
              </w:rPr>
              <w:t>Период за провеждане</w:t>
            </w:r>
          </w:p>
        </w:tc>
        <w:tc>
          <w:tcPr>
            <w:tcW w:w="1842" w:type="dxa"/>
          </w:tcPr>
          <w:p w:rsidR="003F70D7" w:rsidRPr="00354CE4" w:rsidRDefault="003F70D7" w:rsidP="005F67FF">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lang w:val="bg-BG"/>
              </w:rPr>
            </w:pPr>
            <w:r w:rsidRPr="00354CE4">
              <w:rPr>
                <w:rFonts w:asciiTheme="majorHAnsi" w:hAnsiTheme="majorHAnsi" w:cstheme="majorHAnsi"/>
                <w:lang w:val="bg-BG"/>
              </w:rPr>
              <w:t>Ориентировъчен бюджет</w:t>
            </w:r>
            <w:r w:rsidR="00966A30" w:rsidRPr="00354CE4">
              <w:rPr>
                <w:rFonts w:asciiTheme="majorHAnsi" w:hAnsiTheme="majorHAnsi" w:cstheme="majorHAnsi"/>
                <w:lang w:val="bg-BG"/>
              </w:rPr>
              <w:t>, лв.</w:t>
            </w:r>
            <w:r w:rsidR="0037154B" w:rsidRPr="00354CE4">
              <w:rPr>
                <w:rFonts w:asciiTheme="majorHAnsi" w:hAnsiTheme="majorHAnsi" w:cstheme="majorHAnsi"/>
                <w:lang w:val="bg-BG"/>
              </w:rPr>
              <w:t xml:space="preserve"> без ДДС</w:t>
            </w:r>
          </w:p>
        </w:tc>
        <w:tc>
          <w:tcPr>
            <w:tcW w:w="3226" w:type="dxa"/>
          </w:tcPr>
          <w:p w:rsidR="003F70D7" w:rsidRPr="00354CE4" w:rsidRDefault="00EE5F78" w:rsidP="005F67FF">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lang w:val="bg-BG"/>
              </w:rPr>
            </w:pPr>
            <w:r w:rsidRPr="00354CE4">
              <w:rPr>
                <w:rFonts w:asciiTheme="majorHAnsi" w:hAnsiTheme="majorHAnsi" w:cstheme="majorHAnsi"/>
                <w:lang w:val="bg-BG"/>
              </w:rPr>
              <w:t>Обосновка</w:t>
            </w:r>
          </w:p>
        </w:tc>
      </w:tr>
      <w:tr w:rsidR="004C29F2" w:rsidRPr="00354CE4" w:rsidTr="002704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 w:type="dxa"/>
          </w:tcPr>
          <w:p w:rsidR="003F70D7" w:rsidRPr="00354CE4" w:rsidRDefault="003F70D7" w:rsidP="005F67FF">
            <w:pPr>
              <w:rPr>
                <w:rFonts w:asciiTheme="majorHAnsi" w:hAnsiTheme="majorHAnsi" w:cstheme="majorHAnsi"/>
                <w:lang w:val="bg-BG"/>
              </w:rPr>
            </w:pPr>
            <w:r w:rsidRPr="00354CE4">
              <w:rPr>
                <w:rFonts w:asciiTheme="majorHAnsi" w:hAnsiTheme="majorHAnsi" w:cstheme="majorHAnsi"/>
                <w:lang w:val="bg-BG"/>
              </w:rPr>
              <w:t>1</w:t>
            </w:r>
            <w:r w:rsidR="00F55010" w:rsidRPr="00354CE4">
              <w:rPr>
                <w:rFonts w:asciiTheme="majorHAnsi" w:hAnsiTheme="majorHAnsi" w:cstheme="majorHAnsi"/>
                <w:lang w:val="bg-BG"/>
              </w:rPr>
              <w:t>.</w:t>
            </w:r>
          </w:p>
        </w:tc>
        <w:tc>
          <w:tcPr>
            <w:tcW w:w="2057" w:type="dxa"/>
          </w:tcPr>
          <w:p w:rsidR="003F70D7" w:rsidRPr="00354CE4" w:rsidRDefault="003F70D7" w:rsidP="005F67FF">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bg-BG"/>
              </w:rPr>
            </w:pPr>
            <w:r w:rsidRPr="00354CE4">
              <w:rPr>
                <w:rFonts w:asciiTheme="majorHAnsi" w:hAnsiTheme="majorHAnsi" w:cstheme="majorHAnsi"/>
                <w:lang w:val="bg-BG"/>
              </w:rPr>
              <w:t xml:space="preserve">Актуализация на </w:t>
            </w:r>
            <w:r w:rsidR="00724314" w:rsidRPr="00354CE4">
              <w:rPr>
                <w:rFonts w:asciiTheme="majorHAnsi" w:hAnsiTheme="majorHAnsi" w:cstheme="majorHAnsi"/>
                <w:lang w:val="bg-BG"/>
              </w:rPr>
              <w:t>Предварителна оценка за прилагане на финансов инструмент по ПМДР 2014-2020 г.</w:t>
            </w:r>
          </w:p>
        </w:tc>
        <w:tc>
          <w:tcPr>
            <w:tcW w:w="2525" w:type="dxa"/>
          </w:tcPr>
          <w:p w:rsidR="003F70D7" w:rsidRPr="00354CE4" w:rsidRDefault="003F70D7" w:rsidP="005F67FF">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bg-BG"/>
              </w:rPr>
            </w:pPr>
            <w:r w:rsidRPr="00354CE4">
              <w:rPr>
                <w:rFonts w:asciiTheme="majorHAnsi" w:hAnsiTheme="majorHAnsi" w:cstheme="majorHAnsi"/>
                <w:lang w:val="bg-BG"/>
              </w:rPr>
              <w:t>По</w:t>
            </w:r>
            <w:r w:rsidR="00724314" w:rsidRPr="00354CE4">
              <w:rPr>
                <w:rFonts w:asciiTheme="majorHAnsi" w:hAnsiTheme="majorHAnsi" w:cstheme="majorHAnsi"/>
                <w:lang w:val="bg-BG"/>
              </w:rPr>
              <w:t xml:space="preserve"> </w:t>
            </w:r>
            <w:r w:rsidRPr="00354CE4">
              <w:rPr>
                <w:rFonts w:asciiTheme="majorHAnsi" w:hAnsiTheme="majorHAnsi" w:cstheme="majorHAnsi"/>
                <w:lang w:val="bg-BG"/>
              </w:rPr>
              <w:t>чл.38 от РОР</w:t>
            </w:r>
          </w:p>
        </w:tc>
        <w:tc>
          <w:tcPr>
            <w:tcW w:w="1616" w:type="dxa"/>
          </w:tcPr>
          <w:p w:rsidR="003F70D7" w:rsidRPr="00354CE4" w:rsidRDefault="003F70D7" w:rsidP="005F67FF">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bg-BG"/>
              </w:rPr>
            </w:pPr>
            <w:r w:rsidRPr="00354CE4">
              <w:rPr>
                <w:rFonts w:asciiTheme="majorHAnsi" w:hAnsiTheme="majorHAnsi" w:cstheme="majorHAnsi"/>
                <w:lang w:val="bg-BG"/>
              </w:rPr>
              <w:t>уместност/</w:t>
            </w:r>
            <w:r w:rsidR="002704D7" w:rsidRPr="00354CE4">
              <w:rPr>
                <w:rFonts w:asciiTheme="majorHAnsi" w:hAnsiTheme="majorHAnsi" w:cstheme="majorHAnsi"/>
                <w:lang w:val="bg-BG"/>
              </w:rPr>
              <w:t xml:space="preserve"> </w:t>
            </w:r>
            <w:r w:rsidRPr="00354CE4">
              <w:rPr>
                <w:rFonts w:asciiTheme="majorHAnsi" w:hAnsiTheme="majorHAnsi" w:cstheme="majorHAnsi"/>
                <w:lang w:val="bg-BG"/>
              </w:rPr>
              <w:t>относимост</w:t>
            </w:r>
          </w:p>
        </w:tc>
        <w:tc>
          <w:tcPr>
            <w:tcW w:w="1417" w:type="dxa"/>
          </w:tcPr>
          <w:p w:rsidR="003F70D7" w:rsidRPr="00354CE4" w:rsidRDefault="003F70D7" w:rsidP="005F67FF">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bg-BG"/>
              </w:rPr>
            </w:pPr>
            <w:r w:rsidRPr="00354CE4">
              <w:rPr>
                <w:rFonts w:asciiTheme="majorHAnsi" w:hAnsiTheme="majorHAnsi" w:cstheme="majorHAnsi"/>
                <w:lang w:val="bg-BG"/>
              </w:rPr>
              <w:t>външни</w:t>
            </w:r>
          </w:p>
        </w:tc>
        <w:tc>
          <w:tcPr>
            <w:tcW w:w="1418" w:type="dxa"/>
          </w:tcPr>
          <w:p w:rsidR="003F70D7" w:rsidRPr="00354CE4" w:rsidRDefault="00C02E2D" w:rsidP="00623D0F">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bg-BG"/>
              </w:rPr>
            </w:pPr>
            <w:r>
              <w:rPr>
                <w:rFonts w:asciiTheme="majorHAnsi" w:hAnsiTheme="majorHAnsi" w:cstheme="majorHAnsi"/>
                <w:lang w:val="bg-BG"/>
              </w:rPr>
              <w:t>март</w:t>
            </w:r>
            <w:r w:rsidR="001D6DAE">
              <w:rPr>
                <w:rFonts w:asciiTheme="majorHAnsi" w:hAnsiTheme="majorHAnsi" w:cstheme="majorHAnsi"/>
                <w:lang w:val="bg-BG"/>
              </w:rPr>
              <w:t xml:space="preserve"> – </w:t>
            </w:r>
            <w:r>
              <w:rPr>
                <w:rFonts w:asciiTheme="majorHAnsi" w:hAnsiTheme="majorHAnsi" w:cstheme="majorHAnsi"/>
                <w:lang w:val="bg-BG"/>
              </w:rPr>
              <w:t>септември</w:t>
            </w:r>
            <w:r w:rsidR="001D6DAE">
              <w:rPr>
                <w:rFonts w:asciiTheme="majorHAnsi" w:hAnsiTheme="majorHAnsi" w:cstheme="majorHAnsi"/>
                <w:lang w:val="bg-BG"/>
              </w:rPr>
              <w:t xml:space="preserve"> </w:t>
            </w:r>
            <w:r w:rsidR="003F70D7" w:rsidRPr="00354CE4">
              <w:rPr>
                <w:rFonts w:asciiTheme="majorHAnsi" w:hAnsiTheme="majorHAnsi" w:cstheme="majorHAnsi"/>
                <w:lang w:val="bg-BG"/>
              </w:rPr>
              <w:t>2024</w:t>
            </w:r>
            <w:r w:rsidR="00951785" w:rsidRPr="00354CE4">
              <w:rPr>
                <w:rFonts w:asciiTheme="majorHAnsi" w:hAnsiTheme="majorHAnsi" w:cstheme="majorHAnsi"/>
                <w:lang w:val="bg-BG"/>
              </w:rPr>
              <w:t xml:space="preserve"> г.</w:t>
            </w:r>
          </w:p>
        </w:tc>
        <w:tc>
          <w:tcPr>
            <w:tcW w:w="1842" w:type="dxa"/>
          </w:tcPr>
          <w:p w:rsidR="003F70D7" w:rsidRPr="00354CE4" w:rsidRDefault="006A12F2" w:rsidP="005F67FF">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bg-BG"/>
              </w:rPr>
            </w:pPr>
            <w:r w:rsidRPr="00354CE4">
              <w:rPr>
                <w:rFonts w:asciiTheme="majorHAnsi" w:hAnsiTheme="majorHAnsi" w:cstheme="majorHAnsi"/>
                <w:lang w:val="bg-BG"/>
              </w:rPr>
              <w:t>15</w:t>
            </w:r>
            <w:r w:rsidR="00CE421B" w:rsidRPr="00354CE4">
              <w:rPr>
                <w:rFonts w:asciiTheme="majorHAnsi" w:hAnsiTheme="majorHAnsi" w:cstheme="majorHAnsi"/>
                <w:lang w:val="bg-BG"/>
              </w:rPr>
              <w:t xml:space="preserve"> 000</w:t>
            </w:r>
          </w:p>
        </w:tc>
        <w:tc>
          <w:tcPr>
            <w:tcW w:w="3226" w:type="dxa"/>
          </w:tcPr>
          <w:p w:rsidR="003F70D7" w:rsidRPr="00354CE4" w:rsidRDefault="00EE5F78" w:rsidP="005F67FF">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bg-BG"/>
              </w:rPr>
            </w:pPr>
            <w:r w:rsidRPr="00354CE4">
              <w:rPr>
                <w:rFonts w:asciiTheme="majorHAnsi" w:hAnsiTheme="majorHAnsi" w:cstheme="majorHAnsi"/>
                <w:lang w:val="bg-BG"/>
              </w:rPr>
              <w:t>Установяване на степента на актуалност и съответствие на планираните инструменти с приложимите през 2024 г. условия, вкл. в случай на промени в приоритети на политиката на национално ниво, промяна в определените предварителни условия за успешно прилагане на финансовия инструмент по програмата, както и актуалността на влиянието на определените възможни рискове от институционален, административен, правен, икономически аспекти и др.,</w:t>
            </w:r>
          </w:p>
        </w:tc>
      </w:tr>
      <w:tr w:rsidR="004C29F2" w:rsidRPr="00354CE4" w:rsidTr="002704D7">
        <w:tc>
          <w:tcPr>
            <w:cnfStyle w:val="001000000000" w:firstRow="0" w:lastRow="0" w:firstColumn="1" w:lastColumn="0" w:oddVBand="0" w:evenVBand="0" w:oddHBand="0" w:evenHBand="0" w:firstRowFirstColumn="0" w:firstRowLastColumn="0" w:lastRowFirstColumn="0" w:lastRowLastColumn="0"/>
            <w:tcW w:w="460" w:type="dxa"/>
          </w:tcPr>
          <w:p w:rsidR="00354CE4" w:rsidRPr="001D6DAE" w:rsidRDefault="00354CE4" w:rsidP="005F67FF">
            <w:pPr>
              <w:rPr>
                <w:rFonts w:asciiTheme="majorHAnsi" w:hAnsiTheme="majorHAnsi" w:cstheme="majorHAnsi"/>
                <w:lang w:val="bg-BG"/>
              </w:rPr>
            </w:pPr>
            <w:r w:rsidRPr="00354CE4">
              <w:rPr>
                <w:rFonts w:asciiTheme="majorHAnsi" w:hAnsiTheme="majorHAnsi" w:cstheme="majorHAnsi"/>
              </w:rPr>
              <w:t>2</w:t>
            </w:r>
          </w:p>
        </w:tc>
        <w:tc>
          <w:tcPr>
            <w:tcW w:w="2057" w:type="dxa"/>
          </w:tcPr>
          <w:p w:rsidR="00354CE4" w:rsidRPr="001D6DAE" w:rsidRDefault="00354CE4" w:rsidP="005F67FF">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bg-BG"/>
              </w:rPr>
            </w:pPr>
            <w:r w:rsidRPr="00354CE4">
              <w:rPr>
                <w:rFonts w:asciiTheme="majorHAnsi" w:hAnsiTheme="majorHAnsi" w:cstheme="majorHAnsi"/>
              </w:rPr>
              <w:t>Оценка на рамката на изпълнението</w:t>
            </w:r>
          </w:p>
        </w:tc>
        <w:tc>
          <w:tcPr>
            <w:tcW w:w="2525" w:type="dxa"/>
          </w:tcPr>
          <w:p w:rsidR="00354CE4" w:rsidRPr="001D6DAE" w:rsidRDefault="00354CE4" w:rsidP="005F67FF">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bg-BG"/>
              </w:rPr>
            </w:pPr>
            <w:r w:rsidRPr="00354CE4">
              <w:rPr>
                <w:rFonts w:asciiTheme="majorHAnsi" w:hAnsiTheme="majorHAnsi" w:cstheme="majorHAnsi"/>
                <w:lang w:val="bg-BG"/>
              </w:rPr>
              <w:t>Преглед на постигнатите до момента резултати, постигнати цели</w:t>
            </w:r>
          </w:p>
        </w:tc>
        <w:tc>
          <w:tcPr>
            <w:tcW w:w="1616" w:type="dxa"/>
          </w:tcPr>
          <w:p w:rsidR="00354CE4" w:rsidRPr="00536DB5" w:rsidRDefault="0033681E" w:rsidP="005F67FF">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highlight w:val="yellow"/>
                <w:lang w:val="bg-BG"/>
              </w:rPr>
            </w:pPr>
            <w:r w:rsidRPr="0033681E">
              <w:rPr>
                <w:rFonts w:asciiTheme="majorHAnsi" w:hAnsiTheme="majorHAnsi" w:cstheme="majorHAnsi"/>
              </w:rPr>
              <w:t>ефикастност</w:t>
            </w:r>
          </w:p>
        </w:tc>
        <w:tc>
          <w:tcPr>
            <w:tcW w:w="1417" w:type="dxa"/>
          </w:tcPr>
          <w:p w:rsidR="00354CE4" w:rsidRPr="001D6DAE" w:rsidRDefault="004C29F2" w:rsidP="005F67FF">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bg-BG"/>
              </w:rPr>
            </w:pPr>
            <w:r>
              <w:rPr>
                <w:rFonts w:asciiTheme="majorHAnsi" w:hAnsiTheme="majorHAnsi" w:cstheme="majorHAnsi"/>
                <w:lang w:val="bg-BG"/>
              </w:rPr>
              <w:t>външни</w:t>
            </w:r>
          </w:p>
        </w:tc>
        <w:tc>
          <w:tcPr>
            <w:tcW w:w="1418" w:type="dxa"/>
          </w:tcPr>
          <w:p w:rsidR="00354CE4" w:rsidRDefault="00BF7D3B" w:rsidP="00623D0F">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bg-BG"/>
              </w:rPr>
            </w:pPr>
            <w:r>
              <w:rPr>
                <w:rFonts w:asciiTheme="majorHAnsi" w:hAnsiTheme="majorHAnsi" w:cstheme="majorHAnsi"/>
                <w:lang w:val="bg-BG"/>
              </w:rPr>
              <w:t xml:space="preserve">2025 </w:t>
            </w:r>
            <w:r w:rsidR="00151E6F">
              <w:rPr>
                <w:rFonts w:asciiTheme="majorHAnsi" w:hAnsiTheme="majorHAnsi" w:cstheme="majorHAnsi"/>
                <w:lang w:val="bg-BG"/>
              </w:rPr>
              <w:t>г.</w:t>
            </w:r>
            <w:r>
              <w:rPr>
                <w:rFonts w:asciiTheme="majorHAnsi" w:hAnsiTheme="majorHAnsi" w:cstheme="majorHAnsi"/>
                <w:lang w:val="bg-BG"/>
              </w:rPr>
              <w:t xml:space="preserve"> и </w:t>
            </w:r>
            <w:r>
              <w:rPr>
                <w:rFonts w:asciiTheme="majorHAnsi" w:hAnsiTheme="majorHAnsi" w:cstheme="majorHAnsi"/>
                <w:lang w:val="bg-BG"/>
              </w:rPr>
              <w:t>2030</w:t>
            </w:r>
            <w:r>
              <w:rPr>
                <w:rFonts w:asciiTheme="majorHAnsi" w:hAnsiTheme="majorHAnsi" w:cstheme="majorHAnsi"/>
                <w:lang w:val="bg-BG"/>
              </w:rPr>
              <w:t xml:space="preserve"> г.</w:t>
            </w:r>
          </w:p>
          <w:p w:rsidR="006A66AE" w:rsidRPr="001D6DAE" w:rsidRDefault="006A66AE" w:rsidP="00623D0F">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bg-BG"/>
              </w:rPr>
            </w:pPr>
          </w:p>
        </w:tc>
        <w:tc>
          <w:tcPr>
            <w:tcW w:w="1842" w:type="dxa"/>
          </w:tcPr>
          <w:p w:rsidR="00354CE4" w:rsidRDefault="006A66AE" w:rsidP="005F67FF">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bg-BG"/>
              </w:rPr>
            </w:pPr>
            <w:r>
              <w:rPr>
                <w:rFonts w:asciiTheme="majorHAnsi" w:hAnsiTheme="majorHAnsi" w:cstheme="majorHAnsi"/>
                <w:lang w:val="bg-BG"/>
              </w:rPr>
              <w:t>5000</w:t>
            </w:r>
          </w:p>
          <w:p w:rsidR="006A66AE" w:rsidRDefault="00BF7D3B" w:rsidP="005F67FF">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bg-BG"/>
              </w:rPr>
            </w:pPr>
            <w:r>
              <w:rPr>
                <w:rFonts w:asciiTheme="majorHAnsi" w:hAnsiTheme="majorHAnsi" w:cstheme="majorHAnsi"/>
                <w:lang w:val="bg-BG"/>
              </w:rPr>
              <w:t>5000</w:t>
            </w:r>
            <w:bookmarkStart w:id="58" w:name="_GoBack"/>
            <w:bookmarkEnd w:id="58"/>
          </w:p>
          <w:p w:rsidR="006A66AE" w:rsidRDefault="006A66AE" w:rsidP="005F67FF">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bg-BG"/>
              </w:rPr>
            </w:pPr>
          </w:p>
          <w:p w:rsidR="006A66AE" w:rsidRPr="001D6DAE" w:rsidRDefault="006A66AE" w:rsidP="005F67FF">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bg-BG"/>
              </w:rPr>
            </w:pPr>
          </w:p>
        </w:tc>
        <w:tc>
          <w:tcPr>
            <w:tcW w:w="3226" w:type="dxa"/>
          </w:tcPr>
          <w:p w:rsidR="00354CE4" w:rsidRPr="001D6DAE" w:rsidRDefault="006A66AE" w:rsidP="005F67FF">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bg-BG"/>
              </w:rPr>
            </w:pPr>
            <w:r>
              <w:rPr>
                <w:rFonts w:asciiTheme="majorHAnsi" w:hAnsiTheme="majorHAnsi" w:cstheme="majorHAnsi"/>
                <w:lang w:val="bg-BG"/>
              </w:rPr>
              <w:t xml:space="preserve">Оценка на рамката на изпълнението в контекста и обхвата на чл.16, параграф 1 на РОР 2021/1060. </w:t>
            </w:r>
          </w:p>
        </w:tc>
      </w:tr>
      <w:tr w:rsidR="004C29F2" w:rsidRPr="00354CE4" w:rsidTr="002704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 w:type="dxa"/>
          </w:tcPr>
          <w:p w:rsidR="003F70D7" w:rsidRPr="00354CE4" w:rsidRDefault="001D6DAE" w:rsidP="005F67FF">
            <w:pPr>
              <w:rPr>
                <w:rFonts w:asciiTheme="majorHAnsi" w:hAnsiTheme="majorHAnsi" w:cstheme="majorHAnsi"/>
                <w:lang w:val="bg-BG"/>
              </w:rPr>
            </w:pPr>
            <w:r>
              <w:rPr>
                <w:rFonts w:asciiTheme="majorHAnsi" w:hAnsiTheme="majorHAnsi" w:cstheme="majorHAnsi"/>
                <w:lang w:val="bg-BG"/>
              </w:rPr>
              <w:lastRenderedPageBreak/>
              <w:t>3</w:t>
            </w:r>
            <w:r w:rsidR="00F55010" w:rsidRPr="00354CE4">
              <w:rPr>
                <w:rFonts w:asciiTheme="majorHAnsi" w:hAnsiTheme="majorHAnsi" w:cstheme="majorHAnsi"/>
                <w:lang w:val="bg-BG"/>
              </w:rPr>
              <w:t>.</w:t>
            </w:r>
          </w:p>
        </w:tc>
        <w:tc>
          <w:tcPr>
            <w:tcW w:w="2057" w:type="dxa"/>
          </w:tcPr>
          <w:p w:rsidR="003F70D7" w:rsidRPr="00354CE4" w:rsidRDefault="00081522" w:rsidP="00966A30">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bg-BG"/>
              </w:rPr>
            </w:pPr>
            <w:r w:rsidRPr="00354CE4">
              <w:rPr>
                <w:rFonts w:asciiTheme="majorHAnsi" w:hAnsiTheme="majorHAnsi" w:cstheme="majorHAnsi"/>
                <w:lang w:val="bg-BG"/>
              </w:rPr>
              <w:t>Тематична оценка по приоритети на ефективността на подкрепата за иновации, устойчивост, дигитализация, енергийна ефективност, декарбонизация и диверсификация в рамките на дейностите по програмата ПМДРА 2021-2027 г.</w:t>
            </w:r>
          </w:p>
        </w:tc>
        <w:tc>
          <w:tcPr>
            <w:tcW w:w="2525" w:type="dxa"/>
          </w:tcPr>
          <w:p w:rsidR="003F70D7" w:rsidRPr="00354CE4" w:rsidRDefault="003F70D7" w:rsidP="005F67FF">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bg-BG"/>
              </w:rPr>
            </w:pPr>
            <w:r w:rsidRPr="00354CE4">
              <w:rPr>
                <w:rFonts w:asciiTheme="majorHAnsi" w:hAnsiTheme="majorHAnsi" w:cstheme="majorHAnsi"/>
                <w:lang w:val="bg-BG"/>
              </w:rPr>
              <w:t>Анализ на изпълнението и постигане на специфични приоритети на политиката</w:t>
            </w:r>
          </w:p>
        </w:tc>
        <w:tc>
          <w:tcPr>
            <w:tcW w:w="1616" w:type="dxa"/>
          </w:tcPr>
          <w:p w:rsidR="003F70D7" w:rsidRPr="00354CE4" w:rsidRDefault="003F70D7" w:rsidP="005F67FF">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bg-BG"/>
              </w:rPr>
            </w:pPr>
            <w:r w:rsidRPr="00354CE4">
              <w:rPr>
                <w:rFonts w:asciiTheme="majorHAnsi" w:hAnsiTheme="majorHAnsi" w:cstheme="majorHAnsi"/>
                <w:lang w:val="bg-BG"/>
              </w:rPr>
              <w:t>ефективност</w:t>
            </w:r>
          </w:p>
          <w:p w:rsidR="003F70D7" w:rsidRPr="00354CE4" w:rsidRDefault="003F70D7" w:rsidP="005F67FF">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bg-BG"/>
              </w:rPr>
            </w:pPr>
            <w:r w:rsidRPr="00354CE4">
              <w:rPr>
                <w:rFonts w:asciiTheme="majorHAnsi" w:hAnsiTheme="majorHAnsi" w:cstheme="majorHAnsi"/>
                <w:lang w:val="bg-BG"/>
              </w:rPr>
              <w:t>уместност</w:t>
            </w:r>
          </w:p>
        </w:tc>
        <w:tc>
          <w:tcPr>
            <w:tcW w:w="1417" w:type="dxa"/>
          </w:tcPr>
          <w:p w:rsidR="003F70D7" w:rsidRPr="00354CE4" w:rsidRDefault="003F70D7" w:rsidP="005F67FF">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bg-BG"/>
              </w:rPr>
            </w:pPr>
            <w:r w:rsidRPr="00354CE4">
              <w:rPr>
                <w:rFonts w:asciiTheme="majorHAnsi" w:hAnsiTheme="majorHAnsi" w:cstheme="majorHAnsi"/>
                <w:lang w:val="bg-BG"/>
              </w:rPr>
              <w:t>външни</w:t>
            </w:r>
          </w:p>
        </w:tc>
        <w:tc>
          <w:tcPr>
            <w:tcW w:w="1418" w:type="dxa"/>
          </w:tcPr>
          <w:p w:rsidR="003F70D7" w:rsidRPr="00354CE4" w:rsidRDefault="001D6DAE" w:rsidP="005F67FF">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bg-BG"/>
              </w:rPr>
            </w:pPr>
            <w:r>
              <w:rPr>
                <w:rFonts w:asciiTheme="majorHAnsi" w:hAnsiTheme="majorHAnsi" w:cstheme="majorHAnsi"/>
                <w:lang w:val="bg-BG"/>
              </w:rPr>
              <w:t>април - септември</w:t>
            </w:r>
            <w:r w:rsidR="003F70D7" w:rsidRPr="00354CE4">
              <w:rPr>
                <w:rFonts w:asciiTheme="majorHAnsi" w:hAnsiTheme="majorHAnsi" w:cstheme="majorHAnsi"/>
                <w:lang w:val="bg-BG"/>
              </w:rPr>
              <w:t xml:space="preserve"> 2026</w:t>
            </w:r>
            <w:r w:rsidR="00951785" w:rsidRPr="00354CE4">
              <w:rPr>
                <w:rFonts w:asciiTheme="majorHAnsi" w:hAnsiTheme="majorHAnsi" w:cstheme="majorHAnsi"/>
                <w:lang w:val="bg-BG"/>
              </w:rPr>
              <w:t xml:space="preserve"> г.</w:t>
            </w:r>
          </w:p>
        </w:tc>
        <w:tc>
          <w:tcPr>
            <w:tcW w:w="1842" w:type="dxa"/>
          </w:tcPr>
          <w:p w:rsidR="003F70D7" w:rsidRPr="00354CE4" w:rsidRDefault="006A12F2" w:rsidP="005F67FF">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bg-BG"/>
              </w:rPr>
            </w:pPr>
            <w:r w:rsidRPr="00354CE4">
              <w:rPr>
                <w:rFonts w:asciiTheme="majorHAnsi" w:hAnsiTheme="majorHAnsi" w:cstheme="majorHAnsi"/>
                <w:lang w:val="bg-BG"/>
              </w:rPr>
              <w:t>35</w:t>
            </w:r>
            <w:r w:rsidR="00CE421B" w:rsidRPr="00354CE4">
              <w:rPr>
                <w:rFonts w:asciiTheme="majorHAnsi" w:hAnsiTheme="majorHAnsi" w:cstheme="majorHAnsi"/>
                <w:lang w:val="bg-BG"/>
              </w:rPr>
              <w:t xml:space="preserve"> 000</w:t>
            </w:r>
          </w:p>
        </w:tc>
        <w:tc>
          <w:tcPr>
            <w:tcW w:w="3226" w:type="dxa"/>
          </w:tcPr>
          <w:p w:rsidR="003F70D7" w:rsidRPr="00354CE4" w:rsidRDefault="00EE5F78" w:rsidP="005F67FF">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bg-BG"/>
              </w:rPr>
            </w:pPr>
            <w:r w:rsidRPr="00354CE4">
              <w:rPr>
                <w:rFonts w:asciiTheme="majorHAnsi" w:hAnsiTheme="majorHAnsi" w:cstheme="majorHAnsi"/>
                <w:lang w:val="bg-BG"/>
              </w:rPr>
              <w:t>Анализ на изпълнението и постигане на специфични приоритети на политиката, вкл. иновации, устойчивост, дигитализация, енергийна ефективност, декарбонизация и диверсификация за всеки приоритет на ПМДРА 2021-2027 г.</w:t>
            </w:r>
          </w:p>
        </w:tc>
      </w:tr>
      <w:tr w:rsidR="004C29F2" w:rsidRPr="00354CE4" w:rsidTr="002704D7">
        <w:tc>
          <w:tcPr>
            <w:cnfStyle w:val="001000000000" w:firstRow="0" w:lastRow="0" w:firstColumn="1" w:lastColumn="0" w:oddVBand="0" w:evenVBand="0" w:oddHBand="0" w:evenHBand="0" w:firstRowFirstColumn="0" w:firstRowLastColumn="0" w:lastRowFirstColumn="0" w:lastRowLastColumn="0"/>
            <w:tcW w:w="460" w:type="dxa"/>
          </w:tcPr>
          <w:p w:rsidR="003F70D7" w:rsidRPr="00354CE4" w:rsidRDefault="001D6DAE" w:rsidP="005F67FF">
            <w:pPr>
              <w:rPr>
                <w:rFonts w:asciiTheme="majorHAnsi" w:hAnsiTheme="majorHAnsi" w:cstheme="majorHAnsi"/>
                <w:lang w:val="bg-BG"/>
              </w:rPr>
            </w:pPr>
            <w:r>
              <w:rPr>
                <w:rFonts w:asciiTheme="majorHAnsi" w:hAnsiTheme="majorHAnsi" w:cstheme="majorHAnsi"/>
                <w:lang w:val="bg-BG"/>
              </w:rPr>
              <w:t>4</w:t>
            </w:r>
            <w:r w:rsidR="00F55010" w:rsidRPr="00354CE4">
              <w:rPr>
                <w:rFonts w:asciiTheme="majorHAnsi" w:hAnsiTheme="majorHAnsi" w:cstheme="majorHAnsi"/>
                <w:lang w:val="bg-BG"/>
              </w:rPr>
              <w:t>.</w:t>
            </w:r>
          </w:p>
        </w:tc>
        <w:tc>
          <w:tcPr>
            <w:tcW w:w="2057" w:type="dxa"/>
          </w:tcPr>
          <w:p w:rsidR="003F70D7" w:rsidRPr="00354CE4" w:rsidRDefault="003F70D7" w:rsidP="005F67FF">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bg-BG"/>
              </w:rPr>
            </w:pPr>
            <w:r w:rsidRPr="00354CE4">
              <w:rPr>
                <w:rFonts w:asciiTheme="majorHAnsi" w:hAnsiTheme="majorHAnsi" w:cstheme="majorHAnsi"/>
                <w:lang w:val="bg-BG"/>
              </w:rPr>
              <w:t>Тематична оценка за ефективността на приложените дейности по видимост и комуникация по ПМДРА</w:t>
            </w:r>
            <w:r w:rsidR="00045AF3" w:rsidRPr="00354CE4">
              <w:rPr>
                <w:rFonts w:asciiTheme="majorHAnsi" w:hAnsiTheme="majorHAnsi" w:cstheme="majorHAnsi"/>
                <w:lang w:val="bg-BG"/>
              </w:rPr>
              <w:t xml:space="preserve"> 2021-2027</w:t>
            </w:r>
            <w:r w:rsidRPr="00354CE4">
              <w:rPr>
                <w:rFonts w:asciiTheme="majorHAnsi" w:hAnsiTheme="majorHAnsi" w:cstheme="majorHAnsi"/>
                <w:lang w:val="bg-BG"/>
              </w:rPr>
              <w:t>.</w:t>
            </w:r>
          </w:p>
        </w:tc>
        <w:tc>
          <w:tcPr>
            <w:tcW w:w="2525" w:type="dxa"/>
          </w:tcPr>
          <w:p w:rsidR="003F70D7" w:rsidRPr="00354CE4" w:rsidRDefault="003F70D7" w:rsidP="005F67FF">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bg-BG"/>
              </w:rPr>
            </w:pPr>
          </w:p>
        </w:tc>
        <w:tc>
          <w:tcPr>
            <w:tcW w:w="1616" w:type="dxa"/>
          </w:tcPr>
          <w:p w:rsidR="003F70D7" w:rsidRPr="00354CE4" w:rsidRDefault="003F70D7" w:rsidP="005F67FF">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bg-BG"/>
              </w:rPr>
            </w:pPr>
            <w:r w:rsidRPr="00354CE4">
              <w:rPr>
                <w:rFonts w:asciiTheme="majorHAnsi" w:hAnsiTheme="majorHAnsi" w:cstheme="majorHAnsi"/>
                <w:lang w:val="bg-BG"/>
              </w:rPr>
              <w:t>ефективност</w:t>
            </w:r>
          </w:p>
        </w:tc>
        <w:tc>
          <w:tcPr>
            <w:tcW w:w="1417" w:type="dxa"/>
          </w:tcPr>
          <w:p w:rsidR="003F70D7" w:rsidRPr="00354CE4" w:rsidRDefault="003F70D7" w:rsidP="005F67FF">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bg-BG"/>
              </w:rPr>
            </w:pPr>
            <w:r w:rsidRPr="00354CE4">
              <w:rPr>
                <w:rFonts w:asciiTheme="majorHAnsi" w:hAnsiTheme="majorHAnsi" w:cstheme="majorHAnsi"/>
                <w:lang w:val="bg-BG"/>
              </w:rPr>
              <w:t>външни</w:t>
            </w:r>
          </w:p>
        </w:tc>
        <w:tc>
          <w:tcPr>
            <w:tcW w:w="1418" w:type="dxa"/>
          </w:tcPr>
          <w:p w:rsidR="003F70D7" w:rsidRPr="00354CE4" w:rsidRDefault="003F70D7" w:rsidP="005F67FF">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bg-BG"/>
              </w:rPr>
            </w:pPr>
            <w:r w:rsidRPr="00354CE4">
              <w:rPr>
                <w:rFonts w:asciiTheme="majorHAnsi" w:hAnsiTheme="majorHAnsi" w:cstheme="majorHAnsi"/>
                <w:lang w:val="bg-BG"/>
              </w:rPr>
              <w:t>До края на 2025</w:t>
            </w:r>
            <w:r w:rsidR="00951785" w:rsidRPr="00354CE4">
              <w:rPr>
                <w:rFonts w:asciiTheme="majorHAnsi" w:hAnsiTheme="majorHAnsi" w:cstheme="majorHAnsi"/>
                <w:lang w:val="bg-BG"/>
              </w:rPr>
              <w:t xml:space="preserve"> г.</w:t>
            </w:r>
          </w:p>
        </w:tc>
        <w:tc>
          <w:tcPr>
            <w:tcW w:w="1842" w:type="dxa"/>
          </w:tcPr>
          <w:p w:rsidR="003F70D7" w:rsidRPr="00354CE4" w:rsidRDefault="006A12F2" w:rsidP="005F67FF">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bg-BG"/>
              </w:rPr>
            </w:pPr>
            <w:r w:rsidRPr="00354CE4">
              <w:rPr>
                <w:rFonts w:asciiTheme="majorHAnsi" w:hAnsiTheme="majorHAnsi" w:cstheme="majorHAnsi"/>
                <w:lang w:val="bg-BG"/>
              </w:rPr>
              <w:t>18</w:t>
            </w:r>
            <w:r w:rsidR="00CE421B" w:rsidRPr="00354CE4">
              <w:rPr>
                <w:rFonts w:asciiTheme="majorHAnsi" w:hAnsiTheme="majorHAnsi" w:cstheme="majorHAnsi"/>
                <w:lang w:val="bg-BG"/>
              </w:rPr>
              <w:t xml:space="preserve"> 000</w:t>
            </w:r>
          </w:p>
        </w:tc>
        <w:tc>
          <w:tcPr>
            <w:tcW w:w="3226" w:type="dxa"/>
          </w:tcPr>
          <w:p w:rsidR="003F70D7" w:rsidRPr="00354CE4" w:rsidRDefault="00EE5F78" w:rsidP="005F67FF">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bg-BG"/>
              </w:rPr>
            </w:pPr>
            <w:r w:rsidRPr="00354CE4">
              <w:rPr>
                <w:rFonts w:asciiTheme="majorHAnsi" w:hAnsiTheme="majorHAnsi" w:cstheme="majorHAnsi"/>
                <w:lang w:val="bg-BG"/>
              </w:rPr>
              <w:t>Анализ на изпълнението и степен на постигната ефективност при изпълнение на дейностите по осигуряване на видимост и комуникация на ПМДРА 2021-2027 г.</w:t>
            </w:r>
          </w:p>
        </w:tc>
      </w:tr>
      <w:tr w:rsidR="004C29F2" w:rsidRPr="00354CE4" w:rsidTr="002704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 w:type="dxa"/>
          </w:tcPr>
          <w:p w:rsidR="003F70D7" w:rsidRPr="00354CE4" w:rsidRDefault="001D6DAE" w:rsidP="005F67FF">
            <w:pPr>
              <w:rPr>
                <w:rFonts w:asciiTheme="majorHAnsi" w:hAnsiTheme="majorHAnsi" w:cstheme="majorHAnsi"/>
                <w:lang w:val="bg-BG"/>
              </w:rPr>
            </w:pPr>
            <w:r>
              <w:rPr>
                <w:rFonts w:asciiTheme="majorHAnsi" w:hAnsiTheme="majorHAnsi" w:cstheme="majorHAnsi"/>
                <w:lang w:val="bg-BG"/>
              </w:rPr>
              <w:t>5</w:t>
            </w:r>
            <w:r w:rsidR="00F55010" w:rsidRPr="00354CE4">
              <w:rPr>
                <w:rFonts w:asciiTheme="majorHAnsi" w:hAnsiTheme="majorHAnsi" w:cstheme="majorHAnsi"/>
                <w:lang w:val="bg-BG"/>
              </w:rPr>
              <w:t>.</w:t>
            </w:r>
          </w:p>
        </w:tc>
        <w:tc>
          <w:tcPr>
            <w:tcW w:w="2057" w:type="dxa"/>
          </w:tcPr>
          <w:p w:rsidR="003F70D7" w:rsidRPr="00354CE4" w:rsidRDefault="003F70D7" w:rsidP="00966A30">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bg-BG"/>
              </w:rPr>
            </w:pPr>
            <w:r w:rsidRPr="00354CE4">
              <w:rPr>
                <w:rFonts w:asciiTheme="majorHAnsi" w:hAnsiTheme="majorHAnsi" w:cstheme="majorHAnsi"/>
                <w:lang w:val="bg-BG"/>
              </w:rPr>
              <w:t xml:space="preserve">Междинна </w:t>
            </w:r>
            <w:r w:rsidRPr="00354CE4">
              <w:rPr>
                <w:rFonts w:asciiTheme="majorHAnsi" w:hAnsiTheme="majorHAnsi" w:cstheme="majorHAnsi"/>
                <w:lang w:val="bg-BG"/>
              </w:rPr>
              <w:lastRenderedPageBreak/>
              <w:t xml:space="preserve">оценка на </w:t>
            </w:r>
            <w:r w:rsidR="00045AF3" w:rsidRPr="00354CE4">
              <w:rPr>
                <w:rFonts w:asciiTheme="majorHAnsi" w:hAnsiTheme="majorHAnsi" w:cstheme="majorHAnsi"/>
                <w:lang w:val="bg-BG"/>
              </w:rPr>
              <w:t xml:space="preserve">напредъка на </w:t>
            </w:r>
            <w:r w:rsidRPr="00354CE4">
              <w:rPr>
                <w:rFonts w:asciiTheme="majorHAnsi" w:hAnsiTheme="majorHAnsi" w:cstheme="majorHAnsi"/>
                <w:lang w:val="bg-BG"/>
              </w:rPr>
              <w:t>ПМДРА 2021-2027 г.</w:t>
            </w:r>
          </w:p>
        </w:tc>
        <w:tc>
          <w:tcPr>
            <w:tcW w:w="2525" w:type="dxa"/>
          </w:tcPr>
          <w:p w:rsidR="003F70D7" w:rsidRPr="00354CE4" w:rsidRDefault="003F70D7" w:rsidP="00966A30">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bg-BG"/>
              </w:rPr>
            </w:pPr>
            <w:r w:rsidRPr="00354CE4">
              <w:rPr>
                <w:rFonts w:asciiTheme="majorHAnsi" w:hAnsiTheme="majorHAnsi" w:cstheme="majorHAnsi"/>
                <w:lang w:val="bg-BG"/>
              </w:rPr>
              <w:lastRenderedPageBreak/>
              <w:t xml:space="preserve">Резултатите от </w:t>
            </w:r>
            <w:r w:rsidRPr="00354CE4">
              <w:rPr>
                <w:rFonts w:asciiTheme="majorHAnsi" w:hAnsiTheme="majorHAnsi" w:cstheme="majorHAnsi"/>
                <w:lang w:val="bg-BG"/>
              </w:rPr>
              <w:lastRenderedPageBreak/>
              <w:t>изпълнението на програмата</w:t>
            </w:r>
          </w:p>
        </w:tc>
        <w:tc>
          <w:tcPr>
            <w:tcW w:w="1616" w:type="dxa"/>
          </w:tcPr>
          <w:p w:rsidR="003F70D7" w:rsidRPr="00354CE4" w:rsidRDefault="00214D52" w:rsidP="005F67FF">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bg-BG"/>
              </w:rPr>
            </w:pPr>
            <w:r w:rsidRPr="00354CE4">
              <w:rPr>
                <w:rFonts w:asciiTheme="majorHAnsi" w:hAnsiTheme="majorHAnsi" w:cstheme="majorHAnsi"/>
                <w:lang w:val="bg-BG"/>
              </w:rPr>
              <w:lastRenderedPageBreak/>
              <w:t>ефективност</w:t>
            </w:r>
          </w:p>
          <w:p w:rsidR="00214D52" w:rsidRPr="00354CE4" w:rsidRDefault="00214D52" w:rsidP="005F67FF">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bg-BG"/>
              </w:rPr>
            </w:pPr>
            <w:r w:rsidRPr="00354CE4">
              <w:rPr>
                <w:rFonts w:asciiTheme="majorHAnsi" w:hAnsiTheme="majorHAnsi" w:cstheme="majorHAnsi"/>
                <w:lang w:val="bg-BG"/>
              </w:rPr>
              <w:lastRenderedPageBreak/>
              <w:t>ефикасност</w:t>
            </w:r>
          </w:p>
          <w:p w:rsidR="003F70D7" w:rsidRPr="00354CE4" w:rsidRDefault="003F70D7" w:rsidP="005F67FF">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bg-BG"/>
              </w:rPr>
            </w:pPr>
            <w:r w:rsidRPr="00354CE4">
              <w:rPr>
                <w:rFonts w:asciiTheme="majorHAnsi" w:hAnsiTheme="majorHAnsi" w:cstheme="majorHAnsi"/>
                <w:lang w:val="bg-BG"/>
              </w:rPr>
              <w:t>уместност</w:t>
            </w:r>
          </w:p>
          <w:p w:rsidR="003F70D7" w:rsidRPr="00354CE4" w:rsidRDefault="003F70D7" w:rsidP="005F67FF">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bg-BG"/>
              </w:rPr>
            </w:pPr>
            <w:r w:rsidRPr="00354CE4">
              <w:rPr>
                <w:rFonts w:asciiTheme="majorHAnsi" w:hAnsiTheme="majorHAnsi" w:cstheme="majorHAnsi"/>
                <w:lang w:val="bg-BG"/>
              </w:rPr>
              <w:t>съгласуваност</w:t>
            </w:r>
          </w:p>
        </w:tc>
        <w:tc>
          <w:tcPr>
            <w:tcW w:w="1417" w:type="dxa"/>
          </w:tcPr>
          <w:p w:rsidR="003F70D7" w:rsidRPr="00354CE4" w:rsidRDefault="003F70D7" w:rsidP="005F67FF">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bg-BG"/>
              </w:rPr>
            </w:pPr>
            <w:r w:rsidRPr="00354CE4">
              <w:rPr>
                <w:rFonts w:asciiTheme="majorHAnsi" w:hAnsiTheme="majorHAnsi" w:cstheme="majorHAnsi"/>
                <w:lang w:val="bg-BG"/>
              </w:rPr>
              <w:lastRenderedPageBreak/>
              <w:t>външни</w:t>
            </w:r>
          </w:p>
        </w:tc>
        <w:tc>
          <w:tcPr>
            <w:tcW w:w="1418" w:type="dxa"/>
          </w:tcPr>
          <w:p w:rsidR="003F70D7" w:rsidRPr="00354CE4" w:rsidRDefault="001D6DAE" w:rsidP="005F67FF">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bg-BG"/>
              </w:rPr>
            </w:pPr>
            <w:r>
              <w:rPr>
                <w:rFonts w:asciiTheme="majorHAnsi" w:hAnsiTheme="majorHAnsi" w:cstheme="majorHAnsi"/>
                <w:lang w:val="bg-BG"/>
              </w:rPr>
              <w:t>март - юни</w:t>
            </w:r>
            <w:r w:rsidR="003F70D7" w:rsidRPr="00354CE4">
              <w:rPr>
                <w:rFonts w:asciiTheme="majorHAnsi" w:hAnsiTheme="majorHAnsi" w:cstheme="majorHAnsi"/>
                <w:lang w:val="bg-BG"/>
              </w:rPr>
              <w:t xml:space="preserve"> </w:t>
            </w:r>
            <w:r w:rsidR="003F70D7" w:rsidRPr="00354CE4">
              <w:rPr>
                <w:rFonts w:asciiTheme="majorHAnsi" w:hAnsiTheme="majorHAnsi" w:cstheme="majorHAnsi"/>
                <w:lang w:val="bg-BG"/>
              </w:rPr>
              <w:lastRenderedPageBreak/>
              <w:t>2026</w:t>
            </w:r>
            <w:r w:rsidR="00623D0F" w:rsidRPr="00354CE4">
              <w:rPr>
                <w:rFonts w:asciiTheme="majorHAnsi" w:hAnsiTheme="majorHAnsi" w:cstheme="majorHAnsi"/>
                <w:lang w:val="bg-BG"/>
              </w:rPr>
              <w:t xml:space="preserve"> г.</w:t>
            </w:r>
          </w:p>
        </w:tc>
        <w:tc>
          <w:tcPr>
            <w:tcW w:w="1842" w:type="dxa"/>
          </w:tcPr>
          <w:p w:rsidR="003F70D7" w:rsidRPr="00354CE4" w:rsidRDefault="006A12F2" w:rsidP="005F67FF">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bg-BG"/>
              </w:rPr>
            </w:pPr>
            <w:r w:rsidRPr="00354CE4">
              <w:rPr>
                <w:rFonts w:asciiTheme="majorHAnsi" w:hAnsiTheme="majorHAnsi" w:cstheme="majorHAnsi"/>
                <w:lang w:val="bg-BG"/>
              </w:rPr>
              <w:lastRenderedPageBreak/>
              <w:t>50</w:t>
            </w:r>
            <w:r w:rsidR="00CE421B" w:rsidRPr="00354CE4">
              <w:rPr>
                <w:rFonts w:asciiTheme="majorHAnsi" w:hAnsiTheme="majorHAnsi" w:cstheme="majorHAnsi"/>
                <w:lang w:val="bg-BG"/>
              </w:rPr>
              <w:t xml:space="preserve"> 000</w:t>
            </w:r>
          </w:p>
        </w:tc>
        <w:tc>
          <w:tcPr>
            <w:tcW w:w="3226" w:type="dxa"/>
          </w:tcPr>
          <w:p w:rsidR="003F70D7" w:rsidRPr="00354CE4" w:rsidRDefault="00A37E2E" w:rsidP="005F67FF">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bg-BG"/>
              </w:rPr>
            </w:pPr>
            <w:r w:rsidRPr="00354CE4">
              <w:rPr>
                <w:rFonts w:asciiTheme="majorHAnsi" w:hAnsiTheme="majorHAnsi" w:cstheme="majorHAnsi"/>
                <w:lang w:val="bg-BG"/>
              </w:rPr>
              <w:t xml:space="preserve">Оценка на степента на </w:t>
            </w:r>
            <w:r w:rsidRPr="00354CE4">
              <w:rPr>
                <w:rFonts w:asciiTheme="majorHAnsi" w:hAnsiTheme="majorHAnsi" w:cstheme="majorHAnsi"/>
                <w:lang w:val="bg-BG"/>
              </w:rPr>
              <w:lastRenderedPageBreak/>
              <w:t>напредъка по изпълнението и степен на постигане на резултати по отделните приоритети и специфични цели на ПМДРА 2021-2027 г</w:t>
            </w:r>
            <w:r w:rsidR="00623D0F" w:rsidRPr="00354CE4">
              <w:rPr>
                <w:rFonts w:asciiTheme="majorHAnsi" w:hAnsiTheme="majorHAnsi" w:cstheme="majorHAnsi"/>
                <w:lang w:val="bg-BG"/>
              </w:rPr>
              <w:t>.</w:t>
            </w:r>
          </w:p>
          <w:p w:rsidR="00A37E2E" w:rsidRDefault="00A37E2E" w:rsidP="005F67FF">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bg-BG"/>
              </w:rPr>
            </w:pPr>
            <w:r w:rsidRPr="00354CE4">
              <w:rPr>
                <w:rFonts w:asciiTheme="majorHAnsi" w:hAnsiTheme="majorHAnsi" w:cstheme="majorHAnsi"/>
                <w:lang w:val="bg-BG"/>
              </w:rPr>
              <w:t>Установяване на степента на използване на ресурсите, степента на постигне на резултатите и ефективността от изпълнението на програмираните дейности, тяхната уместност и съгласуваност по отношение на постигане на планираното социално-икономическо</w:t>
            </w:r>
            <w:r w:rsidR="00623D0F" w:rsidRPr="00354CE4">
              <w:rPr>
                <w:rFonts w:asciiTheme="majorHAnsi" w:hAnsiTheme="majorHAnsi" w:cstheme="majorHAnsi"/>
                <w:lang w:val="bg-BG"/>
              </w:rPr>
              <w:t xml:space="preserve"> </w:t>
            </w:r>
            <w:r w:rsidRPr="00354CE4">
              <w:rPr>
                <w:rFonts w:asciiTheme="majorHAnsi" w:hAnsiTheme="majorHAnsi" w:cstheme="majorHAnsi"/>
                <w:lang w:val="bg-BG"/>
              </w:rPr>
              <w:t>въздействие и неговото въздействие върху приоритетите на общността.</w:t>
            </w:r>
          </w:p>
          <w:p w:rsidR="001E535F" w:rsidRPr="00354CE4" w:rsidRDefault="000D5E7C" w:rsidP="000D5E7C">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bg-BG"/>
              </w:rPr>
            </w:pPr>
            <w:r w:rsidRPr="009F4BC3">
              <w:rPr>
                <w:rFonts w:asciiTheme="majorHAnsi" w:hAnsiTheme="majorHAnsi" w:cstheme="majorHAnsi"/>
                <w:lang w:val="bg-BG"/>
              </w:rPr>
              <w:t>Ще бъде оценен</w:t>
            </w:r>
            <w:r w:rsidR="001E535F" w:rsidRPr="009F4BC3">
              <w:rPr>
                <w:rFonts w:asciiTheme="majorHAnsi" w:hAnsiTheme="majorHAnsi" w:cstheme="majorHAnsi"/>
                <w:lang w:val="bg-BG"/>
              </w:rPr>
              <w:t xml:space="preserve"> принос</w:t>
            </w:r>
            <w:r w:rsidRPr="009F4BC3">
              <w:rPr>
                <w:rFonts w:asciiTheme="majorHAnsi" w:hAnsiTheme="majorHAnsi" w:cstheme="majorHAnsi"/>
                <w:lang w:val="bg-BG"/>
              </w:rPr>
              <w:t>а</w:t>
            </w:r>
            <w:r w:rsidR="001E535F" w:rsidRPr="009F4BC3">
              <w:rPr>
                <w:rFonts w:asciiTheme="majorHAnsi" w:hAnsiTheme="majorHAnsi" w:cstheme="majorHAnsi"/>
                <w:lang w:val="bg-BG"/>
              </w:rPr>
              <w:t xml:space="preserve"> към целите, свързани с изменението на климата.</w:t>
            </w:r>
          </w:p>
        </w:tc>
      </w:tr>
      <w:tr w:rsidR="004C29F2" w:rsidRPr="00354CE4" w:rsidTr="002704D7">
        <w:tc>
          <w:tcPr>
            <w:cnfStyle w:val="001000000000" w:firstRow="0" w:lastRow="0" w:firstColumn="1" w:lastColumn="0" w:oddVBand="0" w:evenVBand="0" w:oddHBand="0" w:evenHBand="0" w:firstRowFirstColumn="0" w:firstRowLastColumn="0" w:lastRowFirstColumn="0" w:lastRowLastColumn="0"/>
            <w:tcW w:w="460" w:type="dxa"/>
          </w:tcPr>
          <w:p w:rsidR="003F70D7" w:rsidRPr="00354CE4" w:rsidRDefault="001D6DAE" w:rsidP="005F67FF">
            <w:pPr>
              <w:rPr>
                <w:rFonts w:asciiTheme="majorHAnsi" w:hAnsiTheme="majorHAnsi" w:cstheme="majorHAnsi"/>
                <w:lang w:val="bg-BG"/>
              </w:rPr>
            </w:pPr>
            <w:r>
              <w:rPr>
                <w:rFonts w:asciiTheme="majorHAnsi" w:hAnsiTheme="majorHAnsi" w:cstheme="majorHAnsi"/>
                <w:lang w:val="bg-BG"/>
              </w:rPr>
              <w:lastRenderedPageBreak/>
              <w:t>6</w:t>
            </w:r>
            <w:r w:rsidR="00F55010" w:rsidRPr="00354CE4">
              <w:rPr>
                <w:rFonts w:asciiTheme="majorHAnsi" w:hAnsiTheme="majorHAnsi" w:cstheme="majorHAnsi"/>
                <w:lang w:val="bg-BG"/>
              </w:rPr>
              <w:t>.</w:t>
            </w:r>
          </w:p>
        </w:tc>
        <w:tc>
          <w:tcPr>
            <w:tcW w:w="2057" w:type="dxa"/>
          </w:tcPr>
          <w:p w:rsidR="003F70D7" w:rsidRPr="00354CE4" w:rsidRDefault="003F70D7" w:rsidP="00966A30">
            <w:pPr>
              <w:jc w:val="lef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bg-BG"/>
              </w:rPr>
            </w:pPr>
            <w:r w:rsidRPr="00354CE4">
              <w:rPr>
                <w:rFonts w:asciiTheme="majorHAnsi" w:hAnsiTheme="majorHAnsi" w:cstheme="majorHAnsi"/>
                <w:lang w:val="bg-BG"/>
              </w:rPr>
              <w:t xml:space="preserve">Анализ </w:t>
            </w:r>
            <w:r w:rsidR="005A4E17" w:rsidRPr="00354CE4">
              <w:rPr>
                <w:rFonts w:asciiTheme="majorHAnsi" w:hAnsiTheme="majorHAnsi" w:cstheme="majorHAnsi"/>
                <w:lang w:val="bg-BG"/>
              </w:rPr>
              <w:t xml:space="preserve">състоянието на </w:t>
            </w:r>
            <w:r w:rsidR="0097249A" w:rsidRPr="00354CE4">
              <w:rPr>
                <w:rFonts w:asciiTheme="majorHAnsi" w:hAnsiTheme="majorHAnsi" w:cstheme="majorHAnsi"/>
                <w:lang w:val="bg-BG"/>
              </w:rPr>
              <w:t>сектор „Рибарство“</w:t>
            </w:r>
            <w:r w:rsidR="005A4E17" w:rsidRPr="00354CE4">
              <w:rPr>
                <w:rFonts w:asciiTheme="majorHAnsi" w:hAnsiTheme="majorHAnsi" w:cstheme="majorHAnsi"/>
                <w:lang w:val="bg-BG"/>
              </w:rPr>
              <w:t xml:space="preserve"> в България </w:t>
            </w:r>
            <w:r w:rsidRPr="00354CE4">
              <w:rPr>
                <w:rFonts w:asciiTheme="majorHAnsi" w:hAnsiTheme="majorHAnsi" w:cstheme="majorHAnsi"/>
                <w:lang w:val="bg-BG"/>
              </w:rPr>
              <w:t xml:space="preserve">за </w:t>
            </w:r>
            <w:r w:rsidRPr="00354CE4">
              <w:rPr>
                <w:rFonts w:asciiTheme="majorHAnsi" w:hAnsiTheme="majorHAnsi" w:cstheme="majorHAnsi"/>
                <w:lang w:val="bg-BG"/>
              </w:rPr>
              <w:lastRenderedPageBreak/>
              <w:t>подготовка на програмния период 2028+</w:t>
            </w:r>
          </w:p>
        </w:tc>
        <w:tc>
          <w:tcPr>
            <w:tcW w:w="2525" w:type="dxa"/>
          </w:tcPr>
          <w:p w:rsidR="003F70D7" w:rsidRPr="00354CE4" w:rsidRDefault="00EE5F78" w:rsidP="005F67FF">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bg-BG"/>
              </w:rPr>
            </w:pPr>
            <w:r w:rsidRPr="00354CE4">
              <w:rPr>
                <w:rFonts w:asciiTheme="majorHAnsi" w:hAnsiTheme="majorHAnsi" w:cstheme="majorHAnsi"/>
                <w:lang w:val="bg-BG"/>
              </w:rPr>
              <w:lastRenderedPageBreak/>
              <w:t xml:space="preserve">Анализ на състояние на подсектори, тенденции за развитие и перспективи за сектора във връзка с </w:t>
            </w:r>
            <w:r w:rsidRPr="00354CE4">
              <w:rPr>
                <w:rFonts w:asciiTheme="majorHAnsi" w:hAnsiTheme="majorHAnsi" w:cstheme="majorHAnsi"/>
                <w:lang w:val="bg-BG"/>
              </w:rPr>
              <w:lastRenderedPageBreak/>
              <w:t>подготовката на програмния период след 2028 г., вкл. стопански риболов, аквакултури, преработка на риба и други водни организми, пазари и търговия с риба и рибни продукти, консумация на риба и рибни продукти</w:t>
            </w:r>
          </w:p>
        </w:tc>
        <w:tc>
          <w:tcPr>
            <w:tcW w:w="1616" w:type="dxa"/>
          </w:tcPr>
          <w:p w:rsidR="003F70D7" w:rsidRPr="00354CE4" w:rsidRDefault="003F70D7" w:rsidP="005F67FF">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bg-BG"/>
              </w:rPr>
            </w:pPr>
          </w:p>
        </w:tc>
        <w:tc>
          <w:tcPr>
            <w:tcW w:w="1417" w:type="dxa"/>
          </w:tcPr>
          <w:p w:rsidR="003F70D7" w:rsidRPr="00354CE4" w:rsidRDefault="003F70D7" w:rsidP="005F67FF">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bg-BG"/>
              </w:rPr>
            </w:pPr>
            <w:r w:rsidRPr="00354CE4">
              <w:rPr>
                <w:rFonts w:asciiTheme="majorHAnsi" w:hAnsiTheme="majorHAnsi" w:cstheme="majorHAnsi"/>
                <w:lang w:val="bg-BG"/>
              </w:rPr>
              <w:t>външни</w:t>
            </w:r>
          </w:p>
        </w:tc>
        <w:tc>
          <w:tcPr>
            <w:tcW w:w="1418" w:type="dxa"/>
          </w:tcPr>
          <w:p w:rsidR="003F70D7" w:rsidRPr="00354CE4" w:rsidRDefault="003F70D7" w:rsidP="005F67FF">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bg-BG"/>
              </w:rPr>
            </w:pPr>
            <w:r w:rsidRPr="00354CE4">
              <w:rPr>
                <w:rFonts w:asciiTheme="majorHAnsi" w:hAnsiTheme="majorHAnsi" w:cstheme="majorHAnsi"/>
                <w:lang w:val="bg-BG"/>
              </w:rPr>
              <w:t>до края на 2026</w:t>
            </w:r>
            <w:r w:rsidR="00623D0F" w:rsidRPr="00354CE4">
              <w:rPr>
                <w:rFonts w:asciiTheme="majorHAnsi" w:hAnsiTheme="majorHAnsi" w:cstheme="majorHAnsi"/>
                <w:lang w:val="bg-BG"/>
              </w:rPr>
              <w:t xml:space="preserve"> г.</w:t>
            </w:r>
          </w:p>
        </w:tc>
        <w:tc>
          <w:tcPr>
            <w:tcW w:w="1842" w:type="dxa"/>
          </w:tcPr>
          <w:p w:rsidR="003F70D7" w:rsidRPr="00354CE4" w:rsidRDefault="006A12F2" w:rsidP="00966A30">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bg-BG"/>
              </w:rPr>
            </w:pPr>
            <w:r w:rsidRPr="00354CE4">
              <w:rPr>
                <w:rFonts w:asciiTheme="majorHAnsi" w:hAnsiTheme="majorHAnsi" w:cstheme="majorHAnsi"/>
                <w:lang w:val="bg-BG"/>
              </w:rPr>
              <w:t>7</w:t>
            </w:r>
            <w:r w:rsidR="00CE421B" w:rsidRPr="00354CE4">
              <w:rPr>
                <w:rFonts w:asciiTheme="majorHAnsi" w:hAnsiTheme="majorHAnsi" w:cstheme="majorHAnsi"/>
                <w:lang w:val="bg-BG"/>
              </w:rPr>
              <w:t>5 000</w:t>
            </w:r>
          </w:p>
        </w:tc>
        <w:tc>
          <w:tcPr>
            <w:tcW w:w="3226" w:type="dxa"/>
          </w:tcPr>
          <w:p w:rsidR="00A37E2E" w:rsidRPr="00354CE4" w:rsidRDefault="00A37E2E" w:rsidP="005F67FF">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bg-BG"/>
              </w:rPr>
            </w:pPr>
            <w:r w:rsidRPr="00354CE4">
              <w:rPr>
                <w:rFonts w:asciiTheme="majorHAnsi" w:hAnsiTheme="majorHAnsi" w:cstheme="majorHAnsi"/>
                <w:lang w:val="bg-BG"/>
              </w:rPr>
              <w:t xml:space="preserve">Анализ на състоянието на сектор „Рибарство“ в България: състояние на подсектори, тенденции за развитие и перспективи за </w:t>
            </w:r>
            <w:r w:rsidRPr="00354CE4">
              <w:rPr>
                <w:rFonts w:asciiTheme="majorHAnsi" w:hAnsiTheme="majorHAnsi" w:cstheme="majorHAnsi"/>
                <w:lang w:val="bg-BG"/>
              </w:rPr>
              <w:lastRenderedPageBreak/>
              <w:t xml:space="preserve">сектора във връзка с подготовката на програмния период след 2028 г. </w:t>
            </w:r>
          </w:p>
          <w:p w:rsidR="00A37E2E" w:rsidRPr="00354CE4" w:rsidRDefault="00A37E2E" w:rsidP="005F67FF">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bg-BG"/>
              </w:rPr>
            </w:pPr>
            <w:r w:rsidRPr="00354CE4">
              <w:rPr>
                <w:rFonts w:asciiTheme="majorHAnsi" w:hAnsiTheme="majorHAnsi" w:cstheme="majorHAnsi"/>
                <w:lang w:val="bg-BG"/>
              </w:rPr>
              <w:t>Анализ и тенденции по отношение на заетост в сектора, роля на сектора в социалното развитие на регионите и включването на жените, екологични аспекти на сектора, вкл. влияние на климатичните промени, образование, достъп до финансови средства, промени в нормативната уредба в сектора и др.</w:t>
            </w:r>
          </w:p>
          <w:p w:rsidR="003F70D7" w:rsidRPr="00354CE4" w:rsidRDefault="00A37E2E" w:rsidP="005F67FF">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bg-BG"/>
              </w:rPr>
            </w:pPr>
            <w:r w:rsidRPr="00354CE4">
              <w:rPr>
                <w:rFonts w:asciiTheme="majorHAnsi" w:hAnsiTheme="majorHAnsi" w:cstheme="majorHAnsi"/>
                <w:lang w:val="bg-BG"/>
              </w:rPr>
              <w:t xml:space="preserve">Определена визия за развитието на </w:t>
            </w:r>
            <w:r w:rsidR="0097249A" w:rsidRPr="00354CE4">
              <w:rPr>
                <w:rFonts w:asciiTheme="majorHAnsi" w:hAnsiTheme="majorHAnsi" w:cstheme="majorHAnsi"/>
                <w:lang w:val="bg-BG"/>
              </w:rPr>
              <w:t>сектор „Рибарство“</w:t>
            </w:r>
            <w:r w:rsidRPr="00354CE4">
              <w:rPr>
                <w:rFonts w:asciiTheme="majorHAnsi" w:hAnsiTheme="majorHAnsi" w:cstheme="majorHAnsi"/>
                <w:lang w:val="bg-BG"/>
              </w:rPr>
              <w:t xml:space="preserve"> за следващия програмен период в контекста на Общата политика в областта на рибарството и конкретни стратегически насоки за действия, определят приоритети за сектора и неговите подсектори.</w:t>
            </w:r>
          </w:p>
        </w:tc>
      </w:tr>
      <w:tr w:rsidR="00477170" w:rsidRPr="00477170" w:rsidTr="002704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 w:type="dxa"/>
          </w:tcPr>
          <w:p w:rsidR="00477170" w:rsidRPr="001D6DAE" w:rsidRDefault="001D6DAE" w:rsidP="005F67FF">
            <w:pPr>
              <w:rPr>
                <w:rFonts w:asciiTheme="majorHAnsi" w:hAnsiTheme="majorHAnsi" w:cstheme="majorHAnsi"/>
                <w:lang w:val="bg-BG"/>
              </w:rPr>
            </w:pPr>
            <w:r>
              <w:rPr>
                <w:rFonts w:asciiTheme="majorHAnsi" w:hAnsiTheme="majorHAnsi" w:cstheme="majorHAnsi"/>
                <w:lang w:val="bg-BG"/>
              </w:rPr>
              <w:lastRenderedPageBreak/>
              <w:t>7.</w:t>
            </w:r>
          </w:p>
        </w:tc>
        <w:tc>
          <w:tcPr>
            <w:tcW w:w="2057" w:type="dxa"/>
          </w:tcPr>
          <w:p w:rsidR="00477170" w:rsidRPr="001D6DAE" w:rsidRDefault="00477170" w:rsidP="00966A30">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bg-BG"/>
              </w:rPr>
            </w:pPr>
            <w:r>
              <w:rPr>
                <w:rFonts w:asciiTheme="majorHAnsi" w:hAnsiTheme="majorHAnsi" w:cstheme="majorHAnsi"/>
                <w:lang w:val="bg-BG"/>
              </w:rPr>
              <w:t>Непланирани (</w:t>
            </w:r>
            <w:r>
              <w:rPr>
                <w:rFonts w:asciiTheme="majorHAnsi" w:hAnsiTheme="majorHAnsi" w:cstheme="majorHAnsi"/>
                <w:lang w:val="en-GB"/>
              </w:rPr>
              <w:t xml:space="preserve">ad </w:t>
            </w:r>
            <w:r>
              <w:rPr>
                <w:rFonts w:asciiTheme="majorHAnsi" w:hAnsiTheme="majorHAnsi" w:cstheme="majorHAnsi"/>
                <w:lang w:val="en-GB"/>
              </w:rPr>
              <w:lastRenderedPageBreak/>
              <w:t>hoc)</w:t>
            </w:r>
            <w:r w:rsidRPr="00477170">
              <w:rPr>
                <w:rFonts w:asciiTheme="majorHAnsi" w:hAnsiTheme="majorHAnsi" w:cstheme="majorHAnsi"/>
              </w:rPr>
              <w:t xml:space="preserve"> оценки</w:t>
            </w:r>
          </w:p>
        </w:tc>
        <w:tc>
          <w:tcPr>
            <w:tcW w:w="2525" w:type="dxa"/>
          </w:tcPr>
          <w:p w:rsidR="00477170" w:rsidRPr="001D6DAE" w:rsidRDefault="00477170" w:rsidP="005F67FF">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bg-BG"/>
              </w:rPr>
            </w:pPr>
            <w:r>
              <w:rPr>
                <w:rFonts w:asciiTheme="majorHAnsi" w:hAnsiTheme="majorHAnsi" w:cstheme="majorHAnsi"/>
                <w:lang w:val="bg-BG"/>
              </w:rPr>
              <w:lastRenderedPageBreak/>
              <w:t xml:space="preserve">Изготвяне на оценки по спонтанно възникнали </w:t>
            </w:r>
            <w:r>
              <w:rPr>
                <w:rFonts w:asciiTheme="majorHAnsi" w:hAnsiTheme="majorHAnsi" w:cstheme="majorHAnsi"/>
                <w:lang w:val="bg-BG"/>
              </w:rPr>
              <w:lastRenderedPageBreak/>
              <w:t>обстоятелства и/или непредвидени явления</w:t>
            </w:r>
          </w:p>
        </w:tc>
        <w:tc>
          <w:tcPr>
            <w:tcW w:w="1616" w:type="dxa"/>
          </w:tcPr>
          <w:p w:rsidR="00477170" w:rsidRPr="001D6DAE" w:rsidRDefault="00477170" w:rsidP="005F67FF">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bg-BG"/>
              </w:rPr>
            </w:pPr>
          </w:p>
        </w:tc>
        <w:tc>
          <w:tcPr>
            <w:tcW w:w="1417" w:type="dxa"/>
          </w:tcPr>
          <w:p w:rsidR="00477170" w:rsidRPr="001D6DAE" w:rsidRDefault="00477170" w:rsidP="005F67FF">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bg-BG"/>
              </w:rPr>
            </w:pPr>
          </w:p>
        </w:tc>
        <w:tc>
          <w:tcPr>
            <w:tcW w:w="1418" w:type="dxa"/>
          </w:tcPr>
          <w:p w:rsidR="00477170" w:rsidRPr="001D6DAE" w:rsidRDefault="00477170" w:rsidP="005F67FF">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bg-BG"/>
              </w:rPr>
            </w:pPr>
          </w:p>
        </w:tc>
        <w:tc>
          <w:tcPr>
            <w:tcW w:w="1842" w:type="dxa"/>
          </w:tcPr>
          <w:p w:rsidR="00477170" w:rsidRPr="001D6DAE" w:rsidRDefault="0069306E" w:rsidP="00966A30">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bg-BG"/>
              </w:rPr>
            </w:pPr>
            <w:r>
              <w:rPr>
                <w:rFonts w:asciiTheme="majorHAnsi" w:hAnsiTheme="majorHAnsi" w:cstheme="majorHAnsi"/>
                <w:lang w:val="bg-BG"/>
              </w:rPr>
              <w:t>20 000</w:t>
            </w:r>
          </w:p>
        </w:tc>
        <w:tc>
          <w:tcPr>
            <w:tcW w:w="3226" w:type="dxa"/>
          </w:tcPr>
          <w:p w:rsidR="00477170" w:rsidRPr="001D6DAE" w:rsidRDefault="001D6DAE" w:rsidP="005F67FF">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bg-BG"/>
              </w:rPr>
            </w:pPr>
            <w:r>
              <w:rPr>
                <w:rFonts w:asciiTheme="majorHAnsi" w:hAnsiTheme="majorHAnsi" w:cstheme="majorHAnsi"/>
                <w:lang w:val="bg-BG"/>
              </w:rPr>
              <w:t xml:space="preserve">При възникване в съответствие с конкретните </w:t>
            </w:r>
            <w:r>
              <w:rPr>
                <w:rFonts w:asciiTheme="majorHAnsi" w:hAnsiTheme="majorHAnsi" w:cstheme="majorHAnsi"/>
                <w:lang w:val="bg-BG"/>
              </w:rPr>
              <w:lastRenderedPageBreak/>
              <w:t>обстоятелства или казуси</w:t>
            </w:r>
          </w:p>
        </w:tc>
      </w:tr>
      <w:tr w:rsidR="004C29F2" w:rsidRPr="00354CE4" w:rsidTr="002704D7">
        <w:tc>
          <w:tcPr>
            <w:cnfStyle w:val="001000000000" w:firstRow="0" w:lastRow="0" w:firstColumn="1" w:lastColumn="0" w:oddVBand="0" w:evenVBand="0" w:oddHBand="0" w:evenHBand="0" w:firstRowFirstColumn="0" w:firstRowLastColumn="0" w:lastRowFirstColumn="0" w:lastRowLastColumn="0"/>
            <w:tcW w:w="460" w:type="dxa"/>
          </w:tcPr>
          <w:p w:rsidR="00B410D2" w:rsidRPr="00354CE4" w:rsidRDefault="001D6DAE" w:rsidP="005F67FF">
            <w:pPr>
              <w:rPr>
                <w:rFonts w:asciiTheme="majorHAnsi" w:hAnsiTheme="majorHAnsi" w:cstheme="majorHAnsi"/>
                <w:lang w:val="bg-BG"/>
              </w:rPr>
            </w:pPr>
            <w:r>
              <w:rPr>
                <w:rFonts w:asciiTheme="majorHAnsi" w:hAnsiTheme="majorHAnsi" w:cstheme="majorHAnsi"/>
                <w:lang w:val="bg-BG"/>
              </w:rPr>
              <w:lastRenderedPageBreak/>
              <w:t>8</w:t>
            </w:r>
            <w:r w:rsidR="00B410D2" w:rsidRPr="00354CE4">
              <w:rPr>
                <w:rFonts w:asciiTheme="majorHAnsi" w:hAnsiTheme="majorHAnsi" w:cstheme="majorHAnsi"/>
                <w:lang w:val="bg-BG"/>
              </w:rPr>
              <w:t>.</w:t>
            </w:r>
          </w:p>
        </w:tc>
        <w:tc>
          <w:tcPr>
            <w:tcW w:w="2057" w:type="dxa"/>
          </w:tcPr>
          <w:p w:rsidR="00B410D2" w:rsidRPr="00354CE4" w:rsidRDefault="00B410D2" w:rsidP="00966A30">
            <w:pPr>
              <w:jc w:val="lef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bg-BG"/>
              </w:rPr>
            </w:pPr>
            <w:r w:rsidRPr="00354CE4">
              <w:rPr>
                <w:rFonts w:asciiTheme="majorHAnsi" w:hAnsiTheme="majorHAnsi" w:cstheme="majorHAnsi"/>
                <w:lang w:val="bg-BG"/>
              </w:rPr>
              <w:t>Изготвяне на Многогодишен национален стратегически план за аквакултурите в България като част от подготовка на програмния период 2028+</w:t>
            </w:r>
          </w:p>
        </w:tc>
        <w:tc>
          <w:tcPr>
            <w:tcW w:w="2525" w:type="dxa"/>
          </w:tcPr>
          <w:p w:rsidR="00B410D2" w:rsidRPr="00354CE4" w:rsidRDefault="00081522" w:rsidP="005F67FF">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bg-BG"/>
              </w:rPr>
            </w:pPr>
            <w:r w:rsidRPr="00354CE4">
              <w:rPr>
                <w:rFonts w:asciiTheme="majorHAnsi" w:hAnsiTheme="majorHAnsi" w:cstheme="majorHAnsi"/>
                <w:lang w:val="bg-BG"/>
              </w:rPr>
              <w:t>Изготвяне на визия за развитието на аквакултурите през следващият програмен период 2028+, разработване на мерки за подобряване на конкурентоспособността и прилагане на действия за подкрепа съобразно приоритетите на ЕС и предвижданията на ЕК за програмния период.</w:t>
            </w:r>
          </w:p>
        </w:tc>
        <w:tc>
          <w:tcPr>
            <w:tcW w:w="1616" w:type="dxa"/>
          </w:tcPr>
          <w:p w:rsidR="00B410D2" w:rsidRPr="00354CE4" w:rsidRDefault="00B410D2" w:rsidP="005F67FF">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bg-BG"/>
              </w:rPr>
            </w:pPr>
          </w:p>
        </w:tc>
        <w:tc>
          <w:tcPr>
            <w:tcW w:w="1417" w:type="dxa"/>
          </w:tcPr>
          <w:p w:rsidR="00B410D2" w:rsidRPr="00354CE4" w:rsidRDefault="00B410D2" w:rsidP="005F67FF">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bg-BG"/>
              </w:rPr>
            </w:pPr>
            <w:r w:rsidRPr="00354CE4">
              <w:rPr>
                <w:rFonts w:asciiTheme="majorHAnsi" w:hAnsiTheme="majorHAnsi" w:cstheme="majorHAnsi"/>
                <w:lang w:val="bg-BG"/>
              </w:rPr>
              <w:t>външни</w:t>
            </w:r>
          </w:p>
        </w:tc>
        <w:tc>
          <w:tcPr>
            <w:tcW w:w="1418" w:type="dxa"/>
          </w:tcPr>
          <w:p w:rsidR="00B410D2" w:rsidRPr="00354CE4" w:rsidRDefault="00B410D2" w:rsidP="005F67FF">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bg-BG"/>
              </w:rPr>
            </w:pPr>
            <w:r w:rsidRPr="00354CE4">
              <w:rPr>
                <w:rFonts w:asciiTheme="majorHAnsi" w:hAnsiTheme="majorHAnsi" w:cstheme="majorHAnsi"/>
                <w:lang w:val="bg-BG"/>
              </w:rPr>
              <w:t>до края на 2026</w:t>
            </w:r>
            <w:r w:rsidR="00623D0F" w:rsidRPr="00354CE4">
              <w:rPr>
                <w:rFonts w:asciiTheme="majorHAnsi" w:hAnsiTheme="majorHAnsi" w:cstheme="majorHAnsi"/>
                <w:lang w:val="bg-BG"/>
              </w:rPr>
              <w:t xml:space="preserve"> г.</w:t>
            </w:r>
          </w:p>
        </w:tc>
        <w:tc>
          <w:tcPr>
            <w:tcW w:w="1842" w:type="dxa"/>
          </w:tcPr>
          <w:p w:rsidR="00B410D2" w:rsidRPr="00354CE4" w:rsidRDefault="006A12F2" w:rsidP="00966A30">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bg-BG"/>
              </w:rPr>
            </w:pPr>
            <w:r w:rsidRPr="00354CE4">
              <w:rPr>
                <w:rFonts w:asciiTheme="majorHAnsi" w:hAnsiTheme="majorHAnsi" w:cstheme="majorHAnsi"/>
                <w:lang w:val="bg-BG"/>
              </w:rPr>
              <w:t>55</w:t>
            </w:r>
            <w:r w:rsidR="00CE421B" w:rsidRPr="00354CE4">
              <w:rPr>
                <w:rFonts w:asciiTheme="majorHAnsi" w:hAnsiTheme="majorHAnsi" w:cstheme="majorHAnsi"/>
                <w:lang w:val="bg-BG"/>
              </w:rPr>
              <w:t> 000</w:t>
            </w:r>
          </w:p>
        </w:tc>
        <w:tc>
          <w:tcPr>
            <w:tcW w:w="3226" w:type="dxa"/>
          </w:tcPr>
          <w:p w:rsidR="00B410D2" w:rsidRPr="00354CE4" w:rsidRDefault="00B410D2" w:rsidP="005F67FF">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bg-BG"/>
              </w:rPr>
            </w:pPr>
            <w:r w:rsidRPr="00354CE4">
              <w:rPr>
                <w:rFonts w:asciiTheme="majorHAnsi" w:hAnsiTheme="majorHAnsi" w:cstheme="majorHAnsi"/>
                <w:lang w:val="bg-BG"/>
              </w:rPr>
              <w:t>Проследяване и анализ на състоянието на производството на аквакултури, идентифициране на тенденциите за развитие и очертаване на перспективите за отглеждането и развъждането на риба и други водни организми.</w:t>
            </w:r>
          </w:p>
          <w:p w:rsidR="00B410D2" w:rsidRPr="00354CE4" w:rsidRDefault="00B410D2" w:rsidP="005F67FF">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bg-BG"/>
              </w:rPr>
            </w:pPr>
            <w:r w:rsidRPr="00354CE4">
              <w:rPr>
                <w:rFonts w:asciiTheme="majorHAnsi" w:hAnsiTheme="majorHAnsi" w:cstheme="majorHAnsi"/>
                <w:lang w:val="bg-BG"/>
              </w:rPr>
              <w:t>Анализът следва да отчита оценка на влиянието на програмните периоди 2014-2020 и 2021-2027</w:t>
            </w:r>
            <w:r w:rsidR="00623D0F" w:rsidRPr="00354CE4">
              <w:rPr>
                <w:rFonts w:asciiTheme="majorHAnsi" w:hAnsiTheme="majorHAnsi" w:cstheme="majorHAnsi"/>
                <w:lang w:val="bg-BG"/>
              </w:rPr>
              <w:t xml:space="preserve"> г.</w:t>
            </w:r>
            <w:r w:rsidRPr="00354CE4">
              <w:rPr>
                <w:rFonts w:asciiTheme="majorHAnsi" w:hAnsiTheme="majorHAnsi" w:cstheme="majorHAnsi"/>
                <w:lang w:val="bg-BG"/>
              </w:rPr>
              <w:t xml:space="preserve"> върху развитието на аквакултурите в България, вкл. да оцени степента устойчивост на развитието на подсектор </w:t>
            </w:r>
            <w:r w:rsidR="00623D0F" w:rsidRPr="00354CE4">
              <w:rPr>
                <w:rFonts w:asciiTheme="majorHAnsi" w:hAnsiTheme="majorHAnsi" w:cstheme="majorHAnsi"/>
                <w:lang w:val="bg-BG"/>
              </w:rPr>
              <w:t>„</w:t>
            </w:r>
            <w:r w:rsidRPr="00354CE4">
              <w:rPr>
                <w:rFonts w:asciiTheme="majorHAnsi" w:hAnsiTheme="majorHAnsi" w:cstheme="majorHAnsi"/>
                <w:lang w:val="bg-BG"/>
              </w:rPr>
              <w:t>Аквакултури</w:t>
            </w:r>
            <w:r w:rsidR="00623D0F" w:rsidRPr="00354CE4">
              <w:rPr>
                <w:rFonts w:asciiTheme="majorHAnsi" w:hAnsiTheme="majorHAnsi" w:cstheme="majorHAnsi"/>
                <w:lang w:val="bg-BG"/>
              </w:rPr>
              <w:t>“</w:t>
            </w:r>
            <w:r w:rsidRPr="00354CE4">
              <w:rPr>
                <w:rFonts w:asciiTheme="majorHAnsi" w:hAnsiTheme="majorHAnsi" w:cstheme="majorHAnsi"/>
                <w:lang w:val="bg-BG"/>
              </w:rPr>
              <w:t xml:space="preserve">, състояние и възможности за подкрепа на конкурентоспособността и насърчаване на икономическата активност в подсектора, степента на </w:t>
            </w:r>
            <w:r w:rsidRPr="00354CE4">
              <w:rPr>
                <w:rFonts w:asciiTheme="majorHAnsi" w:hAnsiTheme="majorHAnsi" w:cstheme="majorHAnsi"/>
                <w:lang w:val="bg-BG"/>
              </w:rPr>
              <w:lastRenderedPageBreak/>
              <w:t>прилагане и предизвикан ефект на дейности за подкрепа за развойната дейност, прилагане на екологосъобразни технологии и иновации.</w:t>
            </w:r>
          </w:p>
        </w:tc>
      </w:tr>
      <w:tr w:rsidR="004C29F2" w:rsidRPr="00354CE4" w:rsidTr="002704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 w:type="dxa"/>
          </w:tcPr>
          <w:p w:rsidR="00B410D2" w:rsidRPr="00354CE4" w:rsidRDefault="001D6DAE" w:rsidP="005F67FF">
            <w:pPr>
              <w:rPr>
                <w:rFonts w:asciiTheme="majorHAnsi" w:hAnsiTheme="majorHAnsi" w:cstheme="majorHAnsi"/>
                <w:lang w:val="bg-BG"/>
              </w:rPr>
            </w:pPr>
            <w:r>
              <w:rPr>
                <w:rFonts w:asciiTheme="majorHAnsi" w:hAnsiTheme="majorHAnsi" w:cstheme="majorHAnsi"/>
                <w:lang w:val="bg-BG"/>
              </w:rPr>
              <w:lastRenderedPageBreak/>
              <w:t>9</w:t>
            </w:r>
            <w:r w:rsidR="00B410D2" w:rsidRPr="00354CE4">
              <w:rPr>
                <w:rFonts w:asciiTheme="majorHAnsi" w:hAnsiTheme="majorHAnsi" w:cstheme="majorHAnsi"/>
                <w:lang w:val="bg-BG"/>
              </w:rPr>
              <w:t>.</w:t>
            </w:r>
          </w:p>
        </w:tc>
        <w:tc>
          <w:tcPr>
            <w:tcW w:w="2057" w:type="dxa"/>
          </w:tcPr>
          <w:p w:rsidR="00B410D2" w:rsidRPr="00354CE4" w:rsidRDefault="00B410D2" w:rsidP="005F67FF">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bg-BG"/>
              </w:rPr>
            </w:pPr>
            <w:r w:rsidRPr="00354CE4">
              <w:rPr>
                <w:rFonts w:asciiTheme="majorHAnsi" w:hAnsiTheme="majorHAnsi" w:cstheme="majorHAnsi"/>
                <w:lang w:val="bg-BG"/>
              </w:rPr>
              <w:t>Предварителна оценка и стратегическа оценка на околната среда на Програма за програмен период 2028+</w:t>
            </w:r>
          </w:p>
        </w:tc>
        <w:tc>
          <w:tcPr>
            <w:tcW w:w="2525" w:type="dxa"/>
          </w:tcPr>
          <w:p w:rsidR="00B410D2" w:rsidRPr="00354CE4" w:rsidRDefault="00B410D2" w:rsidP="005F67FF">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bg-BG"/>
              </w:rPr>
            </w:pPr>
          </w:p>
        </w:tc>
        <w:tc>
          <w:tcPr>
            <w:tcW w:w="1616" w:type="dxa"/>
          </w:tcPr>
          <w:p w:rsidR="00B410D2" w:rsidRPr="00354CE4" w:rsidRDefault="00B410D2" w:rsidP="005F67FF">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bg-BG"/>
              </w:rPr>
            </w:pPr>
          </w:p>
        </w:tc>
        <w:tc>
          <w:tcPr>
            <w:tcW w:w="1417" w:type="dxa"/>
          </w:tcPr>
          <w:p w:rsidR="00B410D2" w:rsidRPr="00354CE4" w:rsidRDefault="00B410D2" w:rsidP="005F67FF">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bg-BG"/>
              </w:rPr>
            </w:pPr>
            <w:r w:rsidRPr="00354CE4">
              <w:rPr>
                <w:rFonts w:asciiTheme="majorHAnsi" w:hAnsiTheme="majorHAnsi" w:cstheme="majorHAnsi"/>
                <w:lang w:val="bg-BG"/>
              </w:rPr>
              <w:t>външни</w:t>
            </w:r>
          </w:p>
        </w:tc>
        <w:tc>
          <w:tcPr>
            <w:tcW w:w="1418" w:type="dxa"/>
          </w:tcPr>
          <w:p w:rsidR="00B410D2" w:rsidRPr="00354CE4" w:rsidRDefault="00B410D2" w:rsidP="005F67FF">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bg-BG"/>
              </w:rPr>
            </w:pPr>
            <w:r w:rsidRPr="00354CE4">
              <w:rPr>
                <w:rFonts w:asciiTheme="majorHAnsi" w:hAnsiTheme="majorHAnsi" w:cstheme="majorHAnsi"/>
                <w:lang w:val="bg-BG"/>
              </w:rPr>
              <w:t>До края на 2027</w:t>
            </w:r>
            <w:r w:rsidR="00623D0F" w:rsidRPr="00354CE4">
              <w:rPr>
                <w:rFonts w:asciiTheme="majorHAnsi" w:hAnsiTheme="majorHAnsi" w:cstheme="majorHAnsi"/>
                <w:lang w:val="bg-BG"/>
              </w:rPr>
              <w:t xml:space="preserve"> г.</w:t>
            </w:r>
          </w:p>
        </w:tc>
        <w:tc>
          <w:tcPr>
            <w:tcW w:w="1842" w:type="dxa"/>
          </w:tcPr>
          <w:p w:rsidR="00B410D2" w:rsidRPr="00354CE4" w:rsidRDefault="006A12F2" w:rsidP="00966A30">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bg-BG"/>
              </w:rPr>
            </w:pPr>
            <w:r w:rsidRPr="00354CE4">
              <w:rPr>
                <w:rFonts w:asciiTheme="majorHAnsi" w:hAnsiTheme="majorHAnsi" w:cstheme="majorHAnsi"/>
                <w:lang w:val="bg-BG"/>
              </w:rPr>
              <w:t>3</w:t>
            </w:r>
            <w:r w:rsidR="00CE421B" w:rsidRPr="00354CE4">
              <w:rPr>
                <w:rFonts w:asciiTheme="majorHAnsi" w:hAnsiTheme="majorHAnsi" w:cstheme="majorHAnsi"/>
                <w:lang w:val="bg-BG"/>
              </w:rPr>
              <w:t>0 000</w:t>
            </w:r>
          </w:p>
        </w:tc>
        <w:tc>
          <w:tcPr>
            <w:tcW w:w="3226" w:type="dxa"/>
          </w:tcPr>
          <w:p w:rsidR="00B410D2" w:rsidRPr="00354CE4" w:rsidRDefault="00B410D2" w:rsidP="005F67FF">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bg-BG"/>
              </w:rPr>
            </w:pPr>
            <w:r w:rsidRPr="00354CE4">
              <w:rPr>
                <w:rFonts w:asciiTheme="majorHAnsi" w:hAnsiTheme="majorHAnsi" w:cstheme="majorHAnsi"/>
                <w:lang w:val="bg-BG"/>
              </w:rPr>
              <w:t>Предварителната оценка следва да подобри качеството и процеса на подготовка на Програмата за програмен период 28+ и да даде увереност, че целите и задачите, поставени в нея могат да бъдат постигнати.</w:t>
            </w:r>
          </w:p>
        </w:tc>
      </w:tr>
      <w:tr w:rsidR="004C29F2" w:rsidRPr="00354CE4" w:rsidTr="002704D7">
        <w:tc>
          <w:tcPr>
            <w:cnfStyle w:val="001000000000" w:firstRow="0" w:lastRow="0" w:firstColumn="1" w:lastColumn="0" w:oddVBand="0" w:evenVBand="0" w:oddHBand="0" w:evenHBand="0" w:firstRowFirstColumn="0" w:firstRowLastColumn="0" w:lastRowFirstColumn="0" w:lastRowLastColumn="0"/>
            <w:tcW w:w="460" w:type="dxa"/>
          </w:tcPr>
          <w:p w:rsidR="00B410D2" w:rsidRPr="00354CE4" w:rsidRDefault="001D6DAE" w:rsidP="005F67FF">
            <w:pPr>
              <w:rPr>
                <w:rFonts w:asciiTheme="majorHAnsi" w:hAnsiTheme="majorHAnsi" w:cstheme="majorHAnsi"/>
                <w:lang w:val="bg-BG"/>
              </w:rPr>
            </w:pPr>
            <w:r>
              <w:rPr>
                <w:rFonts w:asciiTheme="majorHAnsi" w:hAnsiTheme="majorHAnsi" w:cstheme="majorHAnsi"/>
                <w:lang w:val="bg-BG"/>
              </w:rPr>
              <w:t>10</w:t>
            </w:r>
            <w:r w:rsidR="00B410D2" w:rsidRPr="00354CE4">
              <w:rPr>
                <w:rFonts w:asciiTheme="majorHAnsi" w:hAnsiTheme="majorHAnsi" w:cstheme="majorHAnsi"/>
                <w:lang w:val="bg-BG"/>
              </w:rPr>
              <w:t>.</w:t>
            </w:r>
          </w:p>
        </w:tc>
        <w:tc>
          <w:tcPr>
            <w:tcW w:w="2057" w:type="dxa"/>
          </w:tcPr>
          <w:p w:rsidR="00B410D2" w:rsidRPr="00354CE4" w:rsidRDefault="00B410D2" w:rsidP="001C1836">
            <w:pPr>
              <w:jc w:val="lef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bg-BG"/>
              </w:rPr>
            </w:pPr>
            <w:r w:rsidRPr="00354CE4">
              <w:rPr>
                <w:rFonts w:asciiTheme="majorHAnsi" w:hAnsiTheme="majorHAnsi" w:cstheme="majorHAnsi"/>
                <w:lang w:val="bg-BG"/>
              </w:rPr>
              <w:t xml:space="preserve">Оценка на въздействието на ПМДРА 2021-2027 г. </w:t>
            </w:r>
          </w:p>
        </w:tc>
        <w:tc>
          <w:tcPr>
            <w:tcW w:w="2525" w:type="dxa"/>
          </w:tcPr>
          <w:p w:rsidR="00B410D2" w:rsidRPr="00354CE4" w:rsidRDefault="00B410D2" w:rsidP="005F67FF">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bg-BG"/>
              </w:rPr>
            </w:pPr>
            <w:r w:rsidRPr="00354CE4">
              <w:rPr>
                <w:rFonts w:asciiTheme="majorHAnsi" w:hAnsiTheme="majorHAnsi" w:cstheme="majorHAnsi"/>
                <w:lang w:val="bg-BG"/>
              </w:rPr>
              <w:t>Чл.44, ал.2 от РОР</w:t>
            </w:r>
          </w:p>
        </w:tc>
        <w:tc>
          <w:tcPr>
            <w:tcW w:w="1616" w:type="dxa"/>
          </w:tcPr>
          <w:p w:rsidR="00B410D2" w:rsidRPr="00354CE4" w:rsidRDefault="00B410D2" w:rsidP="005F67FF">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bg-BG"/>
              </w:rPr>
            </w:pPr>
            <w:r w:rsidRPr="00354CE4">
              <w:rPr>
                <w:rFonts w:asciiTheme="majorHAnsi" w:hAnsiTheme="majorHAnsi" w:cstheme="majorHAnsi"/>
                <w:lang w:val="bg-BG"/>
              </w:rPr>
              <w:t>ефективност, ефикасност, съгласуваност и добавена стойност</w:t>
            </w:r>
            <w:r w:rsidR="00623D0F" w:rsidRPr="00354CE4">
              <w:rPr>
                <w:rFonts w:asciiTheme="majorHAnsi" w:hAnsiTheme="majorHAnsi" w:cstheme="majorHAnsi"/>
                <w:lang w:val="bg-BG"/>
              </w:rPr>
              <w:t xml:space="preserve"> от Съюза</w:t>
            </w:r>
          </w:p>
        </w:tc>
        <w:tc>
          <w:tcPr>
            <w:tcW w:w="1417" w:type="dxa"/>
          </w:tcPr>
          <w:p w:rsidR="00B410D2" w:rsidRPr="00354CE4" w:rsidRDefault="00B410D2" w:rsidP="005F67FF">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bg-BG"/>
              </w:rPr>
            </w:pPr>
            <w:r w:rsidRPr="00354CE4">
              <w:rPr>
                <w:rFonts w:asciiTheme="majorHAnsi" w:hAnsiTheme="majorHAnsi" w:cstheme="majorHAnsi"/>
                <w:lang w:val="bg-BG"/>
              </w:rPr>
              <w:t>външни</w:t>
            </w:r>
          </w:p>
        </w:tc>
        <w:tc>
          <w:tcPr>
            <w:tcW w:w="1418" w:type="dxa"/>
          </w:tcPr>
          <w:p w:rsidR="00B410D2" w:rsidRPr="00354CE4" w:rsidRDefault="00B410D2" w:rsidP="005F67FF">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bg-BG"/>
              </w:rPr>
            </w:pPr>
            <w:r w:rsidRPr="00354CE4">
              <w:rPr>
                <w:rFonts w:asciiTheme="majorHAnsi" w:hAnsiTheme="majorHAnsi" w:cstheme="majorHAnsi"/>
                <w:lang w:val="bg-BG"/>
              </w:rPr>
              <w:t>До 30 юни 2029</w:t>
            </w:r>
            <w:r w:rsidR="00623D0F" w:rsidRPr="00354CE4">
              <w:rPr>
                <w:rFonts w:asciiTheme="majorHAnsi" w:hAnsiTheme="majorHAnsi" w:cstheme="majorHAnsi"/>
                <w:lang w:val="bg-BG"/>
              </w:rPr>
              <w:t xml:space="preserve"> г.</w:t>
            </w:r>
          </w:p>
        </w:tc>
        <w:tc>
          <w:tcPr>
            <w:tcW w:w="1842" w:type="dxa"/>
          </w:tcPr>
          <w:p w:rsidR="00B410D2" w:rsidRPr="00354CE4" w:rsidRDefault="006A12F2" w:rsidP="00966A30">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bg-BG"/>
              </w:rPr>
            </w:pPr>
            <w:r w:rsidRPr="00354CE4">
              <w:rPr>
                <w:rFonts w:asciiTheme="majorHAnsi" w:hAnsiTheme="majorHAnsi" w:cstheme="majorHAnsi"/>
                <w:lang w:val="bg-BG"/>
              </w:rPr>
              <w:t>4</w:t>
            </w:r>
            <w:r w:rsidR="00CE421B" w:rsidRPr="00354CE4">
              <w:rPr>
                <w:rFonts w:asciiTheme="majorHAnsi" w:hAnsiTheme="majorHAnsi" w:cstheme="majorHAnsi"/>
                <w:lang w:val="bg-BG"/>
              </w:rPr>
              <w:t>5 000</w:t>
            </w:r>
          </w:p>
        </w:tc>
        <w:tc>
          <w:tcPr>
            <w:tcW w:w="3226" w:type="dxa"/>
          </w:tcPr>
          <w:p w:rsidR="00B410D2" w:rsidRPr="00354CE4" w:rsidRDefault="00B410D2" w:rsidP="005F67FF">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bg-BG"/>
              </w:rPr>
            </w:pPr>
            <w:r w:rsidRPr="00354CE4">
              <w:rPr>
                <w:rFonts w:asciiTheme="majorHAnsi" w:hAnsiTheme="majorHAnsi" w:cstheme="majorHAnsi"/>
                <w:lang w:val="bg-BG"/>
              </w:rPr>
              <w:t>Предметът на оценката е в съответствие с чл. 44 (2) на Регламент (ЕС) 2021/1060, съгласно който до 30 юни 2029 г. се прави оценка на въздействието на всяка програма.</w:t>
            </w:r>
          </w:p>
          <w:p w:rsidR="00B410D2" w:rsidRPr="00354CE4" w:rsidRDefault="00B410D2" w:rsidP="005F67FF">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bg-BG"/>
              </w:rPr>
            </w:pPr>
            <w:r w:rsidRPr="00354CE4">
              <w:rPr>
                <w:rFonts w:asciiTheme="majorHAnsi" w:hAnsiTheme="majorHAnsi" w:cstheme="majorHAnsi"/>
                <w:lang w:val="bg-BG"/>
              </w:rPr>
              <w:t xml:space="preserve">Съгласно Работния документ на Комисията (SWD(2021) 198 final) оценката на въздействието трябва да анализира не само дали интервенцията </w:t>
            </w:r>
            <w:r w:rsidRPr="00354CE4">
              <w:rPr>
                <w:rFonts w:asciiTheme="majorHAnsi" w:hAnsiTheme="majorHAnsi" w:cstheme="majorHAnsi"/>
                <w:lang w:val="bg-BG"/>
              </w:rPr>
              <w:lastRenderedPageBreak/>
              <w:t>има ефект – положителен или отрицателен – и колко голям е той, но също така и как се поражда този ефект, доколко ефектът е бил планиран и дали има или не нежелани ефекти и колко значими са те.</w:t>
            </w:r>
          </w:p>
        </w:tc>
      </w:tr>
      <w:bookmarkEnd w:id="57"/>
    </w:tbl>
    <w:p w:rsidR="003F70D7" w:rsidRPr="00354CE4" w:rsidRDefault="003F70D7" w:rsidP="005F67FF"/>
    <w:p w:rsidR="003F70D7" w:rsidRPr="00354CE4" w:rsidRDefault="003F70D7" w:rsidP="005F67FF">
      <w:pPr>
        <w:sectPr w:rsidR="003F70D7" w:rsidRPr="00354CE4" w:rsidSect="003F70D7">
          <w:pgSz w:w="16839" w:h="11907" w:orient="landscape" w:code="9"/>
          <w:pgMar w:top="1134" w:right="1134" w:bottom="1134" w:left="1134" w:header="708" w:footer="708" w:gutter="0"/>
          <w:cols w:space="708"/>
          <w:titlePg/>
          <w:docGrid w:linePitch="360"/>
        </w:sectPr>
      </w:pPr>
    </w:p>
    <w:p w:rsidR="003F70D7" w:rsidRPr="00F5609C" w:rsidRDefault="003F70D7" w:rsidP="007E47C9"/>
    <w:sectPr w:rsidR="003F70D7" w:rsidRPr="00F5609C" w:rsidSect="000E0B39">
      <w:pgSz w:w="11907" w:h="16839" w:code="9"/>
      <w:pgMar w:top="1134" w:right="1134"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5DA3" w:rsidRPr="00354CE4" w:rsidRDefault="003D5DA3" w:rsidP="005F67FF">
      <w:r w:rsidRPr="00354CE4">
        <w:separator/>
      </w:r>
    </w:p>
  </w:endnote>
  <w:endnote w:type="continuationSeparator" w:id="0">
    <w:p w:rsidR="003D5DA3" w:rsidRPr="00354CE4" w:rsidRDefault="003D5DA3" w:rsidP="005F67FF">
      <w:r w:rsidRPr="00354CE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Garamond">
    <w:panose1 w:val="020204040303010108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WenQuanYi Micro Hei">
    <w:charset w:val="01"/>
    <w:family w:val="auto"/>
    <w:pitch w:val="variable"/>
  </w:font>
  <w:font w:name="FreeSans">
    <w:altName w:val="Calibri"/>
    <w:charset w:val="01"/>
    <w:family w:val="swiss"/>
    <w:pitch w:val="default"/>
  </w:font>
  <w:font w:name="Arial">
    <w:panose1 w:val="020B0604020202020204"/>
    <w:charset w:val="CC"/>
    <w:family w:val="swiss"/>
    <w:pitch w:val="variable"/>
    <w:sig w:usb0="20002A87" w:usb1="00000000" w:usb2="00000000" w:usb3="00000000" w:csb0="000001FF" w:csb1="00000000"/>
  </w:font>
  <w:font w:name="Futura Bk">
    <w:altName w:val="Century Gothic"/>
    <w:charset w:val="CC"/>
    <w:family w:val="swiss"/>
    <w:pitch w:val="variable"/>
    <w:sig w:usb0="00000287" w:usb1="00000000" w:usb2="00000000" w:usb3="00000000" w:csb0="0000009F" w:csb1="00000000"/>
  </w:font>
  <w:font w:name="Optima">
    <w:panose1 w:val="00000000000000000000"/>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imesNewRomanPSMT">
    <w:altName w:val="Arial Unicode MS"/>
    <w:panose1 w:val="00000000000000000000"/>
    <w:charset w:val="88"/>
    <w:family w:val="auto"/>
    <w:notTrueType/>
    <w:pitch w:val="default"/>
    <w:sig w:usb0="00000000" w:usb1="08080000" w:usb2="0000001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3819801"/>
      <w:docPartObj>
        <w:docPartGallery w:val="Page Numbers (Bottom of Page)"/>
        <w:docPartUnique/>
      </w:docPartObj>
    </w:sdtPr>
    <w:sdtEndPr/>
    <w:sdtContent>
      <w:p w:rsidR="00FB26AB" w:rsidRPr="00354CE4" w:rsidRDefault="00FB26AB" w:rsidP="00FB26AB">
        <w:pPr>
          <w:pStyle w:val="Footer"/>
          <w:jc w:val="right"/>
        </w:pPr>
        <w:r w:rsidRPr="00354CE4">
          <w:fldChar w:fldCharType="begin"/>
        </w:r>
        <w:r w:rsidRPr="00354CE4">
          <w:instrText>PAGE   \* MERGEFORMAT</w:instrText>
        </w:r>
        <w:r w:rsidRPr="00354CE4">
          <w:fldChar w:fldCharType="separate"/>
        </w:r>
        <w:r w:rsidR="00BF7D3B">
          <w:rPr>
            <w:noProof/>
          </w:rPr>
          <w:t>45</w:t>
        </w:r>
        <w:r w:rsidRPr="00354CE4">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1041945"/>
      <w:docPartObj>
        <w:docPartGallery w:val="Page Numbers (Bottom of Page)"/>
        <w:docPartUnique/>
      </w:docPartObj>
    </w:sdtPr>
    <w:sdtEndPr/>
    <w:sdtContent>
      <w:p w:rsidR="000A0CD7" w:rsidRPr="00354CE4" w:rsidRDefault="000A0CD7">
        <w:pPr>
          <w:pStyle w:val="Footer"/>
          <w:jc w:val="right"/>
        </w:pPr>
        <w:r w:rsidRPr="00354CE4">
          <w:fldChar w:fldCharType="begin"/>
        </w:r>
        <w:r w:rsidRPr="00354CE4">
          <w:instrText>PAGE   \* MERGEFORMAT</w:instrText>
        </w:r>
        <w:r w:rsidRPr="00354CE4">
          <w:fldChar w:fldCharType="separate"/>
        </w:r>
        <w:r w:rsidR="00BF7D3B">
          <w:rPr>
            <w:noProof/>
          </w:rPr>
          <w:t>44</w:t>
        </w:r>
        <w:r w:rsidRPr="00354CE4">
          <w:fldChar w:fldCharType="end"/>
        </w:r>
      </w:p>
    </w:sdtContent>
  </w:sdt>
  <w:p w:rsidR="000A0CD7" w:rsidRPr="00354CE4" w:rsidRDefault="000A0C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5DA3" w:rsidRPr="00354CE4" w:rsidRDefault="003D5DA3" w:rsidP="005F67FF">
      <w:r w:rsidRPr="00354CE4">
        <w:separator/>
      </w:r>
    </w:p>
  </w:footnote>
  <w:footnote w:type="continuationSeparator" w:id="0">
    <w:p w:rsidR="003D5DA3" w:rsidRPr="00354CE4" w:rsidRDefault="003D5DA3" w:rsidP="005F67FF">
      <w:r w:rsidRPr="00354CE4">
        <w:continuationSeparator/>
      </w:r>
    </w:p>
  </w:footnote>
  <w:footnote w:id="1">
    <w:p w:rsidR="004B0EC8" w:rsidRPr="0062376D" w:rsidRDefault="004B0EC8" w:rsidP="005F67FF">
      <w:pPr>
        <w:pStyle w:val="FootnoteText"/>
      </w:pPr>
      <w:r w:rsidRPr="00354CE4">
        <w:rPr>
          <w:rStyle w:val="FootnoteReference"/>
        </w:rPr>
        <w:footnoteRef/>
      </w:r>
      <w:r w:rsidRPr="00354CE4">
        <w:t xml:space="preserve"> Commission Staff Working Document “Performance, monitoring and evaluation of the European Regional Development Fund, the Cohesion Fund and the Just Transition Fund in 2021-2027”; Brussels, 8.7.2021 SWD (2021) 198 final, </w:t>
      </w:r>
      <w:r w:rsidRPr="0062376D">
        <w:t xml:space="preserve">p.4. </w:t>
      </w:r>
    </w:p>
  </w:footnote>
  <w:footnote w:id="2">
    <w:p w:rsidR="004B0EC8" w:rsidRPr="00354CE4" w:rsidRDefault="004B0EC8" w:rsidP="005F67FF">
      <w:pPr>
        <w:pStyle w:val="FootnoteText"/>
      </w:pPr>
      <w:r w:rsidRPr="00354CE4">
        <w:rPr>
          <w:rStyle w:val="FootnoteReference"/>
        </w:rPr>
        <w:footnoteRef/>
      </w:r>
      <w:r w:rsidRPr="00354CE4">
        <w:t xml:space="preserve"> Регламент (ЕС) 2021/1060 на Европейския парламент и на Съвета от 24 юни 2021 година за установяване на общоприложимите разпоредби за Европейския фонд за регионално развитие, Европейския социален фонд плюс, Кохезионния фонд, Фонда за справедлив преход и Европейския фонд за морско дело, рибарство и аквакултури, както и на финансовите правила за тях и за фонд „Убежище, миграция и интеграция“, фонд „Вътрешна сигурност“ и Инструмента за финансова подкрепа за управлението на границите и визовата политика (OB L 231, 30.6.2021 г.)</w:t>
      </w:r>
    </w:p>
  </w:footnote>
  <w:footnote w:id="3">
    <w:p w:rsidR="004B0EC8" w:rsidRPr="00354CE4" w:rsidRDefault="004B0EC8" w:rsidP="00FB26AB">
      <w:pPr>
        <w:pStyle w:val="FootnoteText"/>
        <w:tabs>
          <w:tab w:val="right" w:pos="9639"/>
        </w:tabs>
      </w:pPr>
      <w:r w:rsidRPr="00354CE4">
        <w:rPr>
          <w:rStyle w:val="FootnoteReference"/>
        </w:rPr>
        <w:footnoteRef/>
      </w:r>
      <w:r w:rsidRPr="00354CE4">
        <w:t xml:space="preserve"> </w:t>
      </w:r>
      <w:hyperlink r:id="rId1" w:history="1">
        <w:r w:rsidRPr="00354CE4">
          <w:rPr>
            <w:rStyle w:val="Hyperlink"/>
          </w:rPr>
          <w:t>https://ec.europa.eu/info/sites/info/files/file_import/better-regulation-toolbox-47_en_0.pdf</w:t>
        </w:r>
      </w:hyperlink>
      <w:r w:rsidRPr="00354CE4">
        <w:t xml:space="preserve"> </w:t>
      </w:r>
    </w:p>
  </w:footnote>
  <w:footnote w:id="4">
    <w:p w:rsidR="004B0EC8" w:rsidRPr="00354CE4" w:rsidRDefault="004B0EC8" w:rsidP="005F67FF">
      <w:pPr>
        <w:pStyle w:val="FootnoteText"/>
      </w:pPr>
      <w:r w:rsidRPr="00354CE4">
        <w:rPr>
          <w:rStyle w:val="FootnoteReference"/>
        </w:rPr>
        <w:footnoteRef/>
      </w:r>
      <w:r w:rsidRPr="00354CE4">
        <w:t xml:space="preserve"> EUROPEAN COMMISSION - Directorate-General for Maritime Affairs and Fisheries, Unit D.3 (2022): FAMENET: CT5.1 Working Paper Evaluation Plan, December, 2022, Brussels</w:t>
      </w:r>
    </w:p>
  </w:footnote>
  <w:footnote w:id="5">
    <w:p w:rsidR="004B0EC8" w:rsidRDefault="004B0EC8" w:rsidP="005F67FF">
      <w:pPr>
        <w:pStyle w:val="FootnoteText"/>
      </w:pPr>
      <w:r w:rsidRPr="00354CE4">
        <w:rPr>
          <w:rStyle w:val="FootnoteReference"/>
        </w:rPr>
        <w:footnoteRef/>
      </w:r>
      <w:r w:rsidRPr="00354CE4">
        <w:t xml:space="preserve"> Commission Staff Working Document “Performance, monitoring and evaluation of the European Regional Development Fund, the Cohesion Fund and the Just Transition Fund in 2021-2027”; Brussels, 8.7.2021 SWD (2021) 198 final, </w:t>
      </w:r>
      <w:r w:rsidRPr="0062376D">
        <w:rPr>
          <w:lang w:val="en-GB"/>
        </w:rPr>
        <w:t>p.4.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5" type="#_x0000_t75" style="width:450.25pt;height:450.25pt" o:bullet="t">
        <v:imagedata r:id="rId1" o:title="important-icon"/>
      </v:shape>
    </w:pict>
  </w:numPicBullet>
  <w:abstractNum w:abstractNumId="0">
    <w:nsid w:val="A83A1EBC"/>
    <w:multiLevelType w:val="hybridMultilevel"/>
    <w:tmpl w:val="66E6870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EFC28B08"/>
    <w:multiLevelType w:val="hybridMultilevel"/>
    <w:tmpl w:val="AB3E81A8"/>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FFFFFF83"/>
    <w:multiLevelType w:val="singleLevel"/>
    <w:tmpl w:val="C5EED794"/>
    <w:lvl w:ilvl="0">
      <w:start w:val="1"/>
      <w:numFmt w:val="bullet"/>
      <w:pStyle w:val="ListBullet2"/>
      <w:lvlText w:val=""/>
      <w:lvlJc w:val="left"/>
      <w:pPr>
        <w:tabs>
          <w:tab w:val="num" w:pos="643"/>
        </w:tabs>
        <w:ind w:left="643" w:hanging="360"/>
      </w:pPr>
      <w:rPr>
        <w:rFonts w:ascii="Symbol" w:hAnsi="Symbol" w:hint="default"/>
      </w:rPr>
    </w:lvl>
  </w:abstractNum>
  <w:abstractNum w:abstractNumId="3">
    <w:nsid w:val="00000001"/>
    <w:multiLevelType w:val="multilevel"/>
    <w:tmpl w:val="00000001"/>
    <w:name w:val="WWNum6"/>
    <w:lvl w:ilvl="0">
      <w:start w:val="1"/>
      <w:numFmt w:val="bullet"/>
      <w:lvlText w:val=""/>
      <w:lvlJc w:val="left"/>
      <w:pPr>
        <w:tabs>
          <w:tab w:val="num" w:pos="0"/>
        </w:tabs>
        <w:ind w:left="720" w:hanging="360"/>
      </w:pPr>
      <w:rPr>
        <w:rFonts w:ascii="Wingdings" w:hAnsi="Wingdings"/>
        <w:color w:val="4F81BD"/>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nsid w:val="00000002"/>
    <w:multiLevelType w:val="multilevel"/>
    <w:tmpl w:val="00000002"/>
    <w:name w:val="WW8Num2"/>
    <w:lvl w:ilvl="0">
      <w:start w:val="1"/>
      <w:numFmt w:val="bullet"/>
      <w:lvlText w:val="•"/>
      <w:lvlJc w:val="left"/>
      <w:pPr>
        <w:tabs>
          <w:tab w:val="num" w:pos="1134"/>
        </w:tabs>
        <w:ind w:left="1134" w:hanging="567"/>
      </w:pPr>
      <w:rPr>
        <w:rFonts w:ascii="Calibri" w:hAnsi="Calibri" w:cs="Symbol"/>
        <w:color w:val="00000A"/>
      </w:rPr>
    </w:lvl>
    <w:lvl w:ilvl="1">
      <w:start w:val="1"/>
      <w:numFmt w:val="bullet"/>
      <w:lvlText w:val="•"/>
      <w:lvlJc w:val="left"/>
      <w:pPr>
        <w:tabs>
          <w:tab w:val="num" w:pos="454"/>
        </w:tabs>
        <w:ind w:left="454" w:hanging="227"/>
      </w:pPr>
      <w:rPr>
        <w:rFonts w:ascii="Calibri" w:hAnsi="Calibri" w:cs="Symbol"/>
        <w:color w:val="00000A"/>
      </w:rPr>
    </w:lvl>
    <w:lvl w:ilvl="2">
      <w:start w:val="1"/>
      <w:numFmt w:val="bullet"/>
      <w:lvlText w:val="•"/>
      <w:lvlJc w:val="left"/>
      <w:pPr>
        <w:tabs>
          <w:tab w:val="num" w:pos="680"/>
        </w:tabs>
        <w:ind w:left="680" w:hanging="227"/>
      </w:pPr>
      <w:rPr>
        <w:rFonts w:ascii="Calibri" w:hAnsi="Calibri" w:cs="Symbol"/>
        <w:color w:val="00000A"/>
      </w:rPr>
    </w:lvl>
    <w:lvl w:ilvl="3">
      <w:start w:val="1"/>
      <w:numFmt w:val="bullet"/>
      <w:lvlText w:val="•"/>
      <w:lvlJc w:val="left"/>
      <w:pPr>
        <w:tabs>
          <w:tab w:val="num" w:pos="907"/>
        </w:tabs>
        <w:ind w:left="907" w:hanging="227"/>
      </w:pPr>
      <w:rPr>
        <w:rFonts w:ascii="Calibri" w:hAnsi="Calibri" w:cs="Symbol"/>
        <w:color w:val="00000A"/>
      </w:rPr>
    </w:lvl>
    <w:lvl w:ilvl="4">
      <w:start w:val="1"/>
      <w:numFmt w:val="bullet"/>
      <w:lvlText w:val="•"/>
      <w:lvlJc w:val="left"/>
      <w:pPr>
        <w:tabs>
          <w:tab w:val="num" w:pos="1134"/>
        </w:tabs>
        <w:ind w:left="1134" w:hanging="227"/>
      </w:pPr>
      <w:rPr>
        <w:rFonts w:ascii="Calibri" w:hAnsi="Calibri" w:cs="Symbol"/>
        <w:color w:val="00000A"/>
      </w:rPr>
    </w:lvl>
    <w:lvl w:ilvl="5">
      <w:start w:val="1"/>
      <w:numFmt w:val="bullet"/>
      <w:lvlText w:val="•"/>
      <w:lvlJc w:val="left"/>
      <w:pPr>
        <w:tabs>
          <w:tab w:val="num" w:pos="1361"/>
        </w:tabs>
        <w:ind w:left="1361" w:hanging="227"/>
      </w:pPr>
      <w:rPr>
        <w:rFonts w:ascii="Calibri" w:hAnsi="Calibri" w:cs="Symbol"/>
        <w:color w:val="00000A"/>
      </w:rPr>
    </w:lvl>
    <w:lvl w:ilvl="6">
      <w:start w:val="1"/>
      <w:numFmt w:val="bullet"/>
      <w:lvlText w:val="•"/>
      <w:lvlJc w:val="left"/>
      <w:pPr>
        <w:tabs>
          <w:tab w:val="num" w:pos="1587"/>
        </w:tabs>
        <w:ind w:left="1587" w:hanging="227"/>
      </w:pPr>
      <w:rPr>
        <w:rFonts w:ascii="Calibri" w:hAnsi="Calibri" w:cs="Symbol"/>
        <w:color w:val="00000A"/>
      </w:rPr>
    </w:lvl>
    <w:lvl w:ilvl="7">
      <w:start w:val="1"/>
      <w:numFmt w:val="bullet"/>
      <w:lvlText w:val="•"/>
      <w:lvlJc w:val="left"/>
      <w:pPr>
        <w:tabs>
          <w:tab w:val="num" w:pos="1814"/>
        </w:tabs>
        <w:ind w:left="1814" w:hanging="227"/>
      </w:pPr>
      <w:rPr>
        <w:rFonts w:ascii="Calibri" w:hAnsi="Calibri" w:cs="Symbol"/>
        <w:color w:val="00000A"/>
      </w:rPr>
    </w:lvl>
    <w:lvl w:ilvl="8">
      <w:start w:val="1"/>
      <w:numFmt w:val="bullet"/>
      <w:lvlText w:val="•"/>
      <w:lvlJc w:val="left"/>
      <w:pPr>
        <w:tabs>
          <w:tab w:val="num" w:pos="2041"/>
        </w:tabs>
        <w:ind w:left="2041" w:hanging="227"/>
      </w:pPr>
      <w:rPr>
        <w:rFonts w:ascii="Calibri" w:hAnsi="Calibri" w:cs="Symbol"/>
        <w:color w:val="00000A"/>
      </w:rPr>
    </w:lvl>
  </w:abstractNum>
  <w:abstractNum w:abstractNumId="5">
    <w:nsid w:val="00000003"/>
    <w:multiLevelType w:val="multilevel"/>
    <w:tmpl w:val="00000003"/>
    <w:name w:val="WWNum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00000006"/>
    <w:multiLevelType w:val="multilevel"/>
    <w:tmpl w:val="00000006"/>
    <w:name w:val="WW8Num6"/>
    <w:lvl w:ilvl="0">
      <w:start w:val="1"/>
      <w:numFmt w:val="decimal"/>
      <w:lvlText w:val="Фигура %1."/>
      <w:lvlJc w:val="left"/>
      <w:pPr>
        <w:tabs>
          <w:tab w:val="num" w:pos="1701"/>
        </w:tabs>
        <w:ind w:left="1701" w:hanging="1701"/>
      </w:pPr>
    </w:lvl>
    <w:lvl w:ilvl="1">
      <w:start w:val="1"/>
      <w:numFmt w:val="decimal"/>
      <w:lvlText w:val="Фигура %2."/>
      <w:lvlJc w:val="left"/>
      <w:pPr>
        <w:tabs>
          <w:tab w:val="num" w:pos="567"/>
        </w:tabs>
        <w:ind w:left="567" w:hanging="283"/>
      </w:pPr>
    </w:lvl>
    <w:lvl w:ilvl="2">
      <w:start w:val="1"/>
      <w:numFmt w:val="decimal"/>
      <w:lvlText w:val="Фигура %3."/>
      <w:lvlJc w:val="left"/>
      <w:pPr>
        <w:tabs>
          <w:tab w:val="num" w:pos="850"/>
        </w:tabs>
        <w:ind w:left="850" w:hanging="283"/>
      </w:pPr>
    </w:lvl>
    <w:lvl w:ilvl="3">
      <w:start w:val="1"/>
      <w:numFmt w:val="decimal"/>
      <w:lvlText w:val="Фигура %4."/>
      <w:lvlJc w:val="left"/>
      <w:pPr>
        <w:tabs>
          <w:tab w:val="num" w:pos="1134"/>
        </w:tabs>
        <w:ind w:left="1134" w:hanging="283"/>
      </w:pPr>
    </w:lvl>
    <w:lvl w:ilvl="4">
      <w:start w:val="1"/>
      <w:numFmt w:val="decimal"/>
      <w:lvlText w:val="Фигура %5."/>
      <w:lvlJc w:val="left"/>
      <w:pPr>
        <w:tabs>
          <w:tab w:val="num" w:pos="1417"/>
        </w:tabs>
        <w:ind w:left="1417" w:hanging="283"/>
      </w:pPr>
    </w:lvl>
    <w:lvl w:ilvl="5">
      <w:start w:val="1"/>
      <w:numFmt w:val="decimal"/>
      <w:lvlText w:val="Фигура %6."/>
      <w:lvlJc w:val="left"/>
      <w:pPr>
        <w:tabs>
          <w:tab w:val="num" w:pos="1701"/>
        </w:tabs>
        <w:ind w:left="1701" w:hanging="283"/>
      </w:pPr>
    </w:lvl>
    <w:lvl w:ilvl="6">
      <w:start w:val="1"/>
      <w:numFmt w:val="decimal"/>
      <w:lvlText w:val="Фигура %7."/>
      <w:lvlJc w:val="left"/>
      <w:pPr>
        <w:tabs>
          <w:tab w:val="num" w:pos="1984"/>
        </w:tabs>
        <w:ind w:left="1984" w:hanging="283"/>
      </w:pPr>
    </w:lvl>
    <w:lvl w:ilvl="7">
      <w:start w:val="1"/>
      <w:numFmt w:val="decimal"/>
      <w:lvlText w:val="Фигура %8."/>
      <w:lvlJc w:val="left"/>
      <w:pPr>
        <w:tabs>
          <w:tab w:val="num" w:pos="2268"/>
        </w:tabs>
        <w:ind w:left="2268" w:hanging="283"/>
      </w:pPr>
    </w:lvl>
    <w:lvl w:ilvl="8">
      <w:start w:val="1"/>
      <w:numFmt w:val="decimal"/>
      <w:lvlText w:val="Фигура %9."/>
      <w:lvlJc w:val="left"/>
      <w:pPr>
        <w:tabs>
          <w:tab w:val="num" w:pos="2551"/>
        </w:tabs>
        <w:ind w:left="2551" w:hanging="283"/>
      </w:pPr>
    </w:lvl>
  </w:abstractNum>
  <w:abstractNum w:abstractNumId="7">
    <w:nsid w:val="0024207B"/>
    <w:multiLevelType w:val="hybridMultilevel"/>
    <w:tmpl w:val="7F508A96"/>
    <w:lvl w:ilvl="0" w:tplc="3CC22DA2">
      <w:start w:val="1"/>
      <w:numFmt w:val="bullet"/>
      <w:lvlText w:val=""/>
      <w:lvlJc w:val="left"/>
      <w:pPr>
        <w:ind w:left="1287" w:hanging="360"/>
      </w:pPr>
      <w:rPr>
        <w:rFonts w:ascii="Symbol" w:hAnsi="Symbol" w:hint="default"/>
        <w:color w:val="2E74B5" w:themeColor="accent1" w:themeShade="BF"/>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8">
    <w:nsid w:val="070457C6"/>
    <w:multiLevelType w:val="hybridMultilevel"/>
    <w:tmpl w:val="BA3057AC"/>
    <w:lvl w:ilvl="0" w:tplc="C838AC04">
      <w:start w:val="1"/>
      <w:numFmt w:val="bullet"/>
      <w:pStyle w:val="bulettable"/>
      <w:lvlText w:val=""/>
      <w:lvlJc w:val="left"/>
      <w:pPr>
        <w:tabs>
          <w:tab w:val="num" w:pos="983"/>
        </w:tabs>
        <w:ind w:left="983" w:hanging="360"/>
      </w:pPr>
      <w:rPr>
        <w:rFonts w:ascii="Symbol" w:hAnsi="Symbol" w:hint="default"/>
        <w:color w:val="auto"/>
      </w:rPr>
    </w:lvl>
    <w:lvl w:ilvl="1" w:tplc="04020003">
      <w:start w:val="1"/>
      <w:numFmt w:val="bullet"/>
      <w:lvlText w:val="o"/>
      <w:lvlJc w:val="left"/>
      <w:pPr>
        <w:tabs>
          <w:tab w:val="num" w:pos="1440"/>
        </w:tabs>
        <w:ind w:left="1440" w:hanging="360"/>
      </w:pPr>
      <w:rPr>
        <w:rFonts w:ascii="Courier New" w:hAnsi="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9">
    <w:nsid w:val="0A754D66"/>
    <w:multiLevelType w:val="hybridMultilevel"/>
    <w:tmpl w:val="19788D5A"/>
    <w:lvl w:ilvl="0" w:tplc="3CC22DA2">
      <w:start w:val="1"/>
      <w:numFmt w:val="bullet"/>
      <w:lvlText w:val=""/>
      <w:lvlJc w:val="left"/>
      <w:pPr>
        <w:ind w:left="720" w:hanging="360"/>
      </w:pPr>
      <w:rPr>
        <w:rFonts w:ascii="Symbol" w:hAnsi="Symbol" w:hint="default"/>
        <w:color w:val="2E74B5" w:themeColor="accent1" w:themeShade="BF"/>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nsid w:val="0E2E3DE0"/>
    <w:multiLevelType w:val="hybridMultilevel"/>
    <w:tmpl w:val="E000DA0A"/>
    <w:lvl w:ilvl="0" w:tplc="FFFFFFFF">
      <w:start w:val="1"/>
      <w:numFmt w:val="bullet"/>
      <w:lvlText w:val=""/>
      <w:lvlJc w:val="left"/>
      <w:pPr>
        <w:ind w:left="1287" w:hanging="360"/>
      </w:pPr>
      <w:rPr>
        <w:rFonts w:ascii="Symbol" w:hAnsi="Symbol" w:hint="default"/>
        <w:color w:val="2E74B5" w:themeColor="accent1" w:themeShade="BF"/>
      </w:rPr>
    </w:lvl>
    <w:lvl w:ilvl="1" w:tplc="3CC22DA2">
      <w:start w:val="1"/>
      <w:numFmt w:val="bullet"/>
      <w:lvlText w:val=""/>
      <w:lvlJc w:val="left"/>
      <w:pPr>
        <w:ind w:left="1287" w:hanging="360"/>
      </w:pPr>
      <w:rPr>
        <w:rFonts w:ascii="Symbol" w:hAnsi="Symbol" w:hint="default"/>
        <w:color w:val="2E74B5" w:themeColor="accent1" w:themeShade="BF"/>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1">
    <w:nsid w:val="104A1422"/>
    <w:multiLevelType w:val="hybridMultilevel"/>
    <w:tmpl w:val="C52A833C"/>
    <w:lvl w:ilvl="0" w:tplc="3CC22DA2">
      <w:start w:val="1"/>
      <w:numFmt w:val="bullet"/>
      <w:lvlText w:val=""/>
      <w:lvlJc w:val="left"/>
      <w:pPr>
        <w:ind w:left="720" w:hanging="360"/>
      </w:pPr>
      <w:rPr>
        <w:rFonts w:ascii="Symbol" w:hAnsi="Symbol" w:hint="default"/>
        <w:color w:val="2E74B5" w:themeColor="accent1" w:themeShade="BF"/>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nsid w:val="105830E6"/>
    <w:multiLevelType w:val="hybridMultilevel"/>
    <w:tmpl w:val="4BC05D76"/>
    <w:lvl w:ilvl="0" w:tplc="99B2C24C">
      <w:start w:val="1"/>
      <w:numFmt w:val="bullet"/>
      <w:pStyle w:val="List1"/>
      <w:lvlText w:val=""/>
      <w:lvlJc w:val="left"/>
      <w:pPr>
        <w:ind w:left="1080" w:hanging="360"/>
      </w:pPr>
      <w:rPr>
        <w:rFonts w:ascii="Symbol" w:hAnsi="Symbol" w:hint="default"/>
      </w:rPr>
    </w:lvl>
    <w:lvl w:ilvl="1" w:tplc="04020003">
      <w:start w:val="1"/>
      <w:numFmt w:val="bullet"/>
      <w:lvlText w:val="o"/>
      <w:lvlJc w:val="left"/>
      <w:pPr>
        <w:ind w:left="1800" w:hanging="360"/>
      </w:pPr>
      <w:rPr>
        <w:rFonts w:ascii="Courier New" w:hAnsi="Courier New" w:cs="Courier New" w:hint="default"/>
      </w:rPr>
    </w:lvl>
    <w:lvl w:ilvl="2" w:tplc="04020005">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3">
    <w:nsid w:val="112C79B8"/>
    <w:multiLevelType w:val="multilevel"/>
    <w:tmpl w:val="B59488E4"/>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nsid w:val="125A2A8C"/>
    <w:multiLevelType w:val="multilevel"/>
    <w:tmpl w:val="35F0B810"/>
    <w:lvl w:ilvl="0">
      <w:start w:val="1"/>
      <w:numFmt w:val="upperRoman"/>
      <w:pStyle w:val="Heading1"/>
      <w:lvlText w:val="%1."/>
      <w:lvlJc w:val="left"/>
      <w:pPr>
        <w:ind w:left="0" w:firstLine="0"/>
      </w:pPr>
      <w:rPr>
        <w:rFonts w:hint="default"/>
      </w:rPr>
    </w:lvl>
    <w:lvl w:ilvl="1">
      <w:start w:val="1"/>
      <w:numFmt w:val="decimal"/>
      <w:pStyle w:val="Heading2"/>
      <w:lvlText w:val="%2."/>
      <w:lvlJc w:val="left"/>
      <w:pPr>
        <w:tabs>
          <w:tab w:val="num" w:pos="567"/>
        </w:tabs>
        <w:ind w:left="567" w:hanging="567"/>
      </w:pPr>
      <w:rPr>
        <w:rFonts w:hint="default"/>
      </w:rPr>
    </w:lvl>
    <w:lvl w:ilvl="2">
      <w:start w:val="1"/>
      <w:numFmt w:val="decimal"/>
      <w:pStyle w:val="Heading3"/>
      <w:lvlText w:val="%2.%3."/>
      <w:lvlJc w:val="left"/>
      <w:pPr>
        <w:tabs>
          <w:tab w:val="num" w:pos="567"/>
        </w:tabs>
        <w:ind w:left="567" w:hanging="567"/>
      </w:pPr>
      <w:rPr>
        <w:rFonts w:hint="default"/>
      </w:rPr>
    </w:lvl>
    <w:lvl w:ilvl="3">
      <w:start w:val="1"/>
      <w:numFmt w:val="decimal"/>
      <w:pStyle w:val="Heading4"/>
      <w:lvlText w:val="%2.%3.%4."/>
      <w:lvlJc w:val="left"/>
      <w:pPr>
        <w:tabs>
          <w:tab w:val="num" w:pos="851"/>
        </w:tabs>
        <w:ind w:left="851" w:hanging="567"/>
      </w:pPr>
      <w:rPr>
        <w:rFonts w:hint="default"/>
      </w:rPr>
    </w:lvl>
    <w:lvl w:ilvl="4">
      <w:start w:val="1"/>
      <w:numFmt w:val="decimal"/>
      <w:pStyle w:val="Heading5"/>
      <w:lvlText w:val="(%5)"/>
      <w:lvlJc w:val="left"/>
      <w:pPr>
        <w:tabs>
          <w:tab w:val="num" w:pos="1134"/>
        </w:tabs>
        <w:ind w:left="1134" w:hanging="567"/>
      </w:pPr>
      <w:rPr>
        <w:rFonts w:hint="default"/>
      </w:rPr>
    </w:lvl>
    <w:lvl w:ilvl="5">
      <w:start w:val="1"/>
      <w:numFmt w:val="russianLower"/>
      <w:pStyle w:val="Heading6"/>
      <w:lvlText w:val="(%6)"/>
      <w:lvlJc w:val="left"/>
      <w:pPr>
        <w:tabs>
          <w:tab w:val="num" w:pos="1844"/>
        </w:tabs>
        <w:ind w:left="1844" w:hanging="567"/>
      </w:pPr>
      <w:rPr>
        <w:rFonts w:hint="default"/>
      </w:rPr>
    </w:lvl>
    <w:lvl w:ilvl="6">
      <w:start w:val="1"/>
      <w:numFmt w:val="lowerRoman"/>
      <w:pStyle w:val="Heading7"/>
      <w:lvlText w:val="(%7)"/>
      <w:lvlJc w:val="left"/>
      <w:pPr>
        <w:tabs>
          <w:tab w:val="num" w:pos="2268"/>
        </w:tabs>
        <w:ind w:left="2268" w:hanging="567"/>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15">
    <w:nsid w:val="12FF745C"/>
    <w:multiLevelType w:val="hybridMultilevel"/>
    <w:tmpl w:val="7DF6A7CA"/>
    <w:lvl w:ilvl="0" w:tplc="778A771A">
      <w:start w:val="1"/>
      <w:numFmt w:val="bullet"/>
      <w:pStyle w:val="tablebulet1"/>
      <w:lvlText w:val=""/>
      <w:lvlJc w:val="left"/>
      <w:pPr>
        <w:ind w:left="766" w:hanging="360"/>
      </w:pPr>
      <w:rPr>
        <w:rFonts w:ascii="Wingdings 2" w:hAnsi="Wingdings 2" w:hint="default"/>
        <w:color w:val="2E74B5"/>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nsid w:val="13A26383"/>
    <w:multiLevelType w:val="hybridMultilevel"/>
    <w:tmpl w:val="BBE4B7D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7">
    <w:nsid w:val="179E2F44"/>
    <w:multiLevelType w:val="hybridMultilevel"/>
    <w:tmpl w:val="DB40CDBC"/>
    <w:lvl w:ilvl="0" w:tplc="3CC22DA2">
      <w:start w:val="1"/>
      <w:numFmt w:val="bullet"/>
      <w:lvlText w:val=""/>
      <w:lvlJc w:val="left"/>
      <w:pPr>
        <w:ind w:left="1287" w:hanging="360"/>
      </w:pPr>
      <w:rPr>
        <w:rFonts w:ascii="Symbol" w:hAnsi="Symbol" w:hint="default"/>
        <w:color w:val="2E74B5" w:themeColor="accent1" w:themeShade="BF"/>
      </w:rPr>
    </w:lvl>
    <w:lvl w:ilvl="1" w:tplc="3CC22DA2">
      <w:start w:val="1"/>
      <w:numFmt w:val="bullet"/>
      <w:lvlText w:val=""/>
      <w:lvlJc w:val="left"/>
      <w:pPr>
        <w:ind w:left="1287" w:hanging="360"/>
      </w:pPr>
      <w:rPr>
        <w:rFonts w:ascii="Symbol" w:hAnsi="Symbol" w:hint="default"/>
        <w:color w:val="2E74B5" w:themeColor="accent1" w:themeShade="BF"/>
      </w:rPr>
    </w:lvl>
    <w:lvl w:ilvl="2" w:tplc="04090005">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8">
    <w:nsid w:val="17E31AF8"/>
    <w:multiLevelType w:val="hybridMultilevel"/>
    <w:tmpl w:val="2A182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95A247C"/>
    <w:multiLevelType w:val="hybridMultilevel"/>
    <w:tmpl w:val="A6CEA5FA"/>
    <w:lvl w:ilvl="0" w:tplc="3CC22DA2">
      <w:start w:val="1"/>
      <w:numFmt w:val="bullet"/>
      <w:lvlText w:val=""/>
      <w:lvlJc w:val="left"/>
      <w:pPr>
        <w:ind w:left="1287" w:hanging="360"/>
      </w:pPr>
      <w:rPr>
        <w:rFonts w:ascii="Symbol" w:hAnsi="Symbol" w:hint="default"/>
        <w:color w:val="2E74B5" w:themeColor="accent1" w:themeShade="BF"/>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0">
    <w:nsid w:val="2D1D68A6"/>
    <w:multiLevelType w:val="hybridMultilevel"/>
    <w:tmpl w:val="76609CB8"/>
    <w:lvl w:ilvl="0" w:tplc="FFFFFFFF">
      <w:start w:val="1"/>
      <w:numFmt w:val="bullet"/>
      <w:lvlText w:val=""/>
      <w:lvlJc w:val="left"/>
      <w:pPr>
        <w:ind w:left="1287" w:hanging="360"/>
      </w:pPr>
      <w:rPr>
        <w:rFonts w:ascii="Symbol" w:hAnsi="Symbol" w:hint="default"/>
        <w:color w:val="2E74B5" w:themeColor="accent1" w:themeShade="BF"/>
      </w:rPr>
    </w:lvl>
    <w:lvl w:ilvl="1" w:tplc="3CC22DA2">
      <w:start w:val="1"/>
      <w:numFmt w:val="bullet"/>
      <w:lvlText w:val=""/>
      <w:lvlJc w:val="left"/>
      <w:pPr>
        <w:ind w:left="720" w:hanging="360"/>
      </w:pPr>
      <w:rPr>
        <w:rFonts w:ascii="Symbol" w:hAnsi="Symbol" w:hint="default"/>
        <w:color w:val="2E74B5" w:themeColor="accent1" w:themeShade="BF"/>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21">
    <w:nsid w:val="341F4519"/>
    <w:multiLevelType w:val="hybridMultilevel"/>
    <w:tmpl w:val="9C167798"/>
    <w:lvl w:ilvl="0" w:tplc="3CC22DA2">
      <w:start w:val="1"/>
      <w:numFmt w:val="bullet"/>
      <w:lvlText w:val=""/>
      <w:lvlJc w:val="left"/>
      <w:pPr>
        <w:ind w:left="1287" w:hanging="360"/>
      </w:pPr>
      <w:rPr>
        <w:rFonts w:ascii="Symbol" w:hAnsi="Symbol" w:hint="default"/>
        <w:color w:val="2E74B5" w:themeColor="accent1" w:themeShade="BF"/>
      </w:rPr>
    </w:lvl>
    <w:lvl w:ilvl="1" w:tplc="3CC22DA2">
      <w:start w:val="1"/>
      <w:numFmt w:val="bullet"/>
      <w:lvlText w:val=""/>
      <w:lvlJc w:val="left"/>
      <w:pPr>
        <w:ind w:left="1287" w:hanging="360"/>
      </w:pPr>
      <w:rPr>
        <w:rFonts w:ascii="Symbol" w:hAnsi="Symbol" w:hint="default"/>
        <w:color w:val="2E74B5" w:themeColor="accent1" w:themeShade="BF"/>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2">
    <w:nsid w:val="34C529F2"/>
    <w:multiLevelType w:val="hybridMultilevel"/>
    <w:tmpl w:val="B616F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6675673"/>
    <w:multiLevelType w:val="hybridMultilevel"/>
    <w:tmpl w:val="9840436C"/>
    <w:lvl w:ilvl="0" w:tplc="3CC22DA2">
      <w:start w:val="1"/>
      <w:numFmt w:val="bullet"/>
      <w:lvlText w:val=""/>
      <w:lvlJc w:val="left"/>
      <w:pPr>
        <w:ind w:left="1287" w:hanging="360"/>
      </w:pPr>
      <w:rPr>
        <w:rFonts w:ascii="Symbol" w:hAnsi="Symbol" w:hint="default"/>
        <w:color w:val="2E74B5" w:themeColor="accent1" w:themeShade="BF"/>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4">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5">
    <w:nsid w:val="3F877104"/>
    <w:multiLevelType w:val="hybridMultilevel"/>
    <w:tmpl w:val="751C0C6C"/>
    <w:lvl w:ilvl="0" w:tplc="FFFFFFFF">
      <w:start w:val="1"/>
      <w:numFmt w:val="bullet"/>
      <w:lvlText w:val=""/>
      <w:lvlJc w:val="left"/>
      <w:pPr>
        <w:ind w:left="1287" w:hanging="360"/>
      </w:pPr>
      <w:rPr>
        <w:rFonts w:ascii="Symbol" w:hAnsi="Symbol" w:hint="default"/>
        <w:color w:val="2E74B5" w:themeColor="accent1" w:themeShade="BF"/>
      </w:rPr>
    </w:lvl>
    <w:lvl w:ilvl="1" w:tplc="3CC22DA2">
      <w:start w:val="1"/>
      <w:numFmt w:val="bullet"/>
      <w:lvlText w:val=""/>
      <w:lvlJc w:val="left"/>
      <w:pPr>
        <w:ind w:left="1287" w:hanging="360"/>
      </w:pPr>
      <w:rPr>
        <w:rFonts w:ascii="Symbol" w:hAnsi="Symbol" w:hint="default"/>
        <w:color w:val="2E74B5" w:themeColor="accent1" w:themeShade="BF"/>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26">
    <w:nsid w:val="4AFF6422"/>
    <w:multiLevelType w:val="hybridMultilevel"/>
    <w:tmpl w:val="62A25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BDC7814"/>
    <w:multiLevelType w:val="hybridMultilevel"/>
    <w:tmpl w:val="B8DEC7B8"/>
    <w:lvl w:ilvl="0" w:tplc="8CDA0D2A">
      <w:start w:val="1"/>
      <w:numFmt w:val="bullet"/>
      <w:pStyle w:val="5"/>
      <w:lvlText w:val=""/>
      <w:lvlPicBulletId w:val="0"/>
      <w:lvlJc w:val="left"/>
      <w:pPr>
        <w:ind w:left="720" w:hanging="360"/>
      </w:pPr>
      <w:rPr>
        <w:rFonts w:ascii="Symbol" w:hAnsi="Symbol" w:hint="default"/>
        <w:color w:val="auto"/>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8">
    <w:nsid w:val="4E171C17"/>
    <w:multiLevelType w:val="hybridMultilevel"/>
    <w:tmpl w:val="11949970"/>
    <w:lvl w:ilvl="0" w:tplc="E7F2EF50">
      <w:start w:val="1"/>
      <w:numFmt w:val="bullet"/>
      <w:pStyle w:val="ListContents"/>
      <w:lvlText w:val=""/>
      <w:lvlJc w:val="left"/>
      <w:pPr>
        <w:ind w:left="927" w:hanging="360"/>
      </w:pPr>
      <w:rPr>
        <w:rFonts w:ascii="Wingdings" w:hAnsi="Wingdings" w:hint="default"/>
        <w:color w:val="2E74B5" w:themeColor="accent1" w:themeShade="BF"/>
      </w:rPr>
    </w:lvl>
    <w:lvl w:ilvl="1" w:tplc="3CC22DA2">
      <w:start w:val="1"/>
      <w:numFmt w:val="bullet"/>
      <w:lvlText w:val=""/>
      <w:lvlJc w:val="left"/>
      <w:pPr>
        <w:ind w:left="1440" w:hanging="360"/>
      </w:pPr>
      <w:rPr>
        <w:rFonts w:ascii="Symbol" w:hAnsi="Symbol" w:hint="default"/>
        <w:color w:val="2E74B5" w:themeColor="accent1" w:themeShade="BF"/>
      </w:rPr>
    </w:lvl>
    <w:lvl w:ilvl="2" w:tplc="04020005">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9">
    <w:nsid w:val="523D3A54"/>
    <w:multiLevelType w:val="hybridMultilevel"/>
    <w:tmpl w:val="C88AE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5F3263D"/>
    <w:multiLevelType w:val="hybridMultilevel"/>
    <w:tmpl w:val="031CBB0E"/>
    <w:lvl w:ilvl="0" w:tplc="B4BABD2E">
      <w:start w:val="1"/>
      <w:numFmt w:val="bullet"/>
      <w:pStyle w:val="tablebulet2"/>
      <w:lvlText w:val=""/>
      <w:lvlJc w:val="left"/>
      <w:pPr>
        <w:ind w:left="720" w:hanging="360"/>
      </w:pPr>
      <w:rPr>
        <w:rFonts w:ascii="Symbol" w:hAnsi="Symbol" w:hint="default"/>
        <w:color w:val="44546A" w:themeColor="text2"/>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1">
    <w:nsid w:val="56361A85"/>
    <w:multiLevelType w:val="hybridMultilevel"/>
    <w:tmpl w:val="860E3E28"/>
    <w:lvl w:ilvl="0" w:tplc="0EF05D52">
      <w:start w:val="1"/>
      <w:numFmt w:val="bullet"/>
      <w:pStyle w:val="List3"/>
      <w:lvlText w:val=""/>
      <w:lvlJc w:val="left"/>
      <w:pPr>
        <w:ind w:left="1410" w:hanging="690"/>
      </w:pPr>
      <w:rPr>
        <w:rFonts w:ascii="Symbol" w:hAnsi="Symbol" w:hint="default"/>
        <w:color w:val="2E74B5" w:themeColor="accent1" w:themeShade="BF"/>
      </w:rPr>
    </w:lvl>
    <w:lvl w:ilvl="1" w:tplc="6BD412B8">
      <w:numFmt w:val="bullet"/>
      <w:lvlText w:val="-"/>
      <w:lvlJc w:val="left"/>
      <w:pPr>
        <w:ind w:left="1800" w:hanging="360"/>
      </w:pPr>
      <w:rPr>
        <w:rFonts w:ascii="Calibri Light" w:eastAsiaTheme="minorHAnsi" w:hAnsi="Calibri Light" w:cstheme="minorBidi"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32">
    <w:nsid w:val="577C7B14"/>
    <w:multiLevelType w:val="hybridMultilevel"/>
    <w:tmpl w:val="3FBEC9CE"/>
    <w:lvl w:ilvl="0" w:tplc="3CC22DA2">
      <w:start w:val="1"/>
      <w:numFmt w:val="bullet"/>
      <w:lvlText w:val=""/>
      <w:lvlJc w:val="left"/>
      <w:pPr>
        <w:ind w:left="1287" w:hanging="360"/>
      </w:pPr>
      <w:rPr>
        <w:rFonts w:ascii="Symbol" w:hAnsi="Symbol" w:hint="default"/>
        <w:color w:val="2E74B5" w:themeColor="accent1" w:themeShade="BF"/>
      </w:rPr>
    </w:lvl>
    <w:lvl w:ilvl="1" w:tplc="5846D51A">
      <w:numFmt w:val="bullet"/>
      <w:lvlText w:val="-"/>
      <w:lvlJc w:val="left"/>
      <w:pPr>
        <w:ind w:left="2217" w:hanging="570"/>
      </w:pPr>
      <w:rPr>
        <w:rFonts w:ascii="Calibri Light" w:eastAsiaTheme="minorHAnsi" w:hAnsi="Calibri Light" w:cs="Calibri Light"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3">
    <w:nsid w:val="579535F0"/>
    <w:multiLevelType w:val="hybridMultilevel"/>
    <w:tmpl w:val="F9248F0A"/>
    <w:lvl w:ilvl="0" w:tplc="04090005">
      <w:start w:val="1"/>
      <w:numFmt w:val="bullet"/>
      <w:lvlText w:val=""/>
      <w:lvlJc w:val="left"/>
      <w:pPr>
        <w:tabs>
          <w:tab w:val="num" w:pos="1736"/>
        </w:tabs>
        <w:ind w:left="1736" w:hanging="885"/>
      </w:pPr>
      <w:rPr>
        <w:rFonts w:ascii="Wingdings" w:hAnsi="Wingdings" w:hint="default"/>
      </w:rPr>
    </w:lvl>
    <w:lvl w:ilvl="1" w:tplc="04020003" w:tentative="1">
      <w:start w:val="1"/>
      <w:numFmt w:val="bullet"/>
      <w:lvlText w:val="o"/>
      <w:lvlJc w:val="left"/>
      <w:pPr>
        <w:tabs>
          <w:tab w:val="num" w:pos="2062"/>
        </w:tabs>
        <w:ind w:left="2062" w:hanging="360"/>
      </w:pPr>
      <w:rPr>
        <w:rFonts w:ascii="Courier New" w:hAnsi="Courier New" w:cs="Courier New" w:hint="default"/>
      </w:rPr>
    </w:lvl>
    <w:lvl w:ilvl="2" w:tplc="04020005">
      <w:start w:val="1"/>
      <w:numFmt w:val="bullet"/>
      <w:lvlText w:val=""/>
      <w:lvlJc w:val="left"/>
      <w:pPr>
        <w:tabs>
          <w:tab w:val="num" w:pos="2782"/>
        </w:tabs>
        <w:ind w:left="2782" w:hanging="360"/>
      </w:pPr>
      <w:rPr>
        <w:rFonts w:ascii="Wingdings" w:hAnsi="Wingdings" w:hint="default"/>
      </w:rPr>
    </w:lvl>
    <w:lvl w:ilvl="3" w:tplc="04020001" w:tentative="1">
      <w:start w:val="1"/>
      <w:numFmt w:val="bullet"/>
      <w:lvlText w:val=""/>
      <w:lvlJc w:val="left"/>
      <w:pPr>
        <w:tabs>
          <w:tab w:val="num" w:pos="3502"/>
        </w:tabs>
        <w:ind w:left="3502" w:hanging="360"/>
      </w:pPr>
      <w:rPr>
        <w:rFonts w:ascii="Symbol" w:hAnsi="Symbol" w:hint="default"/>
      </w:rPr>
    </w:lvl>
    <w:lvl w:ilvl="4" w:tplc="04020003" w:tentative="1">
      <w:start w:val="1"/>
      <w:numFmt w:val="bullet"/>
      <w:lvlText w:val="o"/>
      <w:lvlJc w:val="left"/>
      <w:pPr>
        <w:tabs>
          <w:tab w:val="num" w:pos="4222"/>
        </w:tabs>
        <w:ind w:left="4222" w:hanging="360"/>
      </w:pPr>
      <w:rPr>
        <w:rFonts w:ascii="Courier New" w:hAnsi="Courier New" w:cs="Courier New" w:hint="default"/>
      </w:rPr>
    </w:lvl>
    <w:lvl w:ilvl="5" w:tplc="04020005" w:tentative="1">
      <w:start w:val="1"/>
      <w:numFmt w:val="bullet"/>
      <w:lvlText w:val=""/>
      <w:lvlJc w:val="left"/>
      <w:pPr>
        <w:tabs>
          <w:tab w:val="num" w:pos="4942"/>
        </w:tabs>
        <w:ind w:left="4942" w:hanging="360"/>
      </w:pPr>
      <w:rPr>
        <w:rFonts w:ascii="Wingdings" w:hAnsi="Wingdings" w:hint="default"/>
      </w:rPr>
    </w:lvl>
    <w:lvl w:ilvl="6" w:tplc="04020001" w:tentative="1">
      <w:start w:val="1"/>
      <w:numFmt w:val="bullet"/>
      <w:lvlText w:val=""/>
      <w:lvlJc w:val="left"/>
      <w:pPr>
        <w:tabs>
          <w:tab w:val="num" w:pos="5662"/>
        </w:tabs>
        <w:ind w:left="5662" w:hanging="360"/>
      </w:pPr>
      <w:rPr>
        <w:rFonts w:ascii="Symbol" w:hAnsi="Symbol" w:hint="default"/>
      </w:rPr>
    </w:lvl>
    <w:lvl w:ilvl="7" w:tplc="04020003" w:tentative="1">
      <w:start w:val="1"/>
      <w:numFmt w:val="bullet"/>
      <w:lvlText w:val="o"/>
      <w:lvlJc w:val="left"/>
      <w:pPr>
        <w:tabs>
          <w:tab w:val="num" w:pos="6382"/>
        </w:tabs>
        <w:ind w:left="6382" w:hanging="360"/>
      </w:pPr>
      <w:rPr>
        <w:rFonts w:ascii="Courier New" w:hAnsi="Courier New" w:cs="Courier New" w:hint="default"/>
      </w:rPr>
    </w:lvl>
    <w:lvl w:ilvl="8" w:tplc="04020005" w:tentative="1">
      <w:start w:val="1"/>
      <w:numFmt w:val="bullet"/>
      <w:lvlText w:val=""/>
      <w:lvlJc w:val="left"/>
      <w:pPr>
        <w:tabs>
          <w:tab w:val="num" w:pos="7102"/>
        </w:tabs>
        <w:ind w:left="7102" w:hanging="360"/>
      </w:pPr>
      <w:rPr>
        <w:rFonts w:ascii="Wingdings" w:hAnsi="Wingdings" w:hint="default"/>
      </w:rPr>
    </w:lvl>
  </w:abstractNum>
  <w:abstractNum w:abstractNumId="34">
    <w:nsid w:val="57F6329F"/>
    <w:multiLevelType w:val="hybridMultilevel"/>
    <w:tmpl w:val="2C122C02"/>
    <w:lvl w:ilvl="0" w:tplc="AF447AC2">
      <w:start w:val="1"/>
      <w:numFmt w:val="bullet"/>
      <w:pStyle w:val="List"/>
      <w:lvlText w:val=""/>
      <w:lvlJc w:val="left"/>
      <w:pPr>
        <w:ind w:left="360" w:hanging="360"/>
      </w:pPr>
      <w:rPr>
        <w:rFonts w:ascii="Symbol" w:hAnsi="Symbol" w:hint="default"/>
        <w:color w:val="C00000"/>
      </w:rPr>
    </w:lvl>
    <w:lvl w:ilvl="1" w:tplc="04020003">
      <w:start w:val="1"/>
      <w:numFmt w:val="bullet"/>
      <w:lvlText w:val="o"/>
      <w:lvlJc w:val="left"/>
      <w:pPr>
        <w:ind w:left="1080" w:hanging="360"/>
      </w:pPr>
      <w:rPr>
        <w:rFonts w:ascii="Courier New" w:hAnsi="Courier New" w:hint="default"/>
      </w:rPr>
    </w:lvl>
    <w:lvl w:ilvl="2" w:tplc="04020005">
      <w:start w:val="1"/>
      <w:numFmt w:val="bullet"/>
      <w:lvlText w:val=""/>
      <w:lvlJc w:val="left"/>
      <w:pPr>
        <w:ind w:left="1800" w:hanging="360"/>
      </w:pPr>
      <w:rPr>
        <w:rFonts w:ascii="Wingdings" w:hAnsi="Wingdings" w:hint="default"/>
      </w:rPr>
    </w:lvl>
    <w:lvl w:ilvl="3" w:tplc="04020001">
      <w:start w:val="1"/>
      <w:numFmt w:val="bullet"/>
      <w:lvlText w:val=""/>
      <w:lvlJc w:val="left"/>
      <w:pPr>
        <w:ind w:left="2520" w:hanging="360"/>
      </w:pPr>
      <w:rPr>
        <w:rFonts w:ascii="Symbol" w:hAnsi="Symbol" w:hint="default"/>
      </w:rPr>
    </w:lvl>
    <w:lvl w:ilvl="4" w:tplc="04020003">
      <w:start w:val="1"/>
      <w:numFmt w:val="bullet"/>
      <w:lvlText w:val="o"/>
      <w:lvlJc w:val="left"/>
      <w:pPr>
        <w:ind w:left="3240" w:hanging="360"/>
      </w:pPr>
      <w:rPr>
        <w:rFonts w:ascii="Courier New" w:hAnsi="Courier New" w:hint="default"/>
      </w:rPr>
    </w:lvl>
    <w:lvl w:ilvl="5" w:tplc="04020005">
      <w:start w:val="1"/>
      <w:numFmt w:val="bullet"/>
      <w:lvlText w:val=""/>
      <w:lvlJc w:val="left"/>
      <w:pPr>
        <w:ind w:left="3960" w:hanging="360"/>
      </w:pPr>
      <w:rPr>
        <w:rFonts w:ascii="Wingdings" w:hAnsi="Wingdings" w:hint="default"/>
      </w:rPr>
    </w:lvl>
    <w:lvl w:ilvl="6" w:tplc="04020001">
      <w:start w:val="1"/>
      <w:numFmt w:val="bullet"/>
      <w:lvlText w:val=""/>
      <w:lvlJc w:val="left"/>
      <w:pPr>
        <w:ind w:left="4680" w:hanging="360"/>
      </w:pPr>
      <w:rPr>
        <w:rFonts w:ascii="Symbol" w:hAnsi="Symbol" w:hint="default"/>
      </w:rPr>
    </w:lvl>
    <w:lvl w:ilvl="7" w:tplc="04020003">
      <w:start w:val="1"/>
      <w:numFmt w:val="bullet"/>
      <w:lvlText w:val="o"/>
      <w:lvlJc w:val="left"/>
      <w:pPr>
        <w:ind w:left="5400" w:hanging="360"/>
      </w:pPr>
      <w:rPr>
        <w:rFonts w:ascii="Courier New" w:hAnsi="Courier New" w:hint="default"/>
      </w:rPr>
    </w:lvl>
    <w:lvl w:ilvl="8" w:tplc="04020005">
      <w:start w:val="1"/>
      <w:numFmt w:val="bullet"/>
      <w:lvlText w:val=""/>
      <w:lvlJc w:val="left"/>
      <w:pPr>
        <w:ind w:left="6120" w:hanging="360"/>
      </w:pPr>
      <w:rPr>
        <w:rFonts w:ascii="Wingdings" w:hAnsi="Wingdings" w:hint="default"/>
      </w:rPr>
    </w:lvl>
  </w:abstractNum>
  <w:abstractNum w:abstractNumId="35">
    <w:nsid w:val="598463F1"/>
    <w:multiLevelType w:val="hybridMultilevel"/>
    <w:tmpl w:val="A2566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E4958DA"/>
    <w:multiLevelType w:val="hybridMultilevel"/>
    <w:tmpl w:val="D1229000"/>
    <w:lvl w:ilvl="0" w:tplc="FFFFFFFF">
      <w:start w:val="1"/>
      <w:numFmt w:val="bullet"/>
      <w:lvlText w:val=""/>
      <w:lvlJc w:val="left"/>
      <w:pPr>
        <w:ind w:left="1287" w:hanging="360"/>
      </w:pPr>
      <w:rPr>
        <w:rFonts w:ascii="Symbol" w:hAnsi="Symbol" w:hint="default"/>
        <w:color w:val="2E74B5" w:themeColor="accent1" w:themeShade="BF"/>
      </w:rPr>
    </w:lvl>
    <w:lvl w:ilvl="1" w:tplc="3CC22DA2">
      <w:start w:val="1"/>
      <w:numFmt w:val="bullet"/>
      <w:lvlText w:val=""/>
      <w:lvlJc w:val="left"/>
      <w:pPr>
        <w:ind w:left="720" w:hanging="360"/>
      </w:pPr>
      <w:rPr>
        <w:rFonts w:ascii="Symbol" w:hAnsi="Symbol" w:hint="default"/>
        <w:color w:val="2E74B5" w:themeColor="accent1" w:themeShade="BF"/>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37">
    <w:nsid w:val="64A12FA4"/>
    <w:multiLevelType w:val="multilevel"/>
    <w:tmpl w:val="428ECF3E"/>
    <w:name w:val="Heading"/>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nsid w:val="666A3B23"/>
    <w:multiLevelType w:val="hybridMultilevel"/>
    <w:tmpl w:val="FD80DF6C"/>
    <w:lvl w:ilvl="0" w:tplc="04090005">
      <w:start w:val="1"/>
      <w:numFmt w:val="bullet"/>
      <w:lvlText w:val=""/>
      <w:lvlJc w:val="left"/>
      <w:pPr>
        <w:tabs>
          <w:tab w:val="num" w:pos="1736"/>
        </w:tabs>
        <w:ind w:left="1736" w:hanging="885"/>
      </w:pPr>
      <w:rPr>
        <w:rFonts w:ascii="Wingdings" w:hAnsi="Wingdings" w:hint="default"/>
      </w:rPr>
    </w:lvl>
    <w:lvl w:ilvl="1" w:tplc="04020003" w:tentative="1">
      <w:start w:val="1"/>
      <w:numFmt w:val="bullet"/>
      <w:lvlText w:val="o"/>
      <w:lvlJc w:val="left"/>
      <w:pPr>
        <w:tabs>
          <w:tab w:val="num" w:pos="2062"/>
        </w:tabs>
        <w:ind w:left="2062" w:hanging="360"/>
      </w:pPr>
      <w:rPr>
        <w:rFonts w:ascii="Courier New" w:hAnsi="Courier New" w:cs="Courier New" w:hint="default"/>
      </w:rPr>
    </w:lvl>
    <w:lvl w:ilvl="2" w:tplc="04020005">
      <w:start w:val="1"/>
      <w:numFmt w:val="bullet"/>
      <w:lvlText w:val=""/>
      <w:lvlJc w:val="left"/>
      <w:pPr>
        <w:tabs>
          <w:tab w:val="num" w:pos="2782"/>
        </w:tabs>
        <w:ind w:left="2782" w:hanging="360"/>
      </w:pPr>
      <w:rPr>
        <w:rFonts w:ascii="Wingdings" w:hAnsi="Wingdings" w:hint="default"/>
      </w:rPr>
    </w:lvl>
    <w:lvl w:ilvl="3" w:tplc="04020001" w:tentative="1">
      <w:start w:val="1"/>
      <w:numFmt w:val="bullet"/>
      <w:lvlText w:val=""/>
      <w:lvlJc w:val="left"/>
      <w:pPr>
        <w:tabs>
          <w:tab w:val="num" w:pos="3502"/>
        </w:tabs>
        <w:ind w:left="3502" w:hanging="360"/>
      </w:pPr>
      <w:rPr>
        <w:rFonts w:ascii="Symbol" w:hAnsi="Symbol" w:hint="default"/>
      </w:rPr>
    </w:lvl>
    <w:lvl w:ilvl="4" w:tplc="04020003" w:tentative="1">
      <w:start w:val="1"/>
      <w:numFmt w:val="bullet"/>
      <w:lvlText w:val="o"/>
      <w:lvlJc w:val="left"/>
      <w:pPr>
        <w:tabs>
          <w:tab w:val="num" w:pos="4222"/>
        </w:tabs>
        <w:ind w:left="4222" w:hanging="360"/>
      </w:pPr>
      <w:rPr>
        <w:rFonts w:ascii="Courier New" w:hAnsi="Courier New" w:cs="Courier New" w:hint="default"/>
      </w:rPr>
    </w:lvl>
    <w:lvl w:ilvl="5" w:tplc="04020005" w:tentative="1">
      <w:start w:val="1"/>
      <w:numFmt w:val="bullet"/>
      <w:lvlText w:val=""/>
      <w:lvlJc w:val="left"/>
      <w:pPr>
        <w:tabs>
          <w:tab w:val="num" w:pos="4942"/>
        </w:tabs>
        <w:ind w:left="4942" w:hanging="360"/>
      </w:pPr>
      <w:rPr>
        <w:rFonts w:ascii="Wingdings" w:hAnsi="Wingdings" w:hint="default"/>
      </w:rPr>
    </w:lvl>
    <w:lvl w:ilvl="6" w:tplc="04020001" w:tentative="1">
      <w:start w:val="1"/>
      <w:numFmt w:val="bullet"/>
      <w:lvlText w:val=""/>
      <w:lvlJc w:val="left"/>
      <w:pPr>
        <w:tabs>
          <w:tab w:val="num" w:pos="5662"/>
        </w:tabs>
        <w:ind w:left="5662" w:hanging="360"/>
      </w:pPr>
      <w:rPr>
        <w:rFonts w:ascii="Symbol" w:hAnsi="Symbol" w:hint="default"/>
      </w:rPr>
    </w:lvl>
    <w:lvl w:ilvl="7" w:tplc="04020003" w:tentative="1">
      <w:start w:val="1"/>
      <w:numFmt w:val="bullet"/>
      <w:lvlText w:val="o"/>
      <w:lvlJc w:val="left"/>
      <w:pPr>
        <w:tabs>
          <w:tab w:val="num" w:pos="6382"/>
        </w:tabs>
        <w:ind w:left="6382" w:hanging="360"/>
      </w:pPr>
      <w:rPr>
        <w:rFonts w:ascii="Courier New" w:hAnsi="Courier New" w:cs="Courier New" w:hint="default"/>
      </w:rPr>
    </w:lvl>
    <w:lvl w:ilvl="8" w:tplc="04020005" w:tentative="1">
      <w:start w:val="1"/>
      <w:numFmt w:val="bullet"/>
      <w:lvlText w:val=""/>
      <w:lvlJc w:val="left"/>
      <w:pPr>
        <w:tabs>
          <w:tab w:val="num" w:pos="7102"/>
        </w:tabs>
        <w:ind w:left="7102" w:hanging="360"/>
      </w:pPr>
      <w:rPr>
        <w:rFonts w:ascii="Wingdings" w:hAnsi="Wingdings" w:hint="default"/>
      </w:rPr>
    </w:lvl>
  </w:abstractNum>
  <w:abstractNum w:abstractNumId="39">
    <w:nsid w:val="690F26AA"/>
    <w:multiLevelType w:val="hybridMultilevel"/>
    <w:tmpl w:val="E0582A60"/>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0">
    <w:nsid w:val="75D946DD"/>
    <w:multiLevelType w:val="hybridMultilevel"/>
    <w:tmpl w:val="613CB526"/>
    <w:lvl w:ilvl="0" w:tplc="0ED09FF6">
      <w:numFmt w:val="bullet"/>
      <w:pStyle w:val="Normal1"/>
      <w:lvlText w:val="—"/>
      <w:lvlJc w:val="left"/>
      <w:pPr>
        <w:tabs>
          <w:tab w:val="num" w:pos="1701"/>
        </w:tabs>
        <w:ind w:left="1701" w:hanging="567"/>
      </w:pPr>
      <w:rPr>
        <w:rFonts w:ascii="Times New Roman" w:eastAsia="Times New Roman" w:hAnsi="Times New Roman" w:hint="default"/>
      </w:rPr>
    </w:lvl>
    <w:lvl w:ilvl="1" w:tplc="04090003">
      <w:start w:val="1"/>
      <w:numFmt w:val="bullet"/>
      <w:lvlText w:val="o"/>
      <w:lvlJc w:val="left"/>
      <w:pPr>
        <w:tabs>
          <w:tab w:val="num" w:pos="2007"/>
        </w:tabs>
        <w:ind w:left="2007" w:hanging="360"/>
      </w:pPr>
      <w:rPr>
        <w:rFonts w:ascii="Courier New" w:hAnsi="Courier New" w:cs="Courier New" w:hint="default"/>
      </w:rPr>
    </w:lvl>
    <w:lvl w:ilvl="2" w:tplc="04090005">
      <w:start w:val="1"/>
      <w:numFmt w:val="bullet"/>
      <w:lvlText w:val=""/>
      <w:lvlJc w:val="left"/>
      <w:pPr>
        <w:tabs>
          <w:tab w:val="num" w:pos="2727"/>
        </w:tabs>
        <w:ind w:left="2727" w:hanging="360"/>
      </w:pPr>
      <w:rPr>
        <w:rFonts w:ascii="Wingdings" w:hAnsi="Wingdings" w:cs="Times New Roman" w:hint="default"/>
      </w:rPr>
    </w:lvl>
    <w:lvl w:ilvl="3" w:tplc="04090001">
      <w:start w:val="1"/>
      <w:numFmt w:val="bullet"/>
      <w:lvlText w:val=""/>
      <w:lvlJc w:val="left"/>
      <w:pPr>
        <w:tabs>
          <w:tab w:val="num" w:pos="3447"/>
        </w:tabs>
        <w:ind w:left="3447" w:hanging="360"/>
      </w:pPr>
      <w:rPr>
        <w:rFonts w:ascii="Symbol" w:hAnsi="Symbol" w:cs="Times New Roman" w:hint="default"/>
      </w:rPr>
    </w:lvl>
    <w:lvl w:ilvl="4" w:tplc="04090003">
      <w:start w:val="1"/>
      <w:numFmt w:val="bullet"/>
      <w:lvlText w:val="o"/>
      <w:lvlJc w:val="left"/>
      <w:pPr>
        <w:tabs>
          <w:tab w:val="num" w:pos="4167"/>
        </w:tabs>
        <w:ind w:left="4167" w:hanging="360"/>
      </w:pPr>
      <w:rPr>
        <w:rFonts w:ascii="Courier New" w:hAnsi="Courier New" w:cs="Courier New" w:hint="default"/>
      </w:rPr>
    </w:lvl>
    <w:lvl w:ilvl="5" w:tplc="04090005">
      <w:start w:val="1"/>
      <w:numFmt w:val="bullet"/>
      <w:lvlText w:val=""/>
      <w:lvlJc w:val="left"/>
      <w:pPr>
        <w:tabs>
          <w:tab w:val="num" w:pos="4887"/>
        </w:tabs>
        <w:ind w:left="4887" w:hanging="360"/>
      </w:pPr>
      <w:rPr>
        <w:rFonts w:ascii="Wingdings" w:hAnsi="Wingdings" w:cs="Times New Roman" w:hint="default"/>
      </w:rPr>
    </w:lvl>
    <w:lvl w:ilvl="6" w:tplc="04090001">
      <w:start w:val="1"/>
      <w:numFmt w:val="bullet"/>
      <w:lvlText w:val=""/>
      <w:lvlJc w:val="left"/>
      <w:pPr>
        <w:tabs>
          <w:tab w:val="num" w:pos="5607"/>
        </w:tabs>
        <w:ind w:left="5607" w:hanging="360"/>
      </w:pPr>
      <w:rPr>
        <w:rFonts w:ascii="Symbol" w:hAnsi="Symbol" w:cs="Times New Roman" w:hint="default"/>
      </w:rPr>
    </w:lvl>
    <w:lvl w:ilvl="7" w:tplc="04090003">
      <w:start w:val="1"/>
      <w:numFmt w:val="bullet"/>
      <w:lvlText w:val="o"/>
      <w:lvlJc w:val="left"/>
      <w:pPr>
        <w:tabs>
          <w:tab w:val="num" w:pos="6327"/>
        </w:tabs>
        <w:ind w:left="6327" w:hanging="360"/>
      </w:pPr>
      <w:rPr>
        <w:rFonts w:ascii="Courier New" w:hAnsi="Courier New" w:cs="Courier New" w:hint="default"/>
      </w:rPr>
    </w:lvl>
    <w:lvl w:ilvl="8" w:tplc="04090005">
      <w:start w:val="1"/>
      <w:numFmt w:val="bullet"/>
      <w:lvlText w:val=""/>
      <w:lvlJc w:val="left"/>
      <w:pPr>
        <w:tabs>
          <w:tab w:val="num" w:pos="7047"/>
        </w:tabs>
        <w:ind w:left="7047" w:hanging="360"/>
      </w:pPr>
      <w:rPr>
        <w:rFonts w:ascii="Wingdings" w:hAnsi="Wingdings" w:cs="Times New Roman" w:hint="default"/>
      </w:rPr>
    </w:lvl>
  </w:abstractNum>
  <w:num w:numId="1">
    <w:abstractNumId w:val="31"/>
  </w:num>
  <w:num w:numId="2">
    <w:abstractNumId w:val="28"/>
  </w:num>
  <w:num w:numId="3">
    <w:abstractNumId w:val="27"/>
  </w:num>
  <w:num w:numId="4">
    <w:abstractNumId w:val="14"/>
  </w:num>
  <w:num w:numId="5">
    <w:abstractNumId w:val="15"/>
  </w:num>
  <w:num w:numId="6">
    <w:abstractNumId w:val="34"/>
  </w:num>
  <w:num w:numId="7">
    <w:abstractNumId w:val="8"/>
  </w:num>
  <w:num w:numId="8">
    <w:abstractNumId w:val="40"/>
  </w:num>
  <w:num w:numId="9">
    <w:abstractNumId w:val="30"/>
  </w:num>
  <w:num w:numId="10">
    <w:abstractNumId w:val="24"/>
  </w:num>
  <w:num w:numId="11">
    <w:abstractNumId w:val="2"/>
  </w:num>
  <w:num w:numId="12">
    <w:abstractNumId w:val="12"/>
  </w:num>
  <w:num w:numId="13">
    <w:abstractNumId w:val="32"/>
  </w:num>
  <w:num w:numId="14">
    <w:abstractNumId w:val="39"/>
  </w:num>
  <w:num w:numId="15">
    <w:abstractNumId w:val="16"/>
  </w:num>
  <w:num w:numId="16">
    <w:abstractNumId w:val="1"/>
  </w:num>
  <w:num w:numId="17">
    <w:abstractNumId w:val="0"/>
  </w:num>
  <w:num w:numId="18">
    <w:abstractNumId w:val="21"/>
  </w:num>
  <w:num w:numId="19">
    <w:abstractNumId w:val="25"/>
  </w:num>
  <w:num w:numId="20">
    <w:abstractNumId w:val="17"/>
  </w:num>
  <w:num w:numId="21">
    <w:abstractNumId w:val="10"/>
  </w:num>
  <w:num w:numId="22">
    <w:abstractNumId w:val="11"/>
  </w:num>
  <w:num w:numId="23">
    <w:abstractNumId w:val="9"/>
  </w:num>
  <w:num w:numId="24">
    <w:abstractNumId w:val="20"/>
  </w:num>
  <w:num w:numId="25">
    <w:abstractNumId w:val="36"/>
  </w:num>
  <w:num w:numId="26">
    <w:abstractNumId w:val="35"/>
  </w:num>
  <w:num w:numId="27">
    <w:abstractNumId w:val="18"/>
  </w:num>
  <w:num w:numId="28">
    <w:abstractNumId w:val="22"/>
  </w:num>
  <w:num w:numId="29">
    <w:abstractNumId w:val="29"/>
  </w:num>
  <w:num w:numId="30">
    <w:abstractNumId w:val="26"/>
  </w:num>
  <w:num w:numId="31">
    <w:abstractNumId w:val="13"/>
  </w:num>
  <w:num w:numId="32">
    <w:abstractNumId w:val="7"/>
  </w:num>
  <w:num w:numId="33">
    <w:abstractNumId w:val="23"/>
  </w:num>
  <w:num w:numId="34">
    <w:abstractNumId w:val="19"/>
  </w:num>
  <w:num w:numId="35">
    <w:abstractNumId w:val="14"/>
  </w:num>
  <w:num w:numId="36">
    <w:abstractNumId w:val="33"/>
  </w:num>
  <w:num w:numId="37">
    <w:abstractNumId w:val="38"/>
  </w:num>
  <w:num w:numId="38">
    <w:abstractNumId w:val="14"/>
  </w:num>
  <w:num w:numId="39">
    <w:abstractNumId w:val="1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GrammaticalErrors/>
  <w:proofState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2CC"/>
    <w:rsid w:val="00000317"/>
    <w:rsid w:val="0000065B"/>
    <w:rsid w:val="00001015"/>
    <w:rsid w:val="000022A9"/>
    <w:rsid w:val="00002FE0"/>
    <w:rsid w:val="000032E8"/>
    <w:rsid w:val="00005A83"/>
    <w:rsid w:val="00005B62"/>
    <w:rsid w:val="000078B3"/>
    <w:rsid w:val="00007B05"/>
    <w:rsid w:val="000104F2"/>
    <w:rsid w:val="00010B0A"/>
    <w:rsid w:val="00010DCD"/>
    <w:rsid w:val="000117EE"/>
    <w:rsid w:val="00011B82"/>
    <w:rsid w:val="00012028"/>
    <w:rsid w:val="00012BF9"/>
    <w:rsid w:val="00012F6C"/>
    <w:rsid w:val="00013C56"/>
    <w:rsid w:val="00014520"/>
    <w:rsid w:val="00014F34"/>
    <w:rsid w:val="00015DE5"/>
    <w:rsid w:val="0001676A"/>
    <w:rsid w:val="0002262E"/>
    <w:rsid w:val="0002334F"/>
    <w:rsid w:val="00023855"/>
    <w:rsid w:val="000238AF"/>
    <w:rsid w:val="000238B7"/>
    <w:rsid w:val="00024169"/>
    <w:rsid w:val="00024BD8"/>
    <w:rsid w:val="000252CB"/>
    <w:rsid w:val="00025B86"/>
    <w:rsid w:val="000268CE"/>
    <w:rsid w:val="00027925"/>
    <w:rsid w:val="00031CEE"/>
    <w:rsid w:val="00031D93"/>
    <w:rsid w:val="00033565"/>
    <w:rsid w:val="00033626"/>
    <w:rsid w:val="00033C8F"/>
    <w:rsid w:val="00033FD4"/>
    <w:rsid w:val="000344A2"/>
    <w:rsid w:val="00034CF4"/>
    <w:rsid w:val="00034D7D"/>
    <w:rsid w:val="00036011"/>
    <w:rsid w:val="0003638A"/>
    <w:rsid w:val="000366F8"/>
    <w:rsid w:val="00037C61"/>
    <w:rsid w:val="0004177B"/>
    <w:rsid w:val="00042156"/>
    <w:rsid w:val="00042F1F"/>
    <w:rsid w:val="00043068"/>
    <w:rsid w:val="00043B98"/>
    <w:rsid w:val="00045AF3"/>
    <w:rsid w:val="000466E8"/>
    <w:rsid w:val="00046B36"/>
    <w:rsid w:val="000475DA"/>
    <w:rsid w:val="000479DA"/>
    <w:rsid w:val="000507F3"/>
    <w:rsid w:val="00051F54"/>
    <w:rsid w:val="00051FB3"/>
    <w:rsid w:val="00051FE4"/>
    <w:rsid w:val="00052626"/>
    <w:rsid w:val="00052735"/>
    <w:rsid w:val="00053804"/>
    <w:rsid w:val="00054EF1"/>
    <w:rsid w:val="000569B9"/>
    <w:rsid w:val="00056AAF"/>
    <w:rsid w:val="00057169"/>
    <w:rsid w:val="00057712"/>
    <w:rsid w:val="000604B1"/>
    <w:rsid w:val="000611B5"/>
    <w:rsid w:val="00061F8F"/>
    <w:rsid w:val="000631E7"/>
    <w:rsid w:val="00064CB4"/>
    <w:rsid w:val="00064FFE"/>
    <w:rsid w:val="00067523"/>
    <w:rsid w:val="000679F8"/>
    <w:rsid w:val="000721EB"/>
    <w:rsid w:val="00072D45"/>
    <w:rsid w:val="000731D8"/>
    <w:rsid w:val="00073216"/>
    <w:rsid w:val="0007449E"/>
    <w:rsid w:val="00074EFF"/>
    <w:rsid w:val="000754C9"/>
    <w:rsid w:val="00080D33"/>
    <w:rsid w:val="00081522"/>
    <w:rsid w:val="00082366"/>
    <w:rsid w:val="00083D2B"/>
    <w:rsid w:val="00084D85"/>
    <w:rsid w:val="000856B3"/>
    <w:rsid w:val="00087200"/>
    <w:rsid w:val="0008769B"/>
    <w:rsid w:val="0009685B"/>
    <w:rsid w:val="00096BA1"/>
    <w:rsid w:val="000972A1"/>
    <w:rsid w:val="000978C1"/>
    <w:rsid w:val="000A07C9"/>
    <w:rsid w:val="000A0891"/>
    <w:rsid w:val="000A0CD7"/>
    <w:rsid w:val="000A25B2"/>
    <w:rsid w:val="000A29E9"/>
    <w:rsid w:val="000A2A08"/>
    <w:rsid w:val="000A36C3"/>
    <w:rsid w:val="000A36C4"/>
    <w:rsid w:val="000A3858"/>
    <w:rsid w:val="000A490E"/>
    <w:rsid w:val="000A7A1B"/>
    <w:rsid w:val="000B0420"/>
    <w:rsid w:val="000B164D"/>
    <w:rsid w:val="000B190F"/>
    <w:rsid w:val="000B3548"/>
    <w:rsid w:val="000B3741"/>
    <w:rsid w:val="000B3FF8"/>
    <w:rsid w:val="000B6676"/>
    <w:rsid w:val="000C025A"/>
    <w:rsid w:val="000C0858"/>
    <w:rsid w:val="000C2DA7"/>
    <w:rsid w:val="000C32CC"/>
    <w:rsid w:val="000C6423"/>
    <w:rsid w:val="000D0213"/>
    <w:rsid w:val="000D0A9A"/>
    <w:rsid w:val="000D16BE"/>
    <w:rsid w:val="000D223F"/>
    <w:rsid w:val="000D289A"/>
    <w:rsid w:val="000D4670"/>
    <w:rsid w:val="000D4C44"/>
    <w:rsid w:val="000D59FF"/>
    <w:rsid w:val="000D5E7C"/>
    <w:rsid w:val="000D65BC"/>
    <w:rsid w:val="000D717E"/>
    <w:rsid w:val="000D7C90"/>
    <w:rsid w:val="000E0B39"/>
    <w:rsid w:val="000E0FC8"/>
    <w:rsid w:val="000E11EF"/>
    <w:rsid w:val="000E139E"/>
    <w:rsid w:val="000E36F4"/>
    <w:rsid w:val="000E4BAC"/>
    <w:rsid w:val="000E59D0"/>
    <w:rsid w:val="000E5C75"/>
    <w:rsid w:val="000E73EC"/>
    <w:rsid w:val="000E7C74"/>
    <w:rsid w:val="000F0DDC"/>
    <w:rsid w:val="000F1190"/>
    <w:rsid w:val="000F39BA"/>
    <w:rsid w:val="000F3A3C"/>
    <w:rsid w:val="001005F9"/>
    <w:rsid w:val="00101EF0"/>
    <w:rsid w:val="0010247F"/>
    <w:rsid w:val="0010376F"/>
    <w:rsid w:val="0010447B"/>
    <w:rsid w:val="00104944"/>
    <w:rsid w:val="00104FBB"/>
    <w:rsid w:val="00105283"/>
    <w:rsid w:val="0010568C"/>
    <w:rsid w:val="00105BCB"/>
    <w:rsid w:val="00105C36"/>
    <w:rsid w:val="00106400"/>
    <w:rsid w:val="001069B9"/>
    <w:rsid w:val="00106B6E"/>
    <w:rsid w:val="00107E69"/>
    <w:rsid w:val="00114962"/>
    <w:rsid w:val="00115532"/>
    <w:rsid w:val="00115C94"/>
    <w:rsid w:val="00115F18"/>
    <w:rsid w:val="00117038"/>
    <w:rsid w:val="00117A34"/>
    <w:rsid w:val="00120575"/>
    <w:rsid w:val="00122B64"/>
    <w:rsid w:val="00123C9B"/>
    <w:rsid w:val="00123E78"/>
    <w:rsid w:val="00125BB8"/>
    <w:rsid w:val="00125CC9"/>
    <w:rsid w:val="001273BD"/>
    <w:rsid w:val="00131047"/>
    <w:rsid w:val="00131372"/>
    <w:rsid w:val="00133C67"/>
    <w:rsid w:val="001349AB"/>
    <w:rsid w:val="00135A19"/>
    <w:rsid w:val="00136B48"/>
    <w:rsid w:val="001370AB"/>
    <w:rsid w:val="001374C0"/>
    <w:rsid w:val="00142923"/>
    <w:rsid w:val="00142A9E"/>
    <w:rsid w:val="00142AB2"/>
    <w:rsid w:val="00144032"/>
    <w:rsid w:val="00145D04"/>
    <w:rsid w:val="0014610B"/>
    <w:rsid w:val="001462AC"/>
    <w:rsid w:val="00150751"/>
    <w:rsid w:val="00151599"/>
    <w:rsid w:val="00151E6F"/>
    <w:rsid w:val="0015208C"/>
    <w:rsid w:val="0015239A"/>
    <w:rsid w:val="0015295C"/>
    <w:rsid w:val="00153338"/>
    <w:rsid w:val="00154765"/>
    <w:rsid w:val="00156633"/>
    <w:rsid w:val="00156DE5"/>
    <w:rsid w:val="001571E3"/>
    <w:rsid w:val="00160A04"/>
    <w:rsid w:val="001612B5"/>
    <w:rsid w:val="00161886"/>
    <w:rsid w:val="00161906"/>
    <w:rsid w:val="001621F8"/>
    <w:rsid w:val="00162FC1"/>
    <w:rsid w:val="001647CD"/>
    <w:rsid w:val="00164ADA"/>
    <w:rsid w:val="00165627"/>
    <w:rsid w:val="00166330"/>
    <w:rsid w:val="00166C56"/>
    <w:rsid w:val="00167766"/>
    <w:rsid w:val="001703AB"/>
    <w:rsid w:val="001709A5"/>
    <w:rsid w:val="001719EE"/>
    <w:rsid w:val="00171D99"/>
    <w:rsid w:val="0017278C"/>
    <w:rsid w:val="0017317B"/>
    <w:rsid w:val="00173E6F"/>
    <w:rsid w:val="00173FE0"/>
    <w:rsid w:val="00176354"/>
    <w:rsid w:val="00176926"/>
    <w:rsid w:val="001769F4"/>
    <w:rsid w:val="00181466"/>
    <w:rsid w:val="00181F81"/>
    <w:rsid w:val="00182E58"/>
    <w:rsid w:val="00183088"/>
    <w:rsid w:val="001836EF"/>
    <w:rsid w:val="00184369"/>
    <w:rsid w:val="00184372"/>
    <w:rsid w:val="00184B14"/>
    <w:rsid w:val="0018530D"/>
    <w:rsid w:val="00186871"/>
    <w:rsid w:val="00186B4B"/>
    <w:rsid w:val="001875D9"/>
    <w:rsid w:val="00187695"/>
    <w:rsid w:val="001876E8"/>
    <w:rsid w:val="00190646"/>
    <w:rsid w:val="00191C70"/>
    <w:rsid w:val="00191E10"/>
    <w:rsid w:val="00193987"/>
    <w:rsid w:val="0019447B"/>
    <w:rsid w:val="00194A46"/>
    <w:rsid w:val="00195B1F"/>
    <w:rsid w:val="00196D38"/>
    <w:rsid w:val="00196EAB"/>
    <w:rsid w:val="001A09DE"/>
    <w:rsid w:val="001A0D07"/>
    <w:rsid w:val="001A16A5"/>
    <w:rsid w:val="001A1CDB"/>
    <w:rsid w:val="001A2B63"/>
    <w:rsid w:val="001A3E7D"/>
    <w:rsid w:val="001A413B"/>
    <w:rsid w:val="001A4F57"/>
    <w:rsid w:val="001A54A4"/>
    <w:rsid w:val="001B27C4"/>
    <w:rsid w:val="001B2FA8"/>
    <w:rsid w:val="001B3166"/>
    <w:rsid w:val="001B32B6"/>
    <w:rsid w:val="001B38CA"/>
    <w:rsid w:val="001B3A4D"/>
    <w:rsid w:val="001B529F"/>
    <w:rsid w:val="001B60C2"/>
    <w:rsid w:val="001B65F4"/>
    <w:rsid w:val="001C046B"/>
    <w:rsid w:val="001C0FC6"/>
    <w:rsid w:val="001C15EF"/>
    <w:rsid w:val="001C1836"/>
    <w:rsid w:val="001C2658"/>
    <w:rsid w:val="001C3914"/>
    <w:rsid w:val="001C5086"/>
    <w:rsid w:val="001C6876"/>
    <w:rsid w:val="001C6A45"/>
    <w:rsid w:val="001C6A58"/>
    <w:rsid w:val="001C7456"/>
    <w:rsid w:val="001C7FCC"/>
    <w:rsid w:val="001D022E"/>
    <w:rsid w:val="001D03FA"/>
    <w:rsid w:val="001D0993"/>
    <w:rsid w:val="001D1FB6"/>
    <w:rsid w:val="001D2BB9"/>
    <w:rsid w:val="001D2DD1"/>
    <w:rsid w:val="001D3BD8"/>
    <w:rsid w:val="001D3E1D"/>
    <w:rsid w:val="001D49AE"/>
    <w:rsid w:val="001D4D7A"/>
    <w:rsid w:val="001D6DAE"/>
    <w:rsid w:val="001D72F3"/>
    <w:rsid w:val="001D784E"/>
    <w:rsid w:val="001D7BE0"/>
    <w:rsid w:val="001D7D3F"/>
    <w:rsid w:val="001E21A3"/>
    <w:rsid w:val="001E27A4"/>
    <w:rsid w:val="001E31EB"/>
    <w:rsid w:val="001E3D8D"/>
    <w:rsid w:val="001E3E6B"/>
    <w:rsid w:val="001E4965"/>
    <w:rsid w:val="001E4CB6"/>
    <w:rsid w:val="001E535F"/>
    <w:rsid w:val="001E55C3"/>
    <w:rsid w:val="001E5806"/>
    <w:rsid w:val="001E6086"/>
    <w:rsid w:val="001E6AAA"/>
    <w:rsid w:val="001E6F75"/>
    <w:rsid w:val="001E7350"/>
    <w:rsid w:val="001F0DEB"/>
    <w:rsid w:val="001F197D"/>
    <w:rsid w:val="001F2406"/>
    <w:rsid w:val="001F25F3"/>
    <w:rsid w:val="001F2EE6"/>
    <w:rsid w:val="001F3C44"/>
    <w:rsid w:val="001F4C7A"/>
    <w:rsid w:val="001F5B01"/>
    <w:rsid w:val="001F5BAD"/>
    <w:rsid w:val="001F6450"/>
    <w:rsid w:val="001F6545"/>
    <w:rsid w:val="001F7B18"/>
    <w:rsid w:val="00201723"/>
    <w:rsid w:val="00203539"/>
    <w:rsid w:val="00203A53"/>
    <w:rsid w:val="0020520C"/>
    <w:rsid w:val="00205EDC"/>
    <w:rsid w:val="00206018"/>
    <w:rsid w:val="00206984"/>
    <w:rsid w:val="00206C2A"/>
    <w:rsid w:val="00207265"/>
    <w:rsid w:val="002116CA"/>
    <w:rsid w:val="00213153"/>
    <w:rsid w:val="00213527"/>
    <w:rsid w:val="00213FCF"/>
    <w:rsid w:val="00214D52"/>
    <w:rsid w:val="00215793"/>
    <w:rsid w:val="00215E8C"/>
    <w:rsid w:val="00216445"/>
    <w:rsid w:val="00220B20"/>
    <w:rsid w:val="00220FE9"/>
    <w:rsid w:val="00221F39"/>
    <w:rsid w:val="002227E9"/>
    <w:rsid w:val="00222E73"/>
    <w:rsid w:val="0022335A"/>
    <w:rsid w:val="00223F67"/>
    <w:rsid w:val="00225812"/>
    <w:rsid w:val="002260D4"/>
    <w:rsid w:val="0022742E"/>
    <w:rsid w:val="00227ACA"/>
    <w:rsid w:val="00227EAD"/>
    <w:rsid w:val="00232996"/>
    <w:rsid w:val="0023499B"/>
    <w:rsid w:val="00235695"/>
    <w:rsid w:val="00237ACB"/>
    <w:rsid w:val="00240362"/>
    <w:rsid w:val="00241E71"/>
    <w:rsid w:val="00242261"/>
    <w:rsid w:val="00242AAA"/>
    <w:rsid w:val="002437FA"/>
    <w:rsid w:val="00243F5D"/>
    <w:rsid w:val="0024652E"/>
    <w:rsid w:val="00247F7F"/>
    <w:rsid w:val="00247F93"/>
    <w:rsid w:val="0025049A"/>
    <w:rsid w:val="00252424"/>
    <w:rsid w:val="00252525"/>
    <w:rsid w:val="0025302B"/>
    <w:rsid w:val="00254585"/>
    <w:rsid w:val="00254AB0"/>
    <w:rsid w:val="00255B8A"/>
    <w:rsid w:val="00255EE5"/>
    <w:rsid w:val="00255F92"/>
    <w:rsid w:val="00256292"/>
    <w:rsid w:val="002562CF"/>
    <w:rsid w:val="00256DA2"/>
    <w:rsid w:val="0025778F"/>
    <w:rsid w:val="002577FF"/>
    <w:rsid w:val="002607C9"/>
    <w:rsid w:val="00261187"/>
    <w:rsid w:val="002612F5"/>
    <w:rsid w:val="0026193F"/>
    <w:rsid w:val="00261C56"/>
    <w:rsid w:val="00262081"/>
    <w:rsid w:val="002625C8"/>
    <w:rsid w:val="002627C2"/>
    <w:rsid w:val="002633BC"/>
    <w:rsid w:val="00264AF5"/>
    <w:rsid w:val="00265635"/>
    <w:rsid w:val="00265C30"/>
    <w:rsid w:val="002704D7"/>
    <w:rsid w:val="00270719"/>
    <w:rsid w:val="00270C0E"/>
    <w:rsid w:val="0027161C"/>
    <w:rsid w:val="002718C4"/>
    <w:rsid w:val="002735FC"/>
    <w:rsid w:val="00273974"/>
    <w:rsid w:val="002757B8"/>
    <w:rsid w:val="00276283"/>
    <w:rsid w:val="0027719B"/>
    <w:rsid w:val="00277FB9"/>
    <w:rsid w:val="002805B0"/>
    <w:rsid w:val="002806E9"/>
    <w:rsid w:val="00280E69"/>
    <w:rsid w:val="002811AF"/>
    <w:rsid w:val="0028138C"/>
    <w:rsid w:val="0028209B"/>
    <w:rsid w:val="002823C9"/>
    <w:rsid w:val="002831D8"/>
    <w:rsid w:val="0028384F"/>
    <w:rsid w:val="00283E9C"/>
    <w:rsid w:val="00284119"/>
    <w:rsid w:val="00284286"/>
    <w:rsid w:val="00285772"/>
    <w:rsid w:val="00285F08"/>
    <w:rsid w:val="00285F7C"/>
    <w:rsid w:val="0028669B"/>
    <w:rsid w:val="00287129"/>
    <w:rsid w:val="002876B3"/>
    <w:rsid w:val="00287F4A"/>
    <w:rsid w:val="00290498"/>
    <w:rsid w:val="002904DB"/>
    <w:rsid w:val="002913ED"/>
    <w:rsid w:val="002916C1"/>
    <w:rsid w:val="00292108"/>
    <w:rsid w:val="0029213B"/>
    <w:rsid w:val="00292D44"/>
    <w:rsid w:val="00292ED1"/>
    <w:rsid w:val="00293AFD"/>
    <w:rsid w:val="00293BAE"/>
    <w:rsid w:val="00293C47"/>
    <w:rsid w:val="0029444A"/>
    <w:rsid w:val="0029463E"/>
    <w:rsid w:val="00294B22"/>
    <w:rsid w:val="00295873"/>
    <w:rsid w:val="00296EAE"/>
    <w:rsid w:val="00297CD8"/>
    <w:rsid w:val="002A02E4"/>
    <w:rsid w:val="002A12E3"/>
    <w:rsid w:val="002A1718"/>
    <w:rsid w:val="002A1B5B"/>
    <w:rsid w:val="002A1FDE"/>
    <w:rsid w:val="002A22A2"/>
    <w:rsid w:val="002A2489"/>
    <w:rsid w:val="002A30D8"/>
    <w:rsid w:val="002A319A"/>
    <w:rsid w:val="002A4D73"/>
    <w:rsid w:val="002B0372"/>
    <w:rsid w:val="002B0650"/>
    <w:rsid w:val="002B2D68"/>
    <w:rsid w:val="002B3BD3"/>
    <w:rsid w:val="002B4CA2"/>
    <w:rsid w:val="002B557B"/>
    <w:rsid w:val="002B6C31"/>
    <w:rsid w:val="002C0840"/>
    <w:rsid w:val="002C0C2C"/>
    <w:rsid w:val="002C19F7"/>
    <w:rsid w:val="002C2D13"/>
    <w:rsid w:val="002C5B9C"/>
    <w:rsid w:val="002C60E4"/>
    <w:rsid w:val="002C642D"/>
    <w:rsid w:val="002C70B1"/>
    <w:rsid w:val="002C7422"/>
    <w:rsid w:val="002C7AB9"/>
    <w:rsid w:val="002C7E0C"/>
    <w:rsid w:val="002C7EF1"/>
    <w:rsid w:val="002D0411"/>
    <w:rsid w:val="002D0EEB"/>
    <w:rsid w:val="002D0F3D"/>
    <w:rsid w:val="002D19C3"/>
    <w:rsid w:val="002D1C88"/>
    <w:rsid w:val="002D3612"/>
    <w:rsid w:val="002D3EBC"/>
    <w:rsid w:val="002D4F4E"/>
    <w:rsid w:val="002D5223"/>
    <w:rsid w:val="002D568F"/>
    <w:rsid w:val="002D6236"/>
    <w:rsid w:val="002D63C5"/>
    <w:rsid w:val="002D7518"/>
    <w:rsid w:val="002D7B5E"/>
    <w:rsid w:val="002E1865"/>
    <w:rsid w:val="002E4605"/>
    <w:rsid w:val="002E533F"/>
    <w:rsid w:val="002E6397"/>
    <w:rsid w:val="002E6BDE"/>
    <w:rsid w:val="002E7276"/>
    <w:rsid w:val="002F0242"/>
    <w:rsid w:val="002F0D9F"/>
    <w:rsid w:val="002F198C"/>
    <w:rsid w:val="002F19B3"/>
    <w:rsid w:val="002F1EB2"/>
    <w:rsid w:val="002F260D"/>
    <w:rsid w:val="002F2AD5"/>
    <w:rsid w:val="002F2C73"/>
    <w:rsid w:val="002F30E4"/>
    <w:rsid w:val="002F579B"/>
    <w:rsid w:val="002F66B0"/>
    <w:rsid w:val="0030098C"/>
    <w:rsid w:val="00301D4B"/>
    <w:rsid w:val="003024DB"/>
    <w:rsid w:val="00302581"/>
    <w:rsid w:val="003028F5"/>
    <w:rsid w:val="003055D3"/>
    <w:rsid w:val="003064AB"/>
    <w:rsid w:val="00306BE1"/>
    <w:rsid w:val="00307825"/>
    <w:rsid w:val="00314C55"/>
    <w:rsid w:val="00315351"/>
    <w:rsid w:val="00316FD6"/>
    <w:rsid w:val="00317398"/>
    <w:rsid w:val="00317494"/>
    <w:rsid w:val="003202C1"/>
    <w:rsid w:val="00321175"/>
    <w:rsid w:val="003212A9"/>
    <w:rsid w:val="00321C29"/>
    <w:rsid w:val="00321E37"/>
    <w:rsid w:val="003233EA"/>
    <w:rsid w:val="00323682"/>
    <w:rsid w:val="00323F17"/>
    <w:rsid w:val="00324C43"/>
    <w:rsid w:val="00325ABA"/>
    <w:rsid w:val="003275FA"/>
    <w:rsid w:val="0033224B"/>
    <w:rsid w:val="0033254E"/>
    <w:rsid w:val="00332CCD"/>
    <w:rsid w:val="00333A22"/>
    <w:rsid w:val="00333FD3"/>
    <w:rsid w:val="003351DC"/>
    <w:rsid w:val="00335696"/>
    <w:rsid w:val="00335FB2"/>
    <w:rsid w:val="0033681E"/>
    <w:rsid w:val="00336C47"/>
    <w:rsid w:val="00337A78"/>
    <w:rsid w:val="00340762"/>
    <w:rsid w:val="003416AE"/>
    <w:rsid w:val="00341744"/>
    <w:rsid w:val="00341C1B"/>
    <w:rsid w:val="00342120"/>
    <w:rsid w:val="00342517"/>
    <w:rsid w:val="00342B74"/>
    <w:rsid w:val="00342C82"/>
    <w:rsid w:val="00342CFE"/>
    <w:rsid w:val="003432B4"/>
    <w:rsid w:val="00343761"/>
    <w:rsid w:val="003451A6"/>
    <w:rsid w:val="00345633"/>
    <w:rsid w:val="0034590E"/>
    <w:rsid w:val="003467AF"/>
    <w:rsid w:val="00346FAF"/>
    <w:rsid w:val="003475BC"/>
    <w:rsid w:val="00347623"/>
    <w:rsid w:val="00350038"/>
    <w:rsid w:val="00350F71"/>
    <w:rsid w:val="00351882"/>
    <w:rsid w:val="003527BF"/>
    <w:rsid w:val="00352DC7"/>
    <w:rsid w:val="00354CE4"/>
    <w:rsid w:val="003556E1"/>
    <w:rsid w:val="0035599B"/>
    <w:rsid w:val="003567C7"/>
    <w:rsid w:val="00356996"/>
    <w:rsid w:val="00357033"/>
    <w:rsid w:val="00357C26"/>
    <w:rsid w:val="00360E00"/>
    <w:rsid w:val="00362ED9"/>
    <w:rsid w:val="00364517"/>
    <w:rsid w:val="0036457B"/>
    <w:rsid w:val="00364C05"/>
    <w:rsid w:val="00364C5E"/>
    <w:rsid w:val="00370AEC"/>
    <w:rsid w:val="00370B22"/>
    <w:rsid w:val="00370C66"/>
    <w:rsid w:val="00370F41"/>
    <w:rsid w:val="00370FFA"/>
    <w:rsid w:val="0037154B"/>
    <w:rsid w:val="00372778"/>
    <w:rsid w:val="00372867"/>
    <w:rsid w:val="00372A73"/>
    <w:rsid w:val="00372DF3"/>
    <w:rsid w:val="003731FA"/>
    <w:rsid w:val="00374AFC"/>
    <w:rsid w:val="003751E7"/>
    <w:rsid w:val="00375CE9"/>
    <w:rsid w:val="003771F0"/>
    <w:rsid w:val="00377642"/>
    <w:rsid w:val="0038016A"/>
    <w:rsid w:val="0038092A"/>
    <w:rsid w:val="00381713"/>
    <w:rsid w:val="00381FAB"/>
    <w:rsid w:val="00382288"/>
    <w:rsid w:val="00382412"/>
    <w:rsid w:val="00382765"/>
    <w:rsid w:val="003840B7"/>
    <w:rsid w:val="00385182"/>
    <w:rsid w:val="0038534E"/>
    <w:rsid w:val="003865E1"/>
    <w:rsid w:val="00386C53"/>
    <w:rsid w:val="00386CA2"/>
    <w:rsid w:val="00386F09"/>
    <w:rsid w:val="00391406"/>
    <w:rsid w:val="00391467"/>
    <w:rsid w:val="00391EBD"/>
    <w:rsid w:val="003920F7"/>
    <w:rsid w:val="003927CE"/>
    <w:rsid w:val="00393B67"/>
    <w:rsid w:val="00394F3E"/>
    <w:rsid w:val="00396230"/>
    <w:rsid w:val="00396DC7"/>
    <w:rsid w:val="00396DDB"/>
    <w:rsid w:val="00397436"/>
    <w:rsid w:val="00397C29"/>
    <w:rsid w:val="003A0508"/>
    <w:rsid w:val="003A0DAB"/>
    <w:rsid w:val="003A4136"/>
    <w:rsid w:val="003A4377"/>
    <w:rsid w:val="003A49A8"/>
    <w:rsid w:val="003A592B"/>
    <w:rsid w:val="003A617F"/>
    <w:rsid w:val="003A75C0"/>
    <w:rsid w:val="003B0008"/>
    <w:rsid w:val="003B08C4"/>
    <w:rsid w:val="003B16AD"/>
    <w:rsid w:val="003B230B"/>
    <w:rsid w:val="003B26E6"/>
    <w:rsid w:val="003B4A1C"/>
    <w:rsid w:val="003B4F9B"/>
    <w:rsid w:val="003B57A5"/>
    <w:rsid w:val="003B5C7F"/>
    <w:rsid w:val="003B7892"/>
    <w:rsid w:val="003B7ED7"/>
    <w:rsid w:val="003C010A"/>
    <w:rsid w:val="003C16BB"/>
    <w:rsid w:val="003C2A53"/>
    <w:rsid w:val="003C438D"/>
    <w:rsid w:val="003C50D1"/>
    <w:rsid w:val="003C54DA"/>
    <w:rsid w:val="003C68E8"/>
    <w:rsid w:val="003D0299"/>
    <w:rsid w:val="003D246B"/>
    <w:rsid w:val="003D31C0"/>
    <w:rsid w:val="003D37DD"/>
    <w:rsid w:val="003D3FF4"/>
    <w:rsid w:val="003D5DA3"/>
    <w:rsid w:val="003D7C69"/>
    <w:rsid w:val="003D7FD9"/>
    <w:rsid w:val="003E11BE"/>
    <w:rsid w:val="003E17BD"/>
    <w:rsid w:val="003E510E"/>
    <w:rsid w:val="003E6025"/>
    <w:rsid w:val="003E7EC6"/>
    <w:rsid w:val="003F0048"/>
    <w:rsid w:val="003F0718"/>
    <w:rsid w:val="003F0C60"/>
    <w:rsid w:val="003F1092"/>
    <w:rsid w:val="003F14FF"/>
    <w:rsid w:val="003F1553"/>
    <w:rsid w:val="003F40F2"/>
    <w:rsid w:val="003F485E"/>
    <w:rsid w:val="003F5464"/>
    <w:rsid w:val="003F5518"/>
    <w:rsid w:val="003F5FF1"/>
    <w:rsid w:val="003F6475"/>
    <w:rsid w:val="003F67ED"/>
    <w:rsid w:val="003F69EB"/>
    <w:rsid w:val="003F70D7"/>
    <w:rsid w:val="003F7C85"/>
    <w:rsid w:val="003F7E8F"/>
    <w:rsid w:val="004019E1"/>
    <w:rsid w:val="00401E86"/>
    <w:rsid w:val="00402149"/>
    <w:rsid w:val="00402B56"/>
    <w:rsid w:val="00402C94"/>
    <w:rsid w:val="00402E51"/>
    <w:rsid w:val="004032BB"/>
    <w:rsid w:val="0040340F"/>
    <w:rsid w:val="00404779"/>
    <w:rsid w:val="00405632"/>
    <w:rsid w:val="00406074"/>
    <w:rsid w:val="00406C6A"/>
    <w:rsid w:val="00406CE0"/>
    <w:rsid w:val="00406F66"/>
    <w:rsid w:val="00411343"/>
    <w:rsid w:val="00413572"/>
    <w:rsid w:val="00413EC6"/>
    <w:rsid w:val="00415482"/>
    <w:rsid w:val="00415E1B"/>
    <w:rsid w:val="0042044E"/>
    <w:rsid w:val="0042060F"/>
    <w:rsid w:val="004220D6"/>
    <w:rsid w:val="00422246"/>
    <w:rsid w:val="004228A0"/>
    <w:rsid w:val="00423043"/>
    <w:rsid w:val="00423F08"/>
    <w:rsid w:val="00424209"/>
    <w:rsid w:val="004244FF"/>
    <w:rsid w:val="00424531"/>
    <w:rsid w:val="00425F25"/>
    <w:rsid w:val="00426786"/>
    <w:rsid w:val="0043040F"/>
    <w:rsid w:val="0043052B"/>
    <w:rsid w:val="00430803"/>
    <w:rsid w:val="00430829"/>
    <w:rsid w:val="004314DE"/>
    <w:rsid w:val="00431C5A"/>
    <w:rsid w:val="0043246D"/>
    <w:rsid w:val="00432A44"/>
    <w:rsid w:val="0043373F"/>
    <w:rsid w:val="00434F2F"/>
    <w:rsid w:val="00435D0E"/>
    <w:rsid w:val="004368A7"/>
    <w:rsid w:val="00437CD7"/>
    <w:rsid w:val="00440B29"/>
    <w:rsid w:val="004410BA"/>
    <w:rsid w:val="0044225C"/>
    <w:rsid w:val="00442DB8"/>
    <w:rsid w:val="0044408C"/>
    <w:rsid w:val="00444490"/>
    <w:rsid w:val="00444A15"/>
    <w:rsid w:val="00444A4E"/>
    <w:rsid w:val="00446A38"/>
    <w:rsid w:val="00446DA6"/>
    <w:rsid w:val="004474B6"/>
    <w:rsid w:val="00447A11"/>
    <w:rsid w:val="00451C50"/>
    <w:rsid w:val="00451E63"/>
    <w:rsid w:val="004520BC"/>
    <w:rsid w:val="00452BBA"/>
    <w:rsid w:val="00452DDD"/>
    <w:rsid w:val="00453CE6"/>
    <w:rsid w:val="00456A39"/>
    <w:rsid w:val="0045754A"/>
    <w:rsid w:val="00460D7D"/>
    <w:rsid w:val="00461321"/>
    <w:rsid w:val="00465657"/>
    <w:rsid w:val="00466D95"/>
    <w:rsid w:val="00471417"/>
    <w:rsid w:val="0047169B"/>
    <w:rsid w:val="00474136"/>
    <w:rsid w:val="00474A27"/>
    <w:rsid w:val="00477034"/>
    <w:rsid w:val="00477170"/>
    <w:rsid w:val="00477EAF"/>
    <w:rsid w:val="004805E9"/>
    <w:rsid w:val="00480638"/>
    <w:rsid w:val="004808C4"/>
    <w:rsid w:val="004824B1"/>
    <w:rsid w:val="00483D80"/>
    <w:rsid w:val="0048516C"/>
    <w:rsid w:val="00485378"/>
    <w:rsid w:val="00485BC1"/>
    <w:rsid w:val="00485D5A"/>
    <w:rsid w:val="00490C97"/>
    <w:rsid w:val="00491852"/>
    <w:rsid w:val="00491EC4"/>
    <w:rsid w:val="004935E9"/>
    <w:rsid w:val="004938CA"/>
    <w:rsid w:val="00494965"/>
    <w:rsid w:val="00494F81"/>
    <w:rsid w:val="00496B4F"/>
    <w:rsid w:val="00497BAD"/>
    <w:rsid w:val="004A0B8B"/>
    <w:rsid w:val="004A0EDD"/>
    <w:rsid w:val="004A2FB7"/>
    <w:rsid w:val="004A31B8"/>
    <w:rsid w:val="004A345C"/>
    <w:rsid w:val="004A38FE"/>
    <w:rsid w:val="004A612B"/>
    <w:rsid w:val="004A6DBD"/>
    <w:rsid w:val="004A7C78"/>
    <w:rsid w:val="004B0056"/>
    <w:rsid w:val="004B0891"/>
    <w:rsid w:val="004B0EC8"/>
    <w:rsid w:val="004B1074"/>
    <w:rsid w:val="004B143D"/>
    <w:rsid w:val="004B199E"/>
    <w:rsid w:val="004B1C4C"/>
    <w:rsid w:val="004B27E2"/>
    <w:rsid w:val="004B295F"/>
    <w:rsid w:val="004B2A93"/>
    <w:rsid w:val="004B2E19"/>
    <w:rsid w:val="004B32B0"/>
    <w:rsid w:val="004B4062"/>
    <w:rsid w:val="004B426A"/>
    <w:rsid w:val="004B49E6"/>
    <w:rsid w:val="004B4C76"/>
    <w:rsid w:val="004B50B4"/>
    <w:rsid w:val="004B61BF"/>
    <w:rsid w:val="004B6BB8"/>
    <w:rsid w:val="004B736A"/>
    <w:rsid w:val="004B7378"/>
    <w:rsid w:val="004C0054"/>
    <w:rsid w:val="004C0A23"/>
    <w:rsid w:val="004C1070"/>
    <w:rsid w:val="004C22AD"/>
    <w:rsid w:val="004C2627"/>
    <w:rsid w:val="004C29F2"/>
    <w:rsid w:val="004C3079"/>
    <w:rsid w:val="004C30B0"/>
    <w:rsid w:val="004C3603"/>
    <w:rsid w:val="004C39EB"/>
    <w:rsid w:val="004C3FA9"/>
    <w:rsid w:val="004C5583"/>
    <w:rsid w:val="004C5915"/>
    <w:rsid w:val="004C5F80"/>
    <w:rsid w:val="004C65A3"/>
    <w:rsid w:val="004C68E3"/>
    <w:rsid w:val="004C7458"/>
    <w:rsid w:val="004D0A0C"/>
    <w:rsid w:val="004D157F"/>
    <w:rsid w:val="004D179C"/>
    <w:rsid w:val="004D1CEB"/>
    <w:rsid w:val="004D266D"/>
    <w:rsid w:val="004D31DB"/>
    <w:rsid w:val="004D3678"/>
    <w:rsid w:val="004D3A83"/>
    <w:rsid w:val="004D4A01"/>
    <w:rsid w:val="004D4B10"/>
    <w:rsid w:val="004D5203"/>
    <w:rsid w:val="004D748E"/>
    <w:rsid w:val="004D7535"/>
    <w:rsid w:val="004D7F02"/>
    <w:rsid w:val="004E0052"/>
    <w:rsid w:val="004E01D2"/>
    <w:rsid w:val="004E0A84"/>
    <w:rsid w:val="004E1183"/>
    <w:rsid w:val="004E1658"/>
    <w:rsid w:val="004E1AC2"/>
    <w:rsid w:val="004E2AD2"/>
    <w:rsid w:val="004E2B8A"/>
    <w:rsid w:val="004E3915"/>
    <w:rsid w:val="004E3AFA"/>
    <w:rsid w:val="004E3DEF"/>
    <w:rsid w:val="004E6292"/>
    <w:rsid w:val="004F1984"/>
    <w:rsid w:val="004F1A47"/>
    <w:rsid w:val="004F1A9E"/>
    <w:rsid w:val="004F2617"/>
    <w:rsid w:val="004F3762"/>
    <w:rsid w:val="004F3EA3"/>
    <w:rsid w:val="004F49BC"/>
    <w:rsid w:val="004F4B10"/>
    <w:rsid w:val="004F4E56"/>
    <w:rsid w:val="004F5F2B"/>
    <w:rsid w:val="004F5FDB"/>
    <w:rsid w:val="004F6479"/>
    <w:rsid w:val="004F6647"/>
    <w:rsid w:val="004F7271"/>
    <w:rsid w:val="004F78EB"/>
    <w:rsid w:val="0050050A"/>
    <w:rsid w:val="0050080F"/>
    <w:rsid w:val="00501634"/>
    <w:rsid w:val="00501941"/>
    <w:rsid w:val="00502268"/>
    <w:rsid w:val="00502768"/>
    <w:rsid w:val="005048DE"/>
    <w:rsid w:val="00504B10"/>
    <w:rsid w:val="00504E95"/>
    <w:rsid w:val="00504E98"/>
    <w:rsid w:val="00505084"/>
    <w:rsid w:val="00506639"/>
    <w:rsid w:val="00506E65"/>
    <w:rsid w:val="00507832"/>
    <w:rsid w:val="00507957"/>
    <w:rsid w:val="00507B08"/>
    <w:rsid w:val="00507B6A"/>
    <w:rsid w:val="00507F01"/>
    <w:rsid w:val="0051037E"/>
    <w:rsid w:val="00510850"/>
    <w:rsid w:val="00510927"/>
    <w:rsid w:val="00510D8F"/>
    <w:rsid w:val="00511783"/>
    <w:rsid w:val="00511BDB"/>
    <w:rsid w:val="00512359"/>
    <w:rsid w:val="00512B35"/>
    <w:rsid w:val="00512C0E"/>
    <w:rsid w:val="00513141"/>
    <w:rsid w:val="00514407"/>
    <w:rsid w:val="00514643"/>
    <w:rsid w:val="00514ADF"/>
    <w:rsid w:val="00515554"/>
    <w:rsid w:val="00517057"/>
    <w:rsid w:val="00517521"/>
    <w:rsid w:val="00522082"/>
    <w:rsid w:val="00522856"/>
    <w:rsid w:val="005244D4"/>
    <w:rsid w:val="0052574C"/>
    <w:rsid w:val="00527595"/>
    <w:rsid w:val="00530361"/>
    <w:rsid w:val="00531CC6"/>
    <w:rsid w:val="00532934"/>
    <w:rsid w:val="0053473D"/>
    <w:rsid w:val="0053510C"/>
    <w:rsid w:val="00535362"/>
    <w:rsid w:val="00536864"/>
    <w:rsid w:val="00536DB5"/>
    <w:rsid w:val="0053746F"/>
    <w:rsid w:val="00537C6C"/>
    <w:rsid w:val="005408C5"/>
    <w:rsid w:val="00540BFF"/>
    <w:rsid w:val="00540EA5"/>
    <w:rsid w:val="00541B23"/>
    <w:rsid w:val="005439FF"/>
    <w:rsid w:val="00544AFA"/>
    <w:rsid w:val="00544E6D"/>
    <w:rsid w:val="005450ED"/>
    <w:rsid w:val="00546FEB"/>
    <w:rsid w:val="0054734D"/>
    <w:rsid w:val="00551479"/>
    <w:rsid w:val="005531E5"/>
    <w:rsid w:val="00553DFD"/>
    <w:rsid w:val="00554B38"/>
    <w:rsid w:val="00554C88"/>
    <w:rsid w:val="00554D2E"/>
    <w:rsid w:val="005569CD"/>
    <w:rsid w:val="0055704C"/>
    <w:rsid w:val="005575C8"/>
    <w:rsid w:val="00557E6C"/>
    <w:rsid w:val="005628CD"/>
    <w:rsid w:val="005631F7"/>
    <w:rsid w:val="005633D8"/>
    <w:rsid w:val="00564B7A"/>
    <w:rsid w:val="005659BA"/>
    <w:rsid w:val="00565A62"/>
    <w:rsid w:val="0056649A"/>
    <w:rsid w:val="00570EC6"/>
    <w:rsid w:val="0057137F"/>
    <w:rsid w:val="00571AAB"/>
    <w:rsid w:val="0057257B"/>
    <w:rsid w:val="00572DE6"/>
    <w:rsid w:val="005740F7"/>
    <w:rsid w:val="005744AD"/>
    <w:rsid w:val="00577404"/>
    <w:rsid w:val="00582411"/>
    <w:rsid w:val="00582CB1"/>
    <w:rsid w:val="00582EEE"/>
    <w:rsid w:val="00583384"/>
    <w:rsid w:val="005834A5"/>
    <w:rsid w:val="005835C4"/>
    <w:rsid w:val="00583CE1"/>
    <w:rsid w:val="005852DF"/>
    <w:rsid w:val="00586B97"/>
    <w:rsid w:val="00587FE9"/>
    <w:rsid w:val="00590430"/>
    <w:rsid w:val="00591303"/>
    <w:rsid w:val="005913F4"/>
    <w:rsid w:val="005917E5"/>
    <w:rsid w:val="00592EFA"/>
    <w:rsid w:val="00593224"/>
    <w:rsid w:val="0059356A"/>
    <w:rsid w:val="00593C86"/>
    <w:rsid w:val="005950B4"/>
    <w:rsid w:val="005954E8"/>
    <w:rsid w:val="005955C8"/>
    <w:rsid w:val="00596508"/>
    <w:rsid w:val="005A0A7A"/>
    <w:rsid w:val="005A2136"/>
    <w:rsid w:val="005A483D"/>
    <w:rsid w:val="005A4E17"/>
    <w:rsid w:val="005A6F29"/>
    <w:rsid w:val="005A71E7"/>
    <w:rsid w:val="005A745F"/>
    <w:rsid w:val="005A7A7D"/>
    <w:rsid w:val="005B2CC7"/>
    <w:rsid w:val="005B325F"/>
    <w:rsid w:val="005B3C0B"/>
    <w:rsid w:val="005B4C4D"/>
    <w:rsid w:val="005B5A22"/>
    <w:rsid w:val="005B6063"/>
    <w:rsid w:val="005B678D"/>
    <w:rsid w:val="005B6AEF"/>
    <w:rsid w:val="005B7496"/>
    <w:rsid w:val="005C068C"/>
    <w:rsid w:val="005C0EA3"/>
    <w:rsid w:val="005C0FA2"/>
    <w:rsid w:val="005C1A5D"/>
    <w:rsid w:val="005C2D32"/>
    <w:rsid w:val="005C41CA"/>
    <w:rsid w:val="005C4A35"/>
    <w:rsid w:val="005C538F"/>
    <w:rsid w:val="005C54C9"/>
    <w:rsid w:val="005C5F94"/>
    <w:rsid w:val="005C61A3"/>
    <w:rsid w:val="005C6F93"/>
    <w:rsid w:val="005C7268"/>
    <w:rsid w:val="005D157A"/>
    <w:rsid w:val="005D4B0B"/>
    <w:rsid w:val="005D5238"/>
    <w:rsid w:val="005D53C8"/>
    <w:rsid w:val="005D6B14"/>
    <w:rsid w:val="005E00F8"/>
    <w:rsid w:val="005E0327"/>
    <w:rsid w:val="005E08BE"/>
    <w:rsid w:val="005E0A5A"/>
    <w:rsid w:val="005E106D"/>
    <w:rsid w:val="005E26FC"/>
    <w:rsid w:val="005E3317"/>
    <w:rsid w:val="005E4063"/>
    <w:rsid w:val="005E44BA"/>
    <w:rsid w:val="005E6396"/>
    <w:rsid w:val="005F00B2"/>
    <w:rsid w:val="005F0527"/>
    <w:rsid w:val="005F0702"/>
    <w:rsid w:val="005F1439"/>
    <w:rsid w:val="005F3231"/>
    <w:rsid w:val="005F4060"/>
    <w:rsid w:val="005F4619"/>
    <w:rsid w:val="005F487B"/>
    <w:rsid w:val="005F55FA"/>
    <w:rsid w:val="005F5B6C"/>
    <w:rsid w:val="005F60F3"/>
    <w:rsid w:val="005F61A8"/>
    <w:rsid w:val="005F64EF"/>
    <w:rsid w:val="005F67FF"/>
    <w:rsid w:val="005F7036"/>
    <w:rsid w:val="005F764C"/>
    <w:rsid w:val="005F78CE"/>
    <w:rsid w:val="006008FC"/>
    <w:rsid w:val="00600C2C"/>
    <w:rsid w:val="00601663"/>
    <w:rsid w:val="006018BC"/>
    <w:rsid w:val="0060212E"/>
    <w:rsid w:val="006022B5"/>
    <w:rsid w:val="006026FA"/>
    <w:rsid w:val="006031F0"/>
    <w:rsid w:val="006032FA"/>
    <w:rsid w:val="00605390"/>
    <w:rsid w:val="006071F1"/>
    <w:rsid w:val="0061024D"/>
    <w:rsid w:val="006103D7"/>
    <w:rsid w:val="006108EB"/>
    <w:rsid w:val="00610C3A"/>
    <w:rsid w:val="00611AD5"/>
    <w:rsid w:val="00613D37"/>
    <w:rsid w:val="006144B5"/>
    <w:rsid w:val="006169C9"/>
    <w:rsid w:val="00617682"/>
    <w:rsid w:val="0061777D"/>
    <w:rsid w:val="00617C0F"/>
    <w:rsid w:val="00620490"/>
    <w:rsid w:val="0062080B"/>
    <w:rsid w:val="006208B9"/>
    <w:rsid w:val="00621DC0"/>
    <w:rsid w:val="0062376D"/>
    <w:rsid w:val="00623D0F"/>
    <w:rsid w:val="0062699B"/>
    <w:rsid w:val="00627D5E"/>
    <w:rsid w:val="00631A21"/>
    <w:rsid w:val="00631DA5"/>
    <w:rsid w:val="00632A52"/>
    <w:rsid w:val="00635110"/>
    <w:rsid w:val="00635FB6"/>
    <w:rsid w:val="00636408"/>
    <w:rsid w:val="00640DD6"/>
    <w:rsid w:val="00641570"/>
    <w:rsid w:val="00641612"/>
    <w:rsid w:val="0064223D"/>
    <w:rsid w:val="00642D06"/>
    <w:rsid w:val="00645E57"/>
    <w:rsid w:val="006466D5"/>
    <w:rsid w:val="006477F5"/>
    <w:rsid w:val="00647814"/>
    <w:rsid w:val="0064788F"/>
    <w:rsid w:val="006478E0"/>
    <w:rsid w:val="00647A78"/>
    <w:rsid w:val="00647BF3"/>
    <w:rsid w:val="00650BC1"/>
    <w:rsid w:val="006521C9"/>
    <w:rsid w:val="006522A6"/>
    <w:rsid w:val="006528CE"/>
    <w:rsid w:val="0065389D"/>
    <w:rsid w:val="00653AD1"/>
    <w:rsid w:val="006545CC"/>
    <w:rsid w:val="006556C7"/>
    <w:rsid w:val="006561C7"/>
    <w:rsid w:val="006573DB"/>
    <w:rsid w:val="006576D9"/>
    <w:rsid w:val="00660EE0"/>
    <w:rsid w:val="00660F49"/>
    <w:rsid w:val="00661501"/>
    <w:rsid w:val="00661A8F"/>
    <w:rsid w:val="00663C74"/>
    <w:rsid w:val="00664152"/>
    <w:rsid w:val="00665DA0"/>
    <w:rsid w:val="00672486"/>
    <w:rsid w:val="00672961"/>
    <w:rsid w:val="0067552E"/>
    <w:rsid w:val="00675992"/>
    <w:rsid w:val="00675B18"/>
    <w:rsid w:val="00675B90"/>
    <w:rsid w:val="0067639E"/>
    <w:rsid w:val="00680234"/>
    <w:rsid w:val="006805F1"/>
    <w:rsid w:val="00680605"/>
    <w:rsid w:val="0068120C"/>
    <w:rsid w:val="006835B2"/>
    <w:rsid w:val="006846E5"/>
    <w:rsid w:val="00686C20"/>
    <w:rsid w:val="00686C9B"/>
    <w:rsid w:val="00687EE1"/>
    <w:rsid w:val="00690599"/>
    <w:rsid w:val="0069063D"/>
    <w:rsid w:val="00690D5D"/>
    <w:rsid w:val="006915CC"/>
    <w:rsid w:val="00691A48"/>
    <w:rsid w:val="006928FC"/>
    <w:rsid w:val="00692A69"/>
    <w:rsid w:val="00692E58"/>
    <w:rsid w:val="0069306E"/>
    <w:rsid w:val="00693ED8"/>
    <w:rsid w:val="006944A5"/>
    <w:rsid w:val="0069573E"/>
    <w:rsid w:val="006959AD"/>
    <w:rsid w:val="00696C7D"/>
    <w:rsid w:val="00696CE5"/>
    <w:rsid w:val="006A0626"/>
    <w:rsid w:val="006A12F2"/>
    <w:rsid w:val="006A3000"/>
    <w:rsid w:val="006A3699"/>
    <w:rsid w:val="006A403F"/>
    <w:rsid w:val="006A42C5"/>
    <w:rsid w:val="006A5099"/>
    <w:rsid w:val="006A5D95"/>
    <w:rsid w:val="006A66AE"/>
    <w:rsid w:val="006A739D"/>
    <w:rsid w:val="006A7704"/>
    <w:rsid w:val="006B0EC9"/>
    <w:rsid w:val="006B2FB5"/>
    <w:rsid w:val="006B3EF1"/>
    <w:rsid w:val="006B5C48"/>
    <w:rsid w:val="006B6127"/>
    <w:rsid w:val="006B6AC9"/>
    <w:rsid w:val="006B6C0D"/>
    <w:rsid w:val="006B73F7"/>
    <w:rsid w:val="006B7FAA"/>
    <w:rsid w:val="006C062B"/>
    <w:rsid w:val="006C08C9"/>
    <w:rsid w:val="006C0E45"/>
    <w:rsid w:val="006C21E4"/>
    <w:rsid w:val="006C22CE"/>
    <w:rsid w:val="006C3C13"/>
    <w:rsid w:val="006C4841"/>
    <w:rsid w:val="006C5085"/>
    <w:rsid w:val="006C5239"/>
    <w:rsid w:val="006C6184"/>
    <w:rsid w:val="006C6604"/>
    <w:rsid w:val="006C7C27"/>
    <w:rsid w:val="006D137E"/>
    <w:rsid w:val="006D14B5"/>
    <w:rsid w:val="006D15CB"/>
    <w:rsid w:val="006D1F01"/>
    <w:rsid w:val="006D5CF1"/>
    <w:rsid w:val="006D627A"/>
    <w:rsid w:val="006E1706"/>
    <w:rsid w:val="006E19E9"/>
    <w:rsid w:val="006E38DF"/>
    <w:rsid w:val="006E4A4E"/>
    <w:rsid w:val="006E4D61"/>
    <w:rsid w:val="006E52D6"/>
    <w:rsid w:val="006E5E34"/>
    <w:rsid w:val="006E7B28"/>
    <w:rsid w:val="006E7B72"/>
    <w:rsid w:val="006E7C10"/>
    <w:rsid w:val="006E7EA8"/>
    <w:rsid w:val="006F0C99"/>
    <w:rsid w:val="006F0D31"/>
    <w:rsid w:val="006F1A38"/>
    <w:rsid w:val="006F27E8"/>
    <w:rsid w:val="006F2D98"/>
    <w:rsid w:val="006F3492"/>
    <w:rsid w:val="006F35B6"/>
    <w:rsid w:val="006F4702"/>
    <w:rsid w:val="006F67F9"/>
    <w:rsid w:val="006F6BDD"/>
    <w:rsid w:val="006F7AA4"/>
    <w:rsid w:val="0070033F"/>
    <w:rsid w:val="00700A23"/>
    <w:rsid w:val="00702A10"/>
    <w:rsid w:val="00706649"/>
    <w:rsid w:val="00706B44"/>
    <w:rsid w:val="007101A3"/>
    <w:rsid w:val="00710211"/>
    <w:rsid w:val="00710DD3"/>
    <w:rsid w:val="00711203"/>
    <w:rsid w:val="00712028"/>
    <w:rsid w:val="00712713"/>
    <w:rsid w:val="00713683"/>
    <w:rsid w:val="0071368B"/>
    <w:rsid w:val="0071383F"/>
    <w:rsid w:val="0071440B"/>
    <w:rsid w:val="00715534"/>
    <w:rsid w:val="00715E65"/>
    <w:rsid w:val="00716822"/>
    <w:rsid w:val="00716A0D"/>
    <w:rsid w:val="00720B4A"/>
    <w:rsid w:val="0072145C"/>
    <w:rsid w:val="007218B4"/>
    <w:rsid w:val="00721A63"/>
    <w:rsid w:val="00721AA6"/>
    <w:rsid w:val="0072226D"/>
    <w:rsid w:val="00722746"/>
    <w:rsid w:val="00723F65"/>
    <w:rsid w:val="00723FA4"/>
    <w:rsid w:val="00724314"/>
    <w:rsid w:val="00725546"/>
    <w:rsid w:val="00726AEA"/>
    <w:rsid w:val="00727785"/>
    <w:rsid w:val="0072794E"/>
    <w:rsid w:val="007302C2"/>
    <w:rsid w:val="0073043F"/>
    <w:rsid w:val="007314EA"/>
    <w:rsid w:val="00732E7E"/>
    <w:rsid w:val="00733DD8"/>
    <w:rsid w:val="00734ADD"/>
    <w:rsid w:val="0073635F"/>
    <w:rsid w:val="00736436"/>
    <w:rsid w:val="00737069"/>
    <w:rsid w:val="0073723D"/>
    <w:rsid w:val="007376E9"/>
    <w:rsid w:val="007379C3"/>
    <w:rsid w:val="00737DF9"/>
    <w:rsid w:val="007407E7"/>
    <w:rsid w:val="00742176"/>
    <w:rsid w:val="00742F56"/>
    <w:rsid w:val="00742FD2"/>
    <w:rsid w:val="00743B21"/>
    <w:rsid w:val="00744299"/>
    <w:rsid w:val="0074441D"/>
    <w:rsid w:val="0074562E"/>
    <w:rsid w:val="007460ED"/>
    <w:rsid w:val="00746DE6"/>
    <w:rsid w:val="00747694"/>
    <w:rsid w:val="00747C3B"/>
    <w:rsid w:val="00747F02"/>
    <w:rsid w:val="00751324"/>
    <w:rsid w:val="00752748"/>
    <w:rsid w:val="007545A1"/>
    <w:rsid w:val="0075480B"/>
    <w:rsid w:val="00754BEA"/>
    <w:rsid w:val="00757331"/>
    <w:rsid w:val="00760DA7"/>
    <w:rsid w:val="00760FE7"/>
    <w:rsid w:val="0076228B"/>
    <w:rsid w:val="00762461"/>
    <w:rsid w:val="0076270C"/>
    <w:rsid w:val="007629EC"/>
    <w:rsid w:val="00763686"/>
    <w:rsid w:val="00763C26"/>
    <w:rsid w:val="00763D26"/>
    <w:rsid w:val="00763E5C"/>
    <w:rsid w:val="00764AD4"/>
    <w:rsid w:val="00766102"/>
    <w:rsid w:val="00766EEB"/>
    <w:rsid w:val="00767AAF"/>
    <w:rsid w:val="0077022C"/>
    <w:rsid w:val="0077041E"/>
    <w:rsid w:val="0077157F"/>
    <w:rsid w:val="007720EA"/>
    <w:rsid w:val="007722CF"/>
    <w:rsid w:val="00772C30"/>
    <w:rsid w:val="00773088"/>
    <w:rsid w:val="0077339A"/>
    <w:rsid w:val="00773974"/>
    <w:rsid w:val="007740DD"/>
    <w:rsid w:val="00774702"/>
    <w:rsid w:val="00775234"/>
    <w:rsid w:val="0077564A"/>
    <w:rsid w:val="00776CCC"/>
    <w:rsid w:val="0078194E"/>
    <w:rsid w:val="00781D18"/>
    <w:rsid w:val="00782191"/>
    <w:rsid w:val="00782894"/>
    <w:rsid w:val="0078299D"/>
    <w:rsid w:val="00783998"/>
    <w:rsid w:val="00783C00"/>
    <w:rsid w:val="00784CFD"/>
    <w:rsid w:val="00784F01"/>
    <w:rsid w:val="0078508E"/>
    <w:rsid w:val="007853DB"/>
    <w:rsid w:val="00786D62"/>
    <w:rsid w:val="007872C3"/>
    <w:rsid w:val="007872CA"/>
    <w:rsid w:val="00787AD6"/>
    <w:rsid w:val="00787D0A"/>
    <w:rsid w:val="00787FE4"/>
    <w:rsid w:val="00790AB6"/>
    <w:rsid w:val="007936A1"/>
    <w:rsid w:val="00794B28"/>
    <w:rsid w:val="007951DC"/>
    <w:rsid w:val="00795406"/>
    <w:rsid w:val="007965B7"/>
    <w:rsid w:val="00796905"/>
    <w:rsid w:val="007976A0"/>
    <w:rsid w:val="0079781D"/>
    <w:rsid w:val="00797AB5"/>
    <w:rsid w:val="007A0038"/>
    <w:rsid w:val="007A0552"/>
    <w:rsid w:val="007A0D0F"/>
    <w:rsid w:val="007A225A"/>
    <w:rsid w:val="007A27FE"/>
    <w:rsid w:val="007A4F29"/>
    <w:rsid w:val="007A65C9"/>
    <w:rsid w:val="007A6A6E"/>
    <w:rsid w:val="007A7687"/>
    <w:rsid w:val="007B0504"/>
    <w:rsid w:val="007B063D"/>
    <w:rsid w:val="007B115C"/>
    <w:rsid w:val="007B23A7"/>
    <w:rsid w:val="007B27FD"/>
    <w:rsid w:val="007B2CFA"/>
    <w:rsid w:val="007B4F85"/>
    <w:rsid w:val="007B5BE4"/>
    <w:rsid w:val="007C1B97"/>
    <w:rsid w:val="007C2CC8"/>
    <w:rsid w:val="007C3AF8"/>
    <w:rsid w:val="007C53F4"/>
    <w:rsid w:val="007C5F90"/>
    <w:rsid w:val="007C65F6"/>
    <w:rsid w:val="007C7865"/>
    <w:rsid w:val="007C790A"/>
    <w:rsid w:val="007D07E5"/>
    <w:rsid w:val="007D0842"/>
    <w:rsid w:val="007D0BE0"/>
    <w:rsid w:val="007D2530"/>
    <w:rsid w:val="007D2BDF"/>
    <w:rsid w:val="007D30B3"/>
    <w:rsid w:val="007D369C"/>
    <w:rsid w:val="007D3840"/>
    <w:rsid w:val="007D3FC6"/>
    <w:rsid w:val="007D558B"/>
    <w:rsid w:val="007D5E5D"/>
    <w:rsid w:val="007D6AD9"/>
    <w:rsid w:val="007D6D51"/>
    <w:rsid w:val="007D6D9C"/>
    <w:rsid w:val="007E113B"/>
    <w:rsid w:val="007E14CB"/>
    <w:rsid w:val="007E2049"/>
    <w:rsid w:val="007E21DC"/>
    <w:rsid w:val="007E2212"/>
    <w:rsid w:val="007E3012"/>
    <w:rsid w:val="007E305B"/>
    <w:rsid w:val="007E4783"/>
    <w:rsid w:val="007E47C9"/>
    <w:rsid w:val="007E48F2"/>
    <w:rsid w:val="007E5161"/>
    <w:rsid w:val="007E5A33"/>
    <w:rsid w:val="007E6304"/>
    <w:rsid w:val="007E69E9"/>
    <w:rsid w:val="007E78C7"/>
    <w:rsid w:val="007E7926"/>
    <w:rsid w:val="007F00F4"/>
    <w:rsid w:val="007F0273"/>
    <w:rsid w:val="007F1376"/>
    <w:rsid w:val="007F43A9"/>
    <w:rsid w:val="007F4EFE"/>
    <w:rsid w:val="007F76B3"/>
    <w:rsid w:val="007F7D3F"/>
    <w:rsid w:val="007F7EE6"/>
    <w:rsid w:val="008024A3"/>
    <w:rsid w:val="00802CE1"/>
    <w:rsid w:val="00804D85"/>
    <w:rsid w:val="008053D4"/>
    <w:rsid w:val="008061CD"/>
    <w:rsid w:val="00806383"/>
    <w:rsid w:val="00806CF6"/>
    <w:rsid w:val="00807623"/>
    <w:rsid w:val="008078BC"/>
    <w:rsid w:val="00810238"/>
    <w:rsid w:val="00810818"/>
    <w:rsid w:val="00811E8B"/>
    <w:rsid w:val="00814EE1"/>
    <w:rsid w:val="008155E4"/>
    <w:rsid w:val="008163F3"/>
    <w:rsid w:val="0081693E"/>
    <w:rsid w:val="00816FB4"/>
    <w:rsid w:val="00817B74"/>
    <w:rsid w:val="0082133E"/>
    <w:rsid w:val="00821A6B"/>
    <w:rsid w:val="00821C02"/>
    <w:rsid w:val="00822503"/>
    <w:rsid w:val="008253A4"/>
    <w:rsid w:val="00825A2D"/>
    <w:rsid w:val="00825B15"/>
    <w:rsid w:val="00825E52"/>
    <w:rsid w:val="0082654A"/>
    <w:rsid w:val="00826606"/>
    <w:rsid w:val="00827211"/>
    <w:rsid w:val="008273CF"/>
    <w:rsid w:val="00831BBB"/>
    <w:rsid w:val="00832056"/>
    <w:rsid w:val="0083375E"/>
    <w:rsid w:val="00833961"/>
    <w:rsid w:val="00834647"/>
    <w:rsid w:val="00835325"/>
    <w:rsid w:val="00835588"/>
    <w:rsid w:val="00835605"/>
    <w:rsid w:val="00835D5E"/>
    <w:rsid w:val="00836374"/>
    <w:rsid w:val="00836A6D"/>
    <w:rsid w:val="00837079"/>
    <w:rsid w:val="008376B7"/>
    <w:rsid w:val="008406BD"/>
    <w:rsid w:val="008419DA"/>
    <w:rsid w:val="00842116"/>
    <w:rsid w:val="0084249F"/>
    <w:rsid w:val="00842C8B"/>
    <w:rsid w:val="0084322E"/>
    <w:rsid w:val="00843D0A"/>
    <w:rsid w:val="00843E10"/>
    <w:rsid w:val="0084478F"/>
    <w:rsid w:val="008464DD"/>
    <w:rsid w:val="00847C89"/>
    <w:rsid w:val="00847E2C"/>
    <w:rsid w:val="00851157"/>
    <w:rsid w:val="0085239B"/>
    <w:rsid w:val="00852479"/>
    <w:rsid w:val="00852579"/>
    <w:rsid w:val="00852D90"/>
    <w:rsid w:val="00852FFE"/>
    <w:rsid w:val="00855087"/>
    <w:rsid w:val="00855A84"/>
    <w:rsid w:val="00856533"/>
    <w:rsid w:val="0085656C"/>
    <w:rsid w:val="008574E3"/>
    <w:rsid w:val="00857652"/>
    <w:rsid w:val="0086027E"/>
    <w:rsid w:val="00860B2E"/>
    <w:rsid w:val="00861AC7"/>
    <w:rsid w:val="00862A73"/>
    <w:rsid w:val="008630A1"/>
    <w:rsid w:val="008633F2"/>
    <w:rsid w:val="00863693"/>
    <w:rsid w:val="00864749"/>
    <w:rsid w:val="00864CEB"/>
    <w:rsid w:val="008703FB"/>
    <w:rsid w:val="00870547"/>
    <w:rsid w:val="00872D11"/>
    <w:rsid w:val="00874E84"/>
    <w:rsid w:val="0087531F"/>
    <w:rsid w:val="008753CE"/>
    <w:rsid w:val="00875464"/>
    <w:rsid w:val="00876AD9"/>
    <w:rsid w:val="00876B23"/>
    <w:rsid w:val="008774C3"/>
    <w:rsid w:val="00877A68"/>
    <w:rsid w:val="00880445"/>
    <w:rsid w:val="00880813"/>
    <w:rsid w:val="00882D7C"/>
    <w:rsid w:val="008843EF"/>
    <w:rsid w:val="008844F2"/>
    <w:rsid w:val="008854E2"/>
    <w:rsid w:val="00885FE0"/>
    <w:rsid w:val="0088620C"/>
    <w:rsid w:val="00886A41"/>
    <w:rsid w:val="00886D49"/>
    <w:rsid w:val="00887701"/>
    <w:rsid w:val="0088791D"/>
    <w:rsid w:val="008900CD"/>
    <w:rsid w:val="00891E64"/>
    <w:rsid w:val="0089321E"/>
    <w:rsid w:val="00894307"/>
    <w:rsid w:val="00894A63"/>
    <w:rsid w:val="008953A4"/>
    <w:rsid w:val="00895558"/>
    <w:rsid w:val="00897791"/>
    <w:rsid w:val="00897B91"/>
    <w:rsid w:val="008A06B1"/>
    <w:rsid w:val="008A0B60"/>
    <w:rsid w:val="008A0D80"/>
    <w:rsid w:val="008A1170"/>
    <w:rsid w:val="008A1EAD"/>
    <w:rsid w:val="008A22AC"/>
    <w:rsid w:val="008A350B"/>
    <w:rsid w:val="008A39DA"/>
    <w:rsid w:val="008A492E"/>
    <w:rsid w:val="008A4B4D"/>
    <w:rsid w:val="008A50C0"/>
    <w:rsid w:val="008A5395"/>
    <w:rsid w:val="008A6094"/>
    <w:rsid w:val="008A641D"/>
    <w:rsid w:val="008B00A9"/>
    <w:rsid w:val="008B0771"/>
    <w:rsid w:val="008B0C12"/>
    <w:rsid w:val="008B13FF"/>
    <w:rsid w:val="008B1997"/>
    <w:rsid w:val="008B21FC"/>
    <w:rsid w:val="008B2A4C"/>
    <w:rsid w:val="008B32E5"/>
    <w:rsid w:val="008B362B"/>
    <w:rsid w:val="008B3B00"/>
    <w:rsid w:val="008B4872"/>
    <w:rsid w:val="008B704C"/>
    <w:rsid w:val="008B7413"/>
    <w:rsid w:val="008C0D7A"/>
    <w:rsid w:val="008C2132"/>
    <w:rsid w:val="008C30C7"/>
    <w:rsid w:val="008C5197"/>
    <w:rsid w:val="008C53FE"/>
    <w:rsid w:val="008C79E3"/>
    <w:rsid w:val="008C7C1E"/>
    <w:rsid w:val="008D1C62"/>
    <w:rsid w:val="008D1E22"/>
    <w:rsid w:val="008D236E"/>
    <w:rsid w:val="008D2DEC"/>
    <w:rsid w:val="008D3690"/>
    <w:rsid w:val="008D39FD"/>
    <w:rsid w:val="008D4C52"/>
    <w:rsid w:val="008D5382"/>
    <w:rsid w:val="008D53D5"/>
    <w:rsid w:val="008D5916"/>
    <w:rsid w:val="008D78AB"/>
    <w:rsid w:val="008E001F"/>
    <w:rsid w:val="008E0578"/>
    <w:rsid w:val="008E1061"/>
    <w:rsid w:val="008E1A42"/>
    <w:rsid w:val="008E1B68"/>
    <w:rsid w:val="008E1CB5"/>
    <w:rsid w:val="008E3DA4"/>
    <w:rsid w:val="008E40F0"/>
    <w:rsid w:val="008E4C58"/>
    <w:rsid w:val="008E4E12"/>
    <w:rsid w:val="008E7BEE"/>
    <w:rsid w:val="008F0E82"/>
    <w:rsid w:val="008F1FF7"/>
    <w:rsid w:val="008F2657"/>
    <w:rsid w:val="008F2A6C"/>
    <w:rsid w:val="008F32EB"/>
    <w:rsid w:val="008F4E59"/>
    <w:rsid w:val="008F4F9F"/>
    <w:rsid w:val="008F5B46"/>
    <w:rsid w:val="008F5FBF"/>
    <w:rsid w:val="008F6C04"/>
    <w:rsid w:val="008F6E53"/>
    <w:rsid w:val="009004E2"/>
    <w:rsid w:val="00900829"/>
    <w:rsid w:val="00901C7B"/>
    <w:rsid w:val="00902F16"/>
    <w:rsid w:val="009031BE"/>
    <w:rsid w:val="00903F36"/>
    <w:rsid w:val="00904BA4"/>
    <w:rsid w:val="00905F0C"/>
    <w:rsid w:val="00906526"/>
    <w:rsid w:val="00907F22"/>
    <w:rsid w:val="00910420"/>
    <w:rsid w:val="00910F34"/>
    <w:rsid w:val="009114C5"/>
    <w:rsid w:val="00911500"/>
    <w:rsid w:val="00912960"/>
    <w:rsid w:val="00914DE9"/>
    <w:rsid w:val="00914E12"/>
    <w:rsid w:val="00915E63"/>
    <w:rsid w:val="00917836"/>
    <w:rsid w:val="00921066"/>
    <w:rsid w:val="00922CF1"/>
    <w:rsid w:val="00924247"/>
    <w:rsid w:val="009245F2"/>
    <w:rsid w:val="0092547E"/>
    <w:rsid w:val="00925773"/>
    <w:rsid w:val="009274D8"/>
    <w:rsid w:val="00927B69"/>
    <w:rsid w:val="00927DF5"/>
    <w:rsid w:val="00930142"/>
    <w:rsid w:val="00930855"/>
    <w:rsid w:val="009308F0"/>
    <w:rsid w:val="00930C60"/>
    <w:rsid w:val="00932761"/>
    <w:rsid w:val="00932B4A"/>
    <w:rsid w:val="009330F8"/>
    <w:rsid w:val="00933BD7"/>
    <w:rsid w:val="00934050"/>
    <w:rsid w:val="00934399"/>
    <w:rsid w:val="00934FD0"/>
    <w:rsid w:val="00937604"/>
    <w:rsid w:val="009428C6"/>
    <w:rsid w:val="00942C00"/>
    <w:rsid w:val="00943D26"/>
    <w:rsid w:val="00946106"/>
    <w:rsid w:val="0094616C"/>
    <w:rsid w:val="0094622B"/>
    <w:rsid w:val="0094712E"/>
    <w:rsid w:val="00947222"/>
    <w:rsid w:val="00951785"/>
    <w:rsid w:val="00951BFF"/>
    <w:rsid w:val="009534A0"/>
    <w:rsid w:val="00954549"/>
    <w:rsid w:val="00954850"/>
    <w:rsid w:val="009551F5"/>
    <w:rsid w:val="00955223"/>
    <w:rsid w:val="009555F9"/>
    <w:rsid w:val="00955A77"/>
    <w:rsid w:val="00956697"/>
    <w:rsid w:val="00957B03"/>
    <w:rsid w:val="00957E5F"/>
    <w:rsid w:val="0096047E"/>
    <w:rsid w:val="00960597"/>
    <w:rsid w:val="00960A95"/>
    <w:rsid w:val="00960F40"/>
    <w:rsid w:val="00961A98"/>
    <w:rsid w:val="00963458"/>
    <w:rsid w:val="009638F0"/>
    <w:rsid w:val="00963931"/>
    <w:rsid w:val="00963F38"/>
    <w:rsid w:val="00964FBC"/>
    <w:rsid w:val="009653EC"/>
    <w:rsid w:val="00966985"/>
    <w:rsid w:val="00966A30"/>
    <w:rsid w:val="00970260"/>
    <w:rsid w:val="00970A68"/>
    <w:rsid w:val="0097126A"/>
    <w:rsid w:val="0097249A"/>
    <w:rsid w:val="00972931"/>
    <w:rsid w:val="00972BE1"/>
    <w:rsid w:val="00972DD0"/>
    <w:rsid w:val="00974960"/>
    <w:rsid w:val="00974FEA"/>
    <w:rsid w:val="009763FC"/>
    <w:rsid w:val="009774D4"/>
    <w:rsid w:val="009775E4"/>
    <w:rsid w:val="0098162A"/>
    <w:rsid w:val="009825B4"/>
    <w:rsid w:val="00982D97"/>
    <w:rsid w:val="00983D18"/>
    <w:rsid w:val="00984033"/>
    <w:rsid w:val="0098518E"/>
    <w:rsid w:val="00985BC6"/>
    <w:rsid w:val="00985E0C"/>
    <w:rsid w:val="00986130"/>
    <w:rsid w:val="00986960"/>
    <w:rsid w:val="00987854"/>
    <w:rsid w:val="00990606"/>
    <w:rsid w:val="0099064F"/>
    <w:rsid w:val="00990959"/>
    <w:rsid w:val="00990C06"/>
    <w:rsid w:val="009914D1"/>
    <w:rsid w:val="00991D3F"/>
    <w:rsid w:val="0099273F"/>
    <w:rsid w:val="00992CFB"/>
    <w:rsid w:val="00992EF9"/>
    <w:rsid w:val="0099328A"/>
    <w:rsid w:val="009932B5"/>
    <w:rsid w:val="009937E9"/>
    <w:rsid w:val="00994CF8"/>
    <w:rsid w:val="00996428"/>
    <w:rsid w:val="00997A02"/>
    <w:rsid w:val="009A13CE"/>
    <w:rsid w:val="009A1DB8"/>
    <w:rsid w:val="009A5508"/>
    <w:rsid w:val="009A5E2D"/>
    <w:rsid w:val="009B0355"/>
    <w:rsid w:val="009B0BB0"/>
    <w:rsid w:val="009B15C0"/>
    <w:rsid w:val="009B1A8C"/>
    <w:rsid w:val="009B3176"/>
    <w:rsid w:val="009B36E0"/>
    <w:rsid w:val="009B3A96"/>
    <w:rsid w:val="009B3DFD"/>
    <w:rsid w:val="009B45D0"/>
    <w:rsid w:val="009B6A72"/>
    <w:rsid w:val="009B78F4"/>
    <w:rsid w:val="009B7DCB"/>
    <w:rsid w:val="009B7F3E"/>
    <w:rsid w:val="009C0B61"/>
    <w:rsid w:val="009C2B4B"/>
    <w:rsid w:val="009C2FD9"/>
    <w:rsid w:val="009C460E"/>
    <w:rsid w:val="009C4673"/>
    <w:rsid w:val="009C57CA"/>
    <w:rsid w:val="009C5C21"/>
    <w:rsid w:val="009C5E6A"/>
    <w:rsid w:val="009C6676"/>
    <w:rsid w:val="009D097E"/>
    <w:rsid w:val="009D10BE"/>
    <w:rsid w:val="009D2E65"/>
    <w:rsid w:val="009D3236"/>
    <w:rsid w:val="009D3E1E"/>
    <w:rsid w:val="009D632D"/>
    <w:rsid w:val="009D6788"/>
    <w:rsid w:val="009D71BD"/>
    <w:rsid w:val="009E03D9"/>
    <w:rsid w:val="009E188E"/>
    <w:rsid w:val="009E18B6"/>
    <w:rsid w:val="009E2D3A"/>
    <w:rsid w:val="009E3038"/>
    <w:rsid w:val="009E30C2"/>
    <w:rsid w:val="009E3458"/>
    <w:rsid w:val="009E433A"/>
    <w:rsid w:val="009E4461"/>
    <w:rsid w:val="009E5937"/>
    <w:rsid w:val="009E6BB1"/>
    <w:rsid w:val="009E76D7"/>
    <w:rsid w:val="009F07C1"/>
    <w:rsid w:val="009F1150"/>
    <w:rsid w:val="009F15C9"/>
    <w:rsid w:val="009F20BE"/>
    <w:rsid w:val="009F2FCB"/>
    <w:rsid w:val="009F310E"/>
    <w:rsid w:val="009F3FC1"/>
    <w:rsid w:val="009F477B"/>
    <w:rsid w:val="009F4BC3"/>
    <w:rsid w:val="009F4FBB"/>
    <w:rsid w:val="009F73E9"/>
    <w:rsid w:val="009F7ADE"/>
    <w:rsid w:val="00A00DC7"/>
    <w:rsid w:val="00A017D3"/>
    <w:rsid w:val="00A020F6"/>
    <w:rsid w:val="00A02C1E"/>
    <w:rsid w:val="00A0349B"/>
    <w:rsid w:val="00A03870"/>
    <w:rsid w:val="00A03C5E"/>
    <w:rsid w:val="00A10138"/>
    <w:rsid w:val="00A104F4"/>
    <w:rsid w:val="00A11D76"/>
    <w:rsid w:val="00A123C3"/>
    <w:rsid w:val="00A12E48"/>
    <w:rsid w:val="00A14A18"/>
    <w:rsid w:val="00A14F25"/>
    <w:rsid w:val="00A15A6E"/>
    <w:rsid w:val="00A171D1"/>
    <w:rsid w:val="00A17BA9"/>
    <w:rsid w:val="00A20707"/>
    <w:rsid w:val="00A20754"/>
    <w:rsid w:val="00A20E38"/>
    <w:rsid w:val="00A21233"/>
    <w:rsid w:val="00A22F1B"/>
    <w:rsid w:val="00A22FD8"/>
    <w:rsid w:val="00A23FBE"/>
    <w:rsid w:val="00A25F1B"/>
    <w:rsid w:val="00A26141"/>
    <w:rsid w:val="00A26A7E"/>
    <w:rsid w:val="00A2724E"/>
    <w:rsid w:val="00A34BC8"/>
    <w:rsid w:val="00A366D2"/>
    <w:rsid w:val="00A36A22"/>
    <w:rsid w:val="00A37079"/>
    <w:rsid w:val="00A37132"/>
    <w:rsid w:val="00A379D5"/>
    <w:rsid w:val="00A37E2E"/>
    <w:rsid w:val="00A37F7B"/>
    <w:rsid w:val="00A40546"/>
    <w:rsid w:val="00A408E1"/>
    <w:rsid w:val="00A41323"/>
    <w:rsid w:val="00A41699"/>
    <w:rsid w:val="00A41C65"/>
    <w:rsid w:val="00A41D20"/>
    <w:rsid w:val="00A42022"/>
    <w:rsid w:val="00A42825"/>
    <w:rsid w:val="00A43252"/>
    <w:rsid w:val="00A4400D"/>
    <w:rsid w:val="00A44C07"/>
    <w:rsid w:val="00A4599D"/>
    <w:rsid w:val="00A45E55"/>
    <w:rsid w:val="00A47EAD"/>
    <w:rsid w:val="00A47EF4"/>
    <w:rsid w:val="00A5158B"/>
    <w:rsid w:val="00A52CDE"/>
    <w:rsid w:val="00A531BA"/>
    <w:rsid w:val="00A555DC"/>
    <w:rsid w:val="00A56988"/>
    <w:rsid w:val="00A6052B"/>
    <w:rsid w:val="00A60A4E"/>
    <w:rsid w:val="00A60DE5"/>
    <w:rsid w:val="00A60FC8"/>
    <w:rsid w:val="00A6126C"/>
    <w:rsid w:val="00A613AD"/>
    <w:rsid w:val="00A63848"/>
    <w:rsid w:val="00A6388C"/>
    <w:rsid w:val="00A6388F"/>
    <w:rsid w:val="00A63F03"/>
    <w:rsid w:val="00A64E88"/>
    <w:rsid w:val="00A672DF"/>
    <w:rsid w:val="00A70013"/>
    <w:rsid w:val="00A70278"/>
    <w:rsid w:val="00A71732"/>
    <w:rsid w:val="00A7239E"/>
    <w:rsid w:val="00A724B4"/>
    <w:rsid w:val="00A73D4F"/>
    <w:rsid w:val="00A740A7"/>
    <w:rsid w:val="00A740E4"/>
    <w:rsid w:val="00A7569E"/>
    <w:rsid w:val="00A756DC"/>
    <w:rsid w:val="00A75ECE"/>
    <w:rsid w:val="00A76985"/>
    <w:rsid w:val="00A80295"/>
    <w:rsid w:val="00A83707"/>
    <w:rsid w:val="00A858E3"/>
    <w:rsid w:val="00A8798F"/>
    <w:rsid w:val="00A92DD6"/>
    <w:rsid w:val="00A93209"/>
    <w:rsid w:val="00A94F5F"/>
    <w:rsid w:val="00A970E2"/>
    <w:rsid w:val="00A9712A"/>
    <w:rsid w:val="00AA0197"/>
    <w:rsid w:val="00AA089E"/>
    <w:rsid w:val="00AA2F58"/>
    <w:rsid w:val="00AA3B8B"/>
    <w:rsid w:val="00AA43D0"/>
    <w:rsid w:val="00AA46D3"/>
    <w:rsid w:val="00AA5951"/>
    <w:rsid w:val="00AA7B9E"/>
    <w:rsid w:val="00AB0431"/>
    <w:rsid w:val="00AB1011"/>
    <w:rsid w:val="00AB2E49"/>
    <w:rsid w:val="00AB304F"/>
    <w:rsid w:val="00AB36AC"/>
    <w:rsid w:val="00AB3B12"/>
    <w:rsid w:val="00AB42C3"/>
    <w:rsid w:val="00AB5241"/>
    <w:rsid w:val="00AB6457"/>
    <w:rsid w:val="00AC0FBF"/>
    <w:rsid w:val="00AC1881"/>
    <w:rsid w:val="00AC19F3"/>
    <w:rsid w:val="00AC1A7F"/>
    <w:rsid w:val="00AC22E7"/>
    <w:rsid w:val="00AC25D0"/>
    <w:rsid w:val="00AC2FBB"/>
    <w:rsid w:val="00AC3197"/>
    <w:rsid w:val="00AC3F89"/>
    <w:rsid w:val="00AC43FA"/>
    <w:rsid w:val="00AC448C"/>
    <w:rsid w:val="00AC6BB2"/>
    <w:rsid w:val="00AC7FBD"/>
    <w:rsid w:val="00AD0321"/>
    <w:rsid w:val="00AD1D1E"/>
    <w:rsid w:val="00AD2E04"/>
    <w:rsid w:val="00AD3ADC"/>
    <w:rsid w:val="00AD4AAD"/>
    <w:rsid w:val="00AD4D80"/>
    <w:rsid w:val="00AD664E"/>
    <w:rsid w:val="00AD7032"/>
    <w:rsid w:val="00AD751F"/>
    <w:rsid w:val="00AE0280"/>
    <w:rsid w:val="00AE0326"/>
    <w:rsid w:val="00AE0482"/>
    <w:rsid w:val="00AE166F"/>
    <w:rsid w:val="00AE17C0"/>
    <w:rsid w:val="00AE1B2A"/>
    <w:rsid w:val="00AE23E4"/>
    <w:rsid w:val="00AE2CD6"/>
    <w:rsid w:val="00AE2E99"/>
    <w:rsid w:val="00AE32E2"/>
    <w:rsid w:val="00AE4C47"/>
    <w:rsid w:val="00AE5237"/>
    <w:rsid w:val="00AE5CE7"/>
    <w:rsid w:val="00AE6736"/>
    <w:rsid w:val="00AE6ECE"/>
    <w:rsid w:val="00AE79AD"/>
    <w:rsid w:val="00AF07FD"/>
    <w:rsid w:val="00AF2093"/>
    <w:rsid w:val="00AF2486"/>
    <w:rsid w:val="00AF3385"/>
    <w:rsid w:val="00AF4B0E"/>
    <w:rsid w:val="00AF5717"/>
    <w:rsid w:val="00AF603B"/>
    <w:rsid w:val="00AF6434"/>
    <w:rsid w:val="00B00E48"/>
    <w:rsid w:val="00B02299"/>
    <w:rsid w:val="00B02343"/>
    <w:rsid w:val="00B03280"/>
    <w:rsid w:val="00B03AE9"/>
    <w:rsid w:val="00B03F27"/>
    <w:rsid w:val="00B0617E"/>
    <w:rsid w:val="00B0764B"/>
    <w:rsid w:val="00B1094E"/>
    <w:rsid w:val="00B10D24"/>
    <w:rsid w:val="00B114CE"/>
    <w:rsid w:val="00B12AB5"/>
    <w:rsid w:val="00B145BB"/>
    <w:rsid w:val="00B1470A"/>
    <w:rsid w:val="00B150A1"/>
    <w:rsid w:val="00B15FA9"/>
    <w:rsid w:val="00B17A79"/>
    <w:rsid w:val="00B17D80"/>
    <w:rsid w:val="00B2003B"/>
    <w:rsid w:val="00B2064D"/>
    <w:rsid w:val="00B2193E"/>
    <w:rsid w:val="00B21ECD"/>
    <w:rsid w:val="00B23491"/>
    <w:rsid w:val="00B23552"/>
    <w:rsid w:val="00B24DA1"/>
    <w:rsid w:val="00B257AA"/>
    <w:rsid w:val="00B263FE"/>
    <w:rsid w:val="00B30414"/>
    <w:rsid w:val="00B308CC"/>
    <w:rsid w:val="00B32D98"/>
    <w:rsid w:val="00B32EB5"/>
    <w:rsid w:val="00B34053"/>
    <w:rsid w:val="00B345B2"/>
    <w:rsid w:val="00B410D2"/>
    <w:rsid w:val="00B41774"/>
    <w:rsid w:val="00B42412"/>
    <w:rsid w:val="00B427D6"/>
    <w:rsid w:val="00B438A3"/>
    <w:rsid w:val="00B43AFD"/>
    <w:rsid w:val="00B4405D"/>
    <w:rsid w:val="00B45B7E"/>
    <w:rsid w:val="00B464D2"/>
    <w:rsid w:val="00B4743A"/>
    <w:rsid w:val="00B47C70"/>
    <w:rsid w:val="00B5032C"/>
    <w:rsid w:val="00B51150"/>
    <w:rsid w:val="00B512DF"/>
    <w:rsid w:val="00B54015"/>
    <w:rsid w:val="00B54B8F"/>
    <w:rsid w:val="00B54D1B"/>
    <w:rsid w:val="00B55429"/>
    <w:rsid w:val="00B55C37"/>
    <w:rsid w:val="00B5657F"/>
    <w:rsid w:val="00B5762F"/>
    <w:rsid w:val="00B57740"/>
    <w:rsid w:val="00B57939"/>
    <w:rsid w:val="00B57E61"/>
    <w:rsid w:val="00B610F9"/>
    <w:rsid w:val="00B6145F"/>
    <w:rsid w:val="00B61576"/>
    <w:rsid w:val="00B628A8"/>
    <w:rsid w:val="00B63805"/>
    <w:rsid w:val="00B63BC9"/>
    <w:rsid w:val="00B649A7"/>
    <w:rsid w:val="00B65ADB"/>
    <w:rsid w:val="00B65BEB"/>
    <w:rsid w:val="00B6671E"/>
    <w:rsid w:val="00B66C0C"/>
    <w:rsid w:val="00B7028D"/>
    <w:rsid w:val="00B70CEF"/>
    <w:rsid w:val="00B71160"/>
    <w:rsid w:val="00B72A32"/>
    <w:rsid w:val="00B7394C"/>
    <w:rsid w:val="00B7394F"/>
    <w:rsid w:val="00B73BA2"/>
    <w:rsid w:val="00B743D9"/>
    <w:rsid w:val="00B770EF"/>
    <w:rsid w:val="00B776D1"/>
    <w:rsid w:val="00B80357"/>
    <w:rsid w:val="00B8238B"/>
    <w:rsid w:val="00B8352F"/>
    <w:rsid w:val="00B844F6"/>
    <w:rsid w:val="00B8551D"/>
    <w:rsid w:val="00B902F3"/>
    <w:rsid w:val="00B903AA"/>
    <w:rsid w:val="00B907F7"/>
    <w:rsid w:val="00B91061"/>
    <w:rsid w:val="00B920E3"/>
    <w:rsid w:val="00B92128"/>
    <w:rsid w:val="00B92177"/>
    <w:rsid w:val="00B925E4"/>
    <w:rsid w:val="00B9467C"/>
    <w:rsid w:val="00B952F2"/>
    <w:rsid w:val="00B96367"/>
    <w:rsid w:val="00BA05F8"/>
    <w:rsid w:val="00BA09F5"/>
    <w:rsid w:val="00BA0BDB"/>
    <w:rsid w:val="00BA1980"/>
    <w:rsid w:val="00BA33BD"/>
    <w:rsid w:val="00BA454D"/>
    <w:rsid w:val="00BA4EAC"/>
    <w:rsid w:val="00BA510E"/>
    <w:rsid w:val="00BA7B9A"/>
    <w:rsid w:val="00BA7CA3"/>
    <w:rsid w:val="00BB0806"/>
    <w:rsid w:val="00BB1742"/>
    <w:rsid w:val="00BB1C60"/>
    <w:rsid w:val="00BB2479"/>
    <w:rsid w:val="00BB299E"/>
    <w:rsid w:val="00BB33CA"/>
    <w:rsid w:val="00BB344C"/>
    <w:rsid w:val="00BB4001"/>
    <w:rsid w:val="00BB582E"/>
    <w:rsid w:val="00BB7101"/>
    <w:rsid w:val="00BB7360"/>
    <w:rsid w:val="00BB79C3"/>
    <w:rsid w:val="00BC0409"/>
    <w:rsid w:val="00BC0970"/>
    <w:rsid w:val="00BC0A22"/>
    <w:rsid w:val="00BC0F22"/>
    <w:rsid w:val="00BC4CAB"/>
    <w:rsid w:val="00BC51AF"/>
    <w:rsid w:val="00BC659B"/>
    <w:rsid w:val="00BC7D23"/>
    <w:rsid w:val="00BD0028"/>
    <w:rsid w:val="00BD0184"/>
    <w:rsid w:val="00BD1707"/>
    <w:rsid w:val="00BD1B45"/>
    <w:rsid w:val="00BD1F10"/>
    <w:rsid w:val="00BD2826"/>
    <w:rsid w:val="00BD2B29"/>
    <w:rsid w:val="00BD2DE5"/>
    <w:rsid w:val="00BD2F06"/>
    <w:rsid w:val="00BD33C7"/>
    <w:rsid w:val="00BD3B90"/>
    <w:rsid w:val="00BD3DBF"/>
    <w:rsid w:val="00BD586F"/>
    <w:rsid w:val="00BD6A17"/>
    <w:rsid w:val="00BD6D92"/>
    <w:rsid w:val="00BD6F11"/>
    <w:rsid w:val="00BD703F"/>
    <w:rsid w:val="00BD718C"/>
    <w:rsid w:val="00BD71C2"/>
    <w:rsid w:val="00BD7268"/>
    <w:rsid w:val="00BD76A0"/>
    <w:rsid w:val="00BD7945"/>
    <w:rsid w:val="00BD7E83"/>
    <w:rsid w:val="00BE01DB"/>
    <w:rsid w:val="00BE118E"/>
    <w:rsid w:val="00BE12A3"/>
    <w:rsid w:val="00BE1F13"/>
    <w:rsid w:val="00BE2F48"/>
    <w:rsid w:val="00BE31C2"/>
    <w:rsid w:val="00BE39E8"/>
    <w:rsid w:val="00BE4ECD"/>
    <w:rsid w:val="00BE5807"/>
    <w:rsid w:val="00BE767D"/>
    <w:rsid w:val="00BE7E79"/>
    <w:rsid w:val="00BF48F8"/>
    <w:rsid w:val="00BF5D1E"/>
    <w:rsid w:val="00BF692C"/>
    <w:rsid w:val="00BF7D3B"/>
    <w:rsid w:val="00C02E2D"/>
    <w:rsid w:val="00C0358B"/>
    <w:rsid w:val="00C036BB"/>
    <w:rsid w:val="00C06008"/>
    <w:rsid w:val="00C06F5E"/>
    <w:rsid w:val="00C0789B"/>
    <w:rsid w:val="00C07D01"/>
    <w:rsid w:val="00C10AA7"/>
    <w:rsid w:val="00C1259E"/>
    <w:rsid w:val="00C137DC"/>
    <w:rsid w:val="00C13FD0"/>
    <w:rsid w:val="00C144CE"/>
    <w:rsid w:val="00C145E3"/>
    <w:rsid w:val="00C14A89"/>
    <w:rsid w:val="00C16D7C"/>
    <w:rsid w:val="00C179DB"/>
    <w:rsid w:val="00C179F2"/>
    <w:rsid w:val="00C20B11"/>
    <w:rsid w:val="00C215F3"/>
    <w:rsid w:val="00C234CB"/>
    <w:rsid w:val="00C23CBD"/>
    <w:rsid w:val="00C25307"/>
    <w:rsid w:val="00C261F0"/>
    <w:rsid w:val="00C26E39"/>
    <w:rsid w:val="00C27605"/>
    <w:rsid w:val="00C27768"/>
    <w:rsid w:val="00C27DC2"/>
    <w:rsid w:val="00C30297"/>
    <w:rsid w:val="00C31F9D"/>
    <w:rsid w:val="00C33C33"/>
    <w:rsid w:val="00C33CB4"/>
    <w:rsid w:val="00C346E6"/>
    <w:rsid w:val="00C353C7"/>
    <w:rsid w:val="00C36007"/>
    <w:rsid w:val="00C37477"/>
    <w:rsid w:val="00C37CF0"/>
    <w:rsid w:val="00C405C8"/>
    <w:rsid w:val="00C40CE2"/>
    <w:rsid w:val="00C418B8"/>
    <w:rsid w:val="00C41C5B"/>
    <w:rsid w:val="00C41F07"/>
    <w:rsid w:val="00C4210A"/>
    <w:rsid w:val="00C421E3"/>
    <w:rsid w:val="00C430ED"/>
    <w:rsid w:val="00C43991"/>
    <w:rsid w:val="00C44946"/>
    <w:rsid w:val="00C45255"/>
    <w:rsid w:val="00C45515"/>
    <w:rsid w:val="00C45A8E"/>
    <w:rsid w:val="00C45BD6"/>
    <w:rsid w:val="00C47CDE"/>
    <w:rsid w:val="00C509E8"/>
    <w:rsid w:val="00C51AE3"/>
    <w:rsid w:val="00C53314"/>
    <w:rsid w:val="00C54ABC"/>
    <w:rsid w:val="00C54ADE"/>
    <w:rsid w:val="00C55C26"/>
    <w:rsid w:val="00C572C6"/>
    <w:rsid w:val="00C60FF4"/>
    <w:rsid w:val="00C622A6"/>
    <w:rsid w:val="00C62EE3"/>
    <w:rsid w:val="00C63D43"/>
    <w:rsid w:val="00C644FA"/>
    <w:rsid w:val="00C646B2"/>
    <w:rsid w:val="00C65201"/>
    <w:rsid w:val="00C6589A"/>
    <w:rsid w:val="00C66C41"/>
    <w:rsid w:val="00C67646"/>
    <w:rsid w:val="00C67985"/>
    <w:rsid w:val="00C700CD"/>
    <w:rsid w:val="00C70A6E"/>
    <w:rsid w:val="00C71999"/>
    <w:rsid w:val="00C72567"/>
    <w:rsid w:val="00C731E5"/>
    <w:rsid w:val="00C732D8"/>
    <w:rsid w:val="00C77E26"/>
    <w:rsid w:val="00C80ABC"/>
    <w:rsid w:val="00C80CDB"/>
    <w:rsid w:val="00C8184F"/>
    <w:rsid w:val="00C8286B"/>
    <w:rsid w:val="00C8290D"/>
    <w:rsid w:val="00C83B1E"/>
    <w:rsid w:val="00C83D29"/>
    <w:rsid w:val="00C84B75"/>
    <w:rsid w:val="00C85225"/>
    <w:rsid w:val="00C86444"/>
    <w:rsid w:val="00C86DED"/>
    <w:rsid w:val="00C874E2"/>
    <w:rsid w:val="00C87DED"/>
    <w:rsid w:val="00C90788"/>
    <w:rsid w:val="00C90BE4"/>
    <w:rsid w:val="00C92560"/>
    <w:rsid w:val="00C92CDD"/>
    <w:rsid w:val="00C933A4"/>
    <w:rsid w:val="00C933F3"/>
    <w:rsid w:val="00C93CD2"/>
    <w:rsid w:val="00C95C70"/>
    <w:rsid w:val="00C968C1"/>
    <w:rsid w:val="00C9719D"/>
    <w:rsid w:val="00CA1D01"/>
    <w:rsid w:val="00CA208B"/>
    <w:rsid w:val="00CA4053"/>
    <w:rsid w:val="00CA465A"/>
    <w:rsid w:val="00CA471C"/>
    <w:rsid w:val="00CA7318"/>
    <w:rsid w:val="00CA7881"/>
    <w:rsid w:val="00CA7AD6"/>
    <w:rsid w:val="00CB217C"/>
    <w:rsid w:val="00CB2241"/>
    <w:rsid w:val="00CB2D5F"/>
    <w:rsid w:val="00CB3923"/>
    <w:rsid w:val="00CB3E1E"/>
    <w:rsid w:val="00CB46E9"/>
    <w:rsid w:val="00CB4A8E"/>
    <w:rsid w:val="00CB5A19"/>
    <w:rsid w:val="00CB702E"/>
    <w:rsid w:val="00CB70F7"/>
    <w:rsid w:val="00CC06E1"/>
    <w:rsid w:val="00CC2153"/>
    <w:rsid w:val="00CC2799"/>
    <w:rsid w:val="00CC2A09"/>
    <w:rsid w:val="00CC48A0"/>
    <w:rsid w:val="00CC4B9E"/>
    <w:rsid w:val="00CC4FAB"/>
    <w:rsid w:val="00CC5F8E"/>
    <w:rsid w:val="00CC6808"/>
    <w:rsid w:val="00CC7016"/>
    <w:rsid w:val="00CD1132"/>
    <w:rsid w:val="00CD2E5C"/>
    <w:rsid w:val="00CD3C6B"/>
    <w:rsid w:val="00CD4A79"/>
    <w:rsid w:val="00CD4C24"/>
    <w:rsid w:val="00CD5D8C"/>
    <w:rsid w:val="00CD6017"/>
    <w:rsid w:val="00CD750D"/>
    <w:rsid w:val="00CE0FCB"/>
    <w:rsid w:val="00CE10FD"/>
    <w:rsid w:val="00CE3128"/>
    <w:rsid w:val="00CE421B"/>
    <w:rsid w:val="00CE47C1"/>
    <w:rsid w:val="00CE5586"/>
    <w:rsid w:val="00CE6DA9"/>
    <w:rsid w:val="00CE73E0"/>
    <w:rsid w:val="00CE7873"/>
    <w:rsid w:val="00CE7A7F"/>
    <w:rsid w:val="00CF14BB"/>
    <w:rsid w:val="00CF1F49"/>
    <w:rsid w:val="00CF2000"/>
    <w:rsid w:val="00CF2BF6"/>
    <w:rsid w:val="00CF3290"/>
    <w:rsid w:val="00CF3C7B"/>
    <w:rsid w:val="00CF3DD8"/>
    <w:rsid w:val="00CF42D1"/>
    <w:rsid w:val="00CF60E0"/>
    <w:rsid w:val="00D0063E"/>
    <w:rsid w:val="00D01EF9"/>
    <w:rsid w:val="00D02178"/>
    <w:rsid w:val="00D022DC"/>
    <w:rsid w:val="00D02524"/>
    <w:rsid w:val="00D02DE7"/>
    <w:rsid w:val="00D02F5E"/>
    <w:rsid w:val="00D030A8"/>
    <w:rsid w:val="00D04578"/>
    <w:rsid w:val="00D047D3"/>
    <w:rsid w:val="00D048E4"/>
    <w:rsid w:val="00D07528"/>
    <w:rsid w:val="00D07BD3"/>
    <w:rsid w:val="00D1298F"/>
    <w:rsid w:val="00D1375D"/>
    <w:rsid w:val="00D13AA8"/>
    <w:rsid w:val="00D13BF4"/>
    <w:rsid w:val="00D161C0"/>
    <w:rsid w:val="00D16AC6"/>
    <w:rsid w:val="00D21170"/>
    <w:rsid w:val="00D2138C"/>
    <w:rsid w:val="00D21590"/>
    <w:rsid w:val="00D215A3"/>
    <w:rsid w:val="00D24C2B"/>
    <w:rsid w:val="00D2582F"/>
    <w:rsid w:val="00D25AC8"/>
    <w:rsid w:val="00D2746B"/>
    <w:rsid w:val="00D2759A"/>
    <w:rsid w:val="00D27B94"/>
    <w:rsid w:val="00D27F3A"/>
    <w:rsid w:val="00D30464"/>
    <w:rsid w:val="00D3086E"/>
    <w:rsid w:val="00D30F10"/>
    <w:rsid w:val="00D31911"/>
    <w:rsid w:val="00D33D0E"/>
    <w:rsid w:val="00D33F10"/>
    <w:rsid w:val="00D34D84"/>
    <w:rsid w:val="00D34E7D"/>
    <w:rsid w:val="00D36D0E"/>
    <w:rsid w:val="00D37129"/>
    <w:rsid w:val="00D3714D"/>
    <w:rsid w:val="00D40006"/>
    <w:rsid w:val="00D404EC"/>
    <w:rsid w:val="00D4079A"/>
    <w:rsid w:val="00D41D28"/>
    <w:rsid w:val="00D42454"/>
    <w:rsid w:val="00D44B1D"/>
    <w:rsid w:val="00D460D3"/>
    <w:rsid w:val="00D46648"/>
    <w:rsid w:val="00D46702"/>
    <w:rsid w:val="00D47553"/>
    <w:rsid w:val="00D4781E"/>
    <w:rsid w:val="00D50E75"/>
    <w:rsid w:val="00D50FA5"/>
    <w:rsid w:val="00D515BB"/>
    <w:rsid w:val="00D54676"/>
    <w:rsid w:val="00D551C0"/>
    <w:rsid w:val="00D55BF6"/>
    <w:rsid w:val="00D56D44"/>
    <w:rsid w:val="00D57BB8"/>
    <w:rsid w:val="00D57CE2"/>
    <w:rsid w:val="00D6039E"/>
    <w:rsid w:val="00D60FF1"/>
    <w:rsid w:val="00D61A6D"/>
    <w:rsid w:val="00D61B0C"/>
    <w:rsid w:val="00D62624"/>
    <w:rsid w:val="00D62BB5"/>
    <w:rsid w:val="00D62CE6"/>
    <w:rsid w:val="00D654F3"/>
    <w:rsid w:val="00D65972"/>
    <w:rsid w:val="00D65E9E"/>
    <w:rsid w:val="00D668A2"/>
    <w:rsid w:val="00D66C43"/>
    <w:rsid w:val="00D71480"/>
    <w:rsid w:val="00D714E9"/>
    <w:rsid w:val="00D71E34"/>
    <w:rsid w:val="00D7258A"/>
    <w:rsid w:val="00D76104"/>
    <w:rsid w:val="00D761AB"/>
    <w:rsid w:val="00D766AC"/>
    <w:rsid w:val="00D80394"/>
    <w:rsid w:val="00D806F0"/>
    <w:rsid w:val="00D810FB"/>
    <w:rsid w:val="00D81578"/>
    <w:rsid w:val="00D8362B"/>
    <w:rsid w:val="00D841B6"/>
    <w:rsid w:val="00D84920"/>
    <w:rsid w:val="00D85747"/>
    <w:rsid w:val="00D85D43"/>
    <w:rsid w:val="00D861B2"/>
    <w:rsid w:val="00D863A7"/>
    <w:rsid w:val="00D87F35"/>
    <w:rsid w:val="00D90195"/>
    <w:rsid w:val="00D904F9"/>
    <w:rsid w:val="00D90B8D"/>
    <w:rsid w:val="00D912BE"/>
    <w:rsid w:val="00D916C2"/>
    <w:rsid w:val="00D922DD"/>
    <w:rsid w:val="00D94CB0"/>
    <w:rsid w:val="00D951E7"/>
    <w:rsid w:val="00D95DB1"/>
    <w:rsid w:val="00D96E4F"/>
    <w:rsid w:val="00D96F14"/>
    <w:rsid w:val="00DA076C"/>
    <w:rsid w:val="00DA07D0"/>
    <w:rsid w:val="00DA08AC"/>
    <w:rsid w:val="00DA1C1E"/>
    <w:rsid w:val="00DA1D4C"/>
    <w:rsid w:val="00DA3662"/>
    <w:rsid w:val="00DA5F2B"/>
    <w:rsid w:val="00DB03D1"/>
    <w:rsid w:val="00DB159F"/>
    <w:rsid w:val="00DB17EF"/>
    <w:rsid w:val="00DB1846"/>
    <w:rsid w:val="00DB1942"/>
    <w:rsid w:val="00DB1D05"/>
    <w:rsid w:val="00DB1D0D"/>
    <w:rsid w:val="00DB2C91"/>
    <w:rsid w:val="00DB360D"/>
    <w:rsid w:val="00DB56F1"/>
    <w:rsid w:val="00DB6DDE"/>
    <w:rsid w:val="00DB6F9F"/>
    <w:rsid w:val="00DB798B"/>
    <w:rsid w:val="00DC01E1"/>
    <w:rsid w:val="00DC075F"/>
    <w:rsid w:val="00DC1260"/>
    <w:rsid w:val="00DC13FB"/>
    <w:rsid w:val="00DC1A22"/>
    <w:rsid w:val="00DC2A48"/>
    <w:rsid w:val="00DC2DB6"/>
    <w:rsid w:val="00DC3852"/>
    <w:rsid w:val="00DC3C51"/>
    <w:rsid w:val="00DC428D"/>
    <w:rsid w:val="00DD010A"/>
    <w:rsid w:val="00DD0377"/>
    <w:rsid w:val="00DD086F"/>
    <w:rsid w:val="00DD0C27"/>
    <w:rsid w:val="00DD0EFE"/>
    <w:rsid w:val="00DD1135"/>
    <w:rsid w:val="00DD2A80"/>
    <w:rsid w:val="00DD41D5"/>
    <w:rsid w:val="00DD50FA"/>
    <w:rsid w:val="00DD6C0D"/>
    <w:rsid w:val="00DD797D"/>
    <w:rsid w:val="00DE0306"/>
    <w:rsid w:val="00DE078C"/>
    <w:rsid w:val="00DE156C"/>
    <w:rsid w:val="00DE1731"/>
    <w:rsid w:val="00DE2D29"/>
    <w:rsid w:val="00DE2E16"/>
    <w:rsid w:val="00DE3845"/>
    <w:rsid w:val="00DE4778"/>
    <w:rsid w:val="00DE54FE"/>
    <w:rsid w:val="00DE5BE4"/>
    <w:rsid w:val="00DE609C"/>
    <w:rsid w:val="00DE62A4"/>
    <w:rsid w:val="00DE7085"/>
    <w:rsid w:val="00DE7215"/>
    <w:rsid w:val="00DE72F0"/>
    <w:rsid w:val="00DF014B"/>
    <w:rsid w:val="00DF2329"/>
    <w:rsid w:val="00DF24DB"/>
    <w:rsid w:val="00DF2865"/>
    <w:rsid w:val="00DF2962"/>
    <w:rsid w:val="00DF2DBE"/>
    <w:rsid w:val="00DF3534"/>
    <w:rsid w:val="00DF421B"/>
    <w:rsid w:val="00DF4A8B"/>
    <w:rsid w:val="00DF5F29"/>
    <w:rsid w:val="00DF7206"/>
    <w:rsid w:val="00DF7495"/>
    <w:rsid w:val="00DF78BA"/>
    <w:rsid w:val="00DF79CB"/>
    <w:rsid w:val="00E00499"/>
    <w:rsid w:val="00E015E0"/>
    <w:rsid w:val="00E02752"/>
    <w:rsid w:val="00E0296C"/>
    <w:rsid w:val="00E047B6"/>
    <w:rsid w:val="00E062BE"/>
    <w:rsid w:val="00E10A29"/>
    <w:rsid w:val="00E11A32"/>
    <w:rsid w:val="00E122DB"/>
    <w:rsid w:val="00E1289D"/>
    <w:rsid w:val="00E12E87"/>
    <w:rsid w:val="00E12FD2"/>
    <w:rsid w:val="00E13081"/>
    <w:rsid w:val="00E13A54"/>
    <w:rsid w:val="00E1498E"/>
    <w:rsid w:val="00E162D7"/>
    <w:rsid w:val="00E16ADD"/>
    <w:rsid w:val="00E17793"/>
    <w:rsid w:val="00E20ED6"/>
    <w:rsid w:val="00E217A2"/>
    <w:rsid w:val="00E21D53"/>
    <w:rsid w:val="00E23336"/>
    <w:rsid w:val="00E23477"/>
    <w:rsid w:val="00E2362D"/>
    <w:rsid w:val="00E24774"/>
    <w:rsid w:val="00E26075"/>
    <w:rsid w:val="00E263F5"/>
    <w:rsid w:val="00E27165"/>
    <w:rsid w:val="00E27F53"/>
    <w:rsid w:val="00E325F4"/>
    <w:rsid w:val="00E33344"/>
    <w:rsid w:val="00E33750"/>
    <w:rsid w:val="00E34940"/>
    <w:rsid w:val="00E349D8"/>
    <w:rsid w:val="00E34C30"/>
    <w:rsid w:val="00E3511D"/>
    <w:rsid w:val="00E368E8"/>
    <w:rsid w:val="00E40346"/>
    <w:rsid w:val="00E41459"/>
    <w:rsid w:val="00E42593"/>
    <w:rsid w:val="00E43252"/>
    <w:rsid w:val="00E44BA9"/>
    <w:rsid w:val="00E45E14"/>
    <w:rsid w:val="00E462DE"/>
    <w:rsid w:val="00E478CB"/>
    <w:rsid w:val="00E47AC5"/>
    <w:rsid w:val="00E50A88"/>
    <w:rsid w:val="00E50BB2"/>
    <w:rsid w:val="00E50C04"/>
    <w:rsid w:val="00E51BAD"/>
    <w:rsid w:val="00E51F48"/>
    <w:rsid w:val="00E540EF"/>
    <w:rsid w:val="00E54378"/>
    <w:rsid w:val="00E56A08"/>
    <w:rsid w:val="00E60D23"/>
    <w:rsid w:val="00E62292"/>
    <w:rsid w:val="00E62363"/>
    <w:rsid w:val="00E629EF"/>
    <w:rsid w:val="00E64D93"/>
    <w:rsid w:val="00E7060F"/>
    <w:rsid w:val="00E70E7C"/>
    <w:rsid w:val="00E71775"/>
    <w:rsid w:val="00E7290F"/>
    <w:rsid w:val="00E72C9C"/>
    <w:rsid w:val="00E72CD8"/>
    <w:rsid w:val="00E72FCE"/>
    <w:rsid w:val="00E73831"/>
    <w:rsid w:val="00E74156"/>
    <w:rsid w:val="00E7435E"/>
    <w:rsid w:val="00E749DB"/>
    <w:rsid w:val="00E759FA"/>
    <w:rsid w:val="00E76D8C"/>
    <w:rsid w:val="00E772CE"/>
    <w:rsid w:val="00E8153D"/>
    <w:rsid w:val="00E820AF"/>
    <w:rsid w:val="00E82FF6"/>
    <w:rsid w:val="00E83B46"/>
    <w:rsid w:val="00E83FF9"/>
    <w:rsid w:val="00E8519B"/>
    <w:rsid w:val="00E8565D"/>
    <w:rsid w:val="00E8746C"/>
    <w:rsid w:val="00E916BC"/>
    <w:rsid w:val="00E93E71"/>
    <w:rsid w:val="00E960F5"/>
    <w:rsid w:val="00E9695A"/>
    <w:rsid w:val="00E96B38"/>
    <w:rsid w:val="00E97845"/>
    <w:rsid w:val="00EA0E4B"/>
    <w:rsid w:val="00EA21C4"/>
    <w:rsid w:val="00EA27CC"/>
    <w:rsid w:val="00EA2F9D"/>
    <w:rsid w:val="00EA307A"/>
    <w:rsid w:val="00EA37DA"/>
    <w:rsid w:val="00EA4933"/>
    <w:rsid w:val="00EA7072"/>
    <w:rsid w:val="00EB14B9"/>
    <w:rsid w:val="00EB2582"/>
    <w:rsid w:val="00EB396D"/>
    <w:rsid w:val="00EB4029"/>
    <w:rsid w:val="00EB71A3"/>
    <w:rsid w:val="00EB7570"/>
    <w:rsid w:val="00EB7735"/>
    <w:rsid w:val="00EB7BAB"/>
    <w:rsid w:val="00EB7BB0"/>
    <w:rsid w:val="00EC0120"/>
    <w:rsid w:val="00EC08E9"/>
    <w:rsid w:val="00EC0941"/>
    <w:rsid w:val="00EC1EE9"/>
    <w:rsid w:val="00EC2270"/>
    <w:rsid w:val="00EC3638"/>
    <w:rsid w:val="00EC3A5E"/>
    <w:rsid w:val="00EC3EFC"/>
    <w:rsid w:val="00EC49B5"/>
    <w:rsid w:val="00EC5A26"/>
    <w:rsid w:val="00EC5FE2"/>
    <w:rsid w:val="00EC7FE7"/>
    <w:rsid w:val="00ED0175"/>
    <w:rsid w:val="00ED1031"/>
    <w:rsid w:val="00ED34D4"/>
    <w:rsid w:val="00ED3615"/>
    <w:rsid w:val="00ED41C9"/>
    <w:rsid w:val="00ED4205"/>
    <w:rsid w:val="00ED534A"/>
    <w:rsid w:val="00ED5711"/>
    <w:rsid w:val="00ED7375"/>
    <w:rsid w:val="00ED796A"/>
    <w:rsid w:val="00EE12A1"/>
    <w:rsid w:val="00EE17FE"/>
    <w:rsid w:val="00EE29B5"/>
    <w:rsid w:val="00EE3625"/>
    <w:rsid w:val="00EE3864"/>
    <w:rsid w:val="00EE398E"/>
    <w:rsid w:val="00EE4613"/>
    <w:rsid w:val="00EE46DB"/>
    <w:rsid w:val="00EE525F"/>
    <w:rsid w:val="00EE54C3"/>
    <w:rsid w:val="00EE566E"/>
    <w:rsid w:val="00EE5F78"/>
    <w:rsid w:val="00EE67CE"/>
    <w:rsid w:val="00EF0170"/>
    <w:rsid w:val="00EF0A61"/>
    <w:rsid w:val="00EF3517"/>
    <w:rsid w:val="00EF45F7"/>
    <w:rsid w:val="00EF6769"/>
    <w:rsid w:val="00F0022F"/>
    <w:rsid w:val="00F00515"/>
    <w:rsid w:val="00F012C3"/>
    <w:rsid w:val="00F01D02"/>
    <w:rsid w:val="00F023E8"/>
    <w:rsid w:val="00F02795"/>
    <w:rsid w:val="00F03989"/>
    <w:rsid w:val="00F03AEB"/>
    <w:rsid w:val="00F03C76"/>
    <w:rsid w:val="00F043E5"/>
    <w:rsid w:val="00F05693"/>
    <w:rsid w:val="00F05777"/>
    <w:rsid w:val="00F0618D"/>
    <w:rsid w:val="00F0636F"/>
    <w:rsid w:val="00F06F3F"/>
    <w:rsid w:val="00F075FF"/>
    <w:rsid w:val="00F1149A"/>
    <w:rsid w:val="00F1239A"/>
    <w:rsid w:val="00F134A6"/>
    <w:rsid w:val="00F13615"/>
    <w:rsid w:val="00F14207"/>
    <w:rsid w:val="00F14700"/>
    <w:rsid w:val="00F14861"/>
    <w:rsid w:val="00F14BFF"/>
    <w:rsid w:val="00F14F44"/>
    <w:rsid w:val="00F15744"/>
    <w:rsid w:val="00F15B31"/>
    <w:rsid w:val="00F15C9D"/>
    <w:rsid w:val="00F1724B"/>
    <w:rsid w:val="00F17687"/>
    <w:rsid w:val="00F20173"/>
    <w:rsid w:val="00F201A8"/>
    <w:rsid w:val="00F23968"/>
    <w:rsid w:val="00F23D8A"/>
    <w:rsid w:val="00F2444C"/>
    <w:rsid w:val="00F24D8B"/>
    <w:rsid w:val="00F25585"/>
    <w:rsid w:val="00F257A6"/>
    <w:rsid w:val="00F274E5"/>
    <w:rsid w:val="00F275C4"/>
    <w:rsid w:val="00F27C1D"/>
    <w:rsid w:val="00F3014A"/>
    <w:rsid w:val="00F319F1"/>
    <w:rsid w:val="00F31E74"/>
    <w:rsid w:val="00F32095"/>
    <w:rsid w:val="00F330B6"/>
    <w:rsid w:val="00F332BA"/>
    <w:rsid w:val="00F33716"/>
    <w:rsid w:val="00F342BF"/>
    <w:rsid w:val="00F34AE2"/>
    <w:rsid w:val="00F34DDB"/>
    <w:rsid w:val="00F366A4"/>
    <w:rsid w:val="00F37315"/>
    <w:rsid w:val="00F37F45"/>
    <w:rsid w:val="00F41160"/>
    <w:rsid w:val="00F44303"/>
    <w:rsid w:val="00F468C7"/>
    <w:rsid w:val="00F47E85"/>
    <w:rsid w:val="00F503E6"/>
    <w:rsid w:val="00F53830"/>
    <w:rsid w:val="00F549B2"/>
    <w:rsid w:val="00F55010"/>
    <w:rsid w:val="00F5609C"/>
    <w:rsid w:val="00F5757F"/>
    <w:rsid w:val="00F57B14"/>
    <w:rsid w:val="00F601F5"/>
    <w:rsid w:val="00F60AEB"/>
    <w:rsid w:val="00F63ACE"/>
    <w:rsid w:val="00F63DBF"/>
    <w:rsid w:val="00F65084"/>
    <w:rsid w:val="00F65C49"/>
    <w:rsid w:val="00F65CD0"/>
    <w:rsid w:val="00F664E2"/>
    <w:rsid w:val="00F6758A"/>
    <w:rsid w:val="00F71C39"/>
    <w:rsid w:val="00F724DE"/>
    <w:rsid w:val="00F729AB"/>
    <w:rsid w:val="00F72DDC"/>
    <w:rsid w:val="00F7342B"/>
    <w:rsid w:val="00F740E3"/>
    <w:rsid w:val="00F741DF"/>
    <w:rsid w:val="00F74596"/>
    <w:rsid w:val="00F74B20"/>
    <w:rsid w:val="00F76042"/>
    <w:rsid w:val="00F767BC"/>
    <w:rsid w:val="00F76C4F"/>
    <w:rsid w:val="00F77334"/>
    <w:rsid w:val="00F77C72"/>
    <w:rsid w:val="00F80047"/>
    <w:rsid w:val="00F8103A"/>
    <w:rsid w:val="00F82745"/>
    <w:rsid w:val="00F827FF"/>
    <w:rsid w:val="00F832F9"/>
    <w:rsid w:val="00F84D22"/>
    <w:rsid w:val="00F8578D"/>
    <w:rsid w:val="00F85BC5"/>
    <w:rsid w:val="00F861E6"/>
    <w:rsid w:val="00F87260"/>
    <w:rsid w:val="00F87A69"/>
    <w:rsid w:val="00F90A2F"/>
    <w:rsid w:val="00F90E9E"/>
    <w:rsid w:val="00F91615"/>
    <w:rsid w:val="00F91782"/>
    <w:rsid w:val="00F91C57"/>
    <w:rsid w:val="00F97330"/>
    <w:rsid w:val="00FA01CB"/>
    <w:rsid w:val="00FA1272"/>
    <w:rsid w:val="00FA1EE9"/>
    <w:rsid w:val="00FA3304"/>
    <w:rsid w:val="00FA3FE9"/>
    <w:rsid w:val="00FA554C"/>
    <w:rsid w:val="00FB0E84"/>
    <w:rsid w:val="00FB26AB"/>
    <w:rsid w:val="00FB33F0"/>
    <w:rsid w:val="00FB3450"/>
    <w:rsid w:val="00FB4E3F"/>
    <w:rsid w:val="00FB5947"/>
    <w:rsid w:val="00FB6D91"/>
    <w:rsid w:val="00FB6FE9"/>
    <w:rsid w:val="00FB70ED"/>
    <w:rsid w:val="00FC0D2C"/>
    <w:rsid w:val="00FC14BE"/>
    <w:rsid w:val="00FC2622"/>
    <w:rsid w:val="00FC31F6"/>
    <w:rsid w:val="00FC36C9"/>
    <w:rsid w:val="00FC38FD"/>
    <w:rsid w:val="00FC4C58"/>
    <w:rsid w:val="00FC55F7"/>
    <w:rsid w:val="00FC5F89"/>
    <w:rsid w:val="00FC70B8"/>
    <w:rsid w:val="00FC7128"/>
    <w:rsid w:val="00FC7807"/>
    <w:rsid w:val="00FC7AAB"/>
    <w:rsid w:val="00FC7C14"/>
    <w:rsid w:val="00FD0BAC"/>
    <w:rsid w:val="00FD41E1"/>
    <w:rsid w:val="00FD435E"/>
    <w:rsid w:val="00FD4A95"/>
    <w:rsid w:val="00FD4BA5"/>
    <w:rsid w:val="00FD4E46"/>
    <w:rsid w:val="00FD57BD"/>
    <w:rsid w:val="00FD6364"/>
    <w:rsid w:val="00FD63BB"/>
    <w:rsid w:val="00FD6DE7"/>
    <w:rsid w:val="00FE0ACC"/>
    <w:rsid w:val="00FE23CF"/>
    <w:rsid w:val="00FE285B"/>
    <w:rsid w:val="00FE293D"/>
    <w:rsid w:val="00FE6632"/>
    <w:rsid w:val="00FE69E5"/>
    <w:rsid w:val="00FE6F9D"/>
    <w:rsid w:val="00FE7EA3"/>
    <w:rsid w:val="00FF0D0E"/>
    <w:rsid w:val="00FF1744"/>
    <w:rsid w:val="00FF1941"/>
    <w:rsid w:val="00FF29BE"/>
    <w:rsid w:val="00FF2C51"/>
    <w:rsid w:val="00FF32DF"/>
    <w:rsid w:val="00FF5BA9"/>
    <w:rsid w:val="00FF5E43"/>
    <w:rsid w:val="00FF6943"/>
    <w:rsid w:val="00FF704C"/>
    <w:rsid w:val="00FF721F"/>
    <w:rsid w:val="00FF7EC3"/>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306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Light" w:eastAsiaTheme="minorHAnsi" w:hAnsi="Calibri Light"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List" w:uiPriority="0"/>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7A34"/>
    <w:pPr>
      <w:spacing w:after="120"/>
      <w:jc w:val="both"/>
    </w:pPr>
    <w:rPr>
      <w:sz w:val="24"/>
      <w:szCs w:val="24"/>
    </w:rPr>
  </w:style>
  <w:style w:type="paragraph" w:styleId="Heading1">
    <w:name w:val="heading 1"/>
    <w:basedOn w:val="Normal"/>
    <w:next w:val="Normal"/>
    <w:link w:val="Heading1Char"/>
    <w:autoRedefine/>
    <w:uiPriority w:val="9"/>
    <w:qFormat/>
    <w:rsid w:val="0069306E"/>
    <w:pPr>
      <w:keepNext/>
      <w:keepLines/>
      <w:pageBreakBefore/>
      <w:numPr>
        <w:numId w:val="4"/>
      </w:numPr>
      <w:shd w:val="clear" w:color="auto" w:fill="D9D9D9" w:themeFill="background1" w:themeFillShade="D9"/>
      <w:spacing w:before="240" w:after="240" w:line="240" w:lineRule="auto"/>
      <w:jc w:val="left"/>
      <w:outlineLvl w:val="0"/>
    </w:pPr>
    <w:rPr>
      <w:rFonts w:ascii="Times New Roman" w:hAnsi="Times New Roman" w:cs="Times New Roman"/>
      <w:b/>
      <w:smallCaps/>
      <w:color w:val="2E74B5" w:themeColor="accent1" w:themeShade="BF"/>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style>
  <w:style w:type="paragraph" w:styleId="Heading2">
    <w:name w:val="heading 2"/>
    <w:basedOn w:val="Normal"/>
    <w:next w:val="Normal"/>
    <w:link w:val="Heading2Char"/>
    <w:uiPriority w:val="9"/>
    <w:unhideWhenUsed/>
    <w:qFormat/>
    <w:rsid w:val="00AA7B9E"/>
    <w:pPr>
      <w:keepNext/>
      <w:keepLines/>
      <w:numPr>
        <w:ilvl w:val="1"/>
        <w:numId w:val="4"/>
      </w:numPr>
      <w:spacing w:before="240"/>
      <w:jc w:val="left"/>
      <w:outlineLvl w:val="1"/>
    </w:pPr>
    <w:rPr>
      <w:rFonts w:ascii="Cambria" w:eastAsiaTheme="majorEastAsia" w:hAnsi="Cambria" w:cstheme="majorBidi"/>
      <w:b/>
      <w:smallCaps/>
      <w:color w:val="2E74B5"/>
    </w:rPr>
  </w:style>
  <w:style w:type="paragraph" w:styleId="Heading3">
    <w:name w:val="heading 3"/>
    <w:basedOn w:val="Normal"/>
    <w:next w:val="Normal"/>
    <w:link w:val="Heading3Char"/>
    <w:uiPriority w:val="9"/>
    <w:unhideWhenUsed/>
    <w:qFormat/>
    <w:rsid w:val="00AA7B9E"/>
    <w:pPr>
      <w:keepNext/>
      <w:keepLines/>
      <w:numPr>
        <w:ilvl w:val="2"/>
        <w:numId w:val="4"/>
      </w:numPr>
      <w:spacing w:before="40" w:after="0" w:line="240" w:lineRule="auto"/>
      <w:jc w:val="left"/>
      <w:outlineLvl w:val="2"/>
    </w:pPr>
    <w:rPr>
      <w:rFonts w:ascii="Cambria" w:eastAsia="Times New Roman" w:hAnsi="Cambria" w:cstheme="majorBidi"/>
      <w:b/>
      <w:color w:val="1F4D78" w:themeColor="accent1" w:themeShade="7F"/>
    </w:rPr>
  </w:style>
  <w:style w:type="paragraph" w:styleId="Heading4">
    <w:name w:val="heading 4"/>
    <w:basedOn w:val="Normal"/>
    <w:next w:val="Normal"/>
    <w:link w:val="Heading4Char"/>
    <w:uiPriority w:val="9"/>
    <w:unhideWhenUsed/>
    <w:qFormat/>
    <w:rsid w:val="000B3548"/>
    <w:pPr>
      <w:keepNext/>
      <w:keepLines/>
      <w:numPr>
        <w:ilvl w:val="3"/>
        <w:numId w:val="4"/>
      </w:numPr>
      <w:spacing w:before="120" w:line="240" w:lineRule="auto"/>
      <w:jc w:val="left"/>
      <w:outlineLvl w:val="3"/>
    </w:pPr>
    <w:rPr>
      <w:rFonts w:ascii="Times New Roman" w:eastAsiaTheme="majorEastAsia" w:hAnsi="Times New Roman" w:cs="Times New Roman"/>
      <w:b/>
      <w:bCs/>
      <w:i/>
      <w:iCs/>
      <w:color w:val="2E74B5" w:themeColor="accent1" w:themeShade="BF"/>
      <w:lang w:eastAsia="bg-BG"/>
    </w:rPr>
  </w:style>
  <w:style w:type="paragraph" w:styleId="Heading5">
    <w:name w:val="heading 5"/>
    <w:basedOn w:val="Normal"/>
    <w:next w:val="Normal"/>
    <w:link w:val="Heading5Char"/>
    <w:unhideWhenUsed/>
    <w:qFormat/>
    <w:rsid w:val="0077157F"/>
    <w:pPr>
      <w:keepNext/>
      <w:keepLines/>
      <w:numPr>
        <w:ilvl w:val="4"/>
        <w:numId w:val="4"/>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0B3548"/>
    <w:pPr>
      <w:keepNext/>
      <w:keepLines/>
      <w:numPr>
        <w:ilvl w:val="5"/>
        <w:numId w:val="4"/>
      </w:numPr>
      <w:tabs>
        <w:tab w:val="clear" w:pos="1844"/>
        <w:tab w:val="num" w:pos="567"/>
      </w:tabs>
      <w:spacing w:before="120" w:line="240" w:lineRule="auto"/>
      <w:ind w:left="567"/>
      <w:outlineLvl w:val="5"/>
    </w:pPr>
    <w:rPr>
      <w:rFonts w:ascii="Times New Roman" w:eastAsiaTheme="majorEastAsia" w:hAnsi="Times New Roman" w:cs="Times New Roman"/>
      <w:b/>
      <w:bCs/>
      <w:color w:val="1F4D78" w:themeColor="accent1" w:themeShade="7F"/>
      <w:lang w:eastAsia="bg-BG"/>
    </w:rPr>
  </w:style>
  <w:style w:type="paragraph" w:styleId="Heading7">
    <w:name w:val="heading 7"/>
    <w:basedOn w:val="Normal"/>
    <w:next w:val="Normal"/>
    <w:link w:val="Heading7Char"/>
    <w:unhideWhenUsed/>
    <w:qFormat/>
    <w:rsid w:val="00293BAE"/>
    <w:pPr>
      <w:keepNext/>
      <w:keepLines/>
      <w:numPr>
        <w:ilvl w:val="6"/>
        <w:numId w:val="4"/>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293BAE"/>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0B3548"/>
    <w:pPr>
      <w:keepNext/>
      <w:keepLines/>
      <w:numPr>
        <w:ilvl w:val="8"/>
        <w:numId w:val="4"/>
      </w:numPr>
      <w:spacing w:before="120" w:line="240" w:lineRule="auto"/>
      <w:ind w:left="0"/>
      <w:outlineLvl w:val="8"/>
    </w:pPr>
    <w:rPr>
      <w:rFonts w:ascii="Times New Roman" w:eastAsiaTheme="majorEastAsia" w:hAnsi="Times New Roman" w:cs="Times New Roman"/>
      <w:i/>
      <w:iCs/>
      <w:color w:val="272727" w:themeColor="text1" w:themeTint="D8"/>
      <w:sz w:val="21"/>
      <w:szCs w:val="21"/>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306E"/>
    <w:rPr>
      <w:rFonts w:ascii="Times New Roman" w:hAnsi="Times New Roman" w:cs="Times New Roman"/>
      <w:b/>
      <w:smallCaps/>
      <w:color w:val="2E74B5" w:themeColor="accent1" w:themeShade="BF"/>
      <w:sz w:val="28"/>
      <w:szCs w:val="28"/>
      <w:shd w:val="clear" w:color="auto" w:fill="D9D9D9" w:themeFill="background1" w:themeFillShade="D9"/>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style>
  <w:style w:type="character" w:customStyle="1" w:styleId="Heading2Char">
    <w:name w:val="Heading 2 Char"/>
    <w:basedOn w:val="DefaultParagraphFont"/>
    <w:link w:val="Heading2"/>
    <w:uiPriority w:val="9"/>
    <w:rsid w:val="00AA7B9E"/>
    <w:rPr>
      <w:rFonts w:ascii="Cambria" w:eastAsiaTheme="majorEastAsia" w:hAnsi="Cambria" w:cstheme="majorBidi"/>
      <w:b/>
      <w:smallCaps/>
      <w:color w:val="2E74B5"/>
      <w:sz w:val="24"/>
      <w:szCs w:val="24"/>
    </w:rPr>
  </w:style>
  <w:style w:type="character" w:customStyle="1" w:styleId="Heading3Char">
    <w:name w:val="Heading 3 Char"/>
    <w:basedOn w:val="DefaultParagraphFont"/>
    <w:link w:val="Heading3"/>
    <w:uiPriority w:val="9"/>
    <w:rsid w:val="00AA7B9E"/>
    <w:rPr>
      <w:rFonts w:ascii="Cambria" w:eastAsia="Times New Roman" w:hAnsi="Cambria" w:cstheme="majorBidi"/>
      <w:b/>
      <w:color w:val="1F4D78" w:themeColor="accent1" w:themeShade="7F"/>
      <w:sz w:val="24"/>
      <w:szCs w:val="24"/>
    </w:rPr>
  </w:style>
  <w:style w:type="character" w:customStyle="1" w:styleId="Heading4Char">
    <w:name w:val="Heading 4 Char"/>
    <w:basedOn w:val="DefaultParagraphFont"/>
    <w:link w:val="Heading4"/>
    <w:uiPriority w:val="9"/>
    <w:rsid w:val="000B3548"/>
    <w:rPr>
      <w:rFonts w:ascii="Times New Roman" w:eastAsiaTheme="majorEastAsia" w:hAnsi="Times New Roman" w:cs="Times New Roman"/>
      <w:b/>
      <w:bCs/>
      <w:i/>
      <w:iCs/>
      <w:color w:val="2E74B5" w:themeColor="accent1" w:themeShade="BF"/>
      <w:lang w:eastAsia="bg-BG"/>
    </w:rPr>
  </w:style>
  <w:style w:type="character" w:customStyle="1" w:styleId="Heading5Char">
    <w:name w:val="Heading 5 Char"/>
    <w:basedOn w:val="DefaultParagraphFont"/>
    <w:link w:val="Heading5"/>
    <w:rsid w:val="0077157F"/>
    <w:rPr>
      <w:rFonts w:asciiTheme="majorHAnsi" w:eastAsiaTheme="majorEastAsia" w:hAnsiTheme="majorHAnsi" w:cstheme="majorBidi"/>
      <w:color w:val="2E74B5" w:themeColor="accent1" w:themeShade="BF"/>
    </w:rPr>
  </w:style>
  <w:style w:type="paragraph" w:styleId="ListParagraph">
    <w:name w:val="List Paragraph"/>
    <w:aliases w:val="List1,List Paragraph1,ПАРАГРАФ,Numbered list,List Paragraph11,List Paragraph111,Lettre d'introduction,1st level - Bullet List Paragraph,Table of contents numbered,Bullet Points,Liste Paragraf,Llista Nivell1,Lista de nivel 1,En tête 1"/>
    <w:basedOn w:val="List3"/>
    <w:link w:val="ListParagraphChar"/>
    <w:uiPriority w:val="34"/>
    <w:qFormat/>
    <w:rsid w:val="0029444A"/>
    <w:pPr>
      <w:numPr>
        <w:numId w:val="0"/>
      </w:numPr>
      <w:spacing w:before="120"/>
      <w:contextualSpacing w:val="0"/>
    </w:pPr>
  </w:style>
  <w:style w:type="paragraph" w:styleId="Title">
    <w:name w:val="Title"/>
    <w:basedOn w:val="Normal"/>
    <w:next w:val="Normal"/>
    <w:link w:val="TitleChar"/>
    <w:uiPriority w:val="10"/>
    <w:qFormat/>
    <w:rsid w:val="005B678D"/>
    <w:pPr>
      <w:spacing w:after="0" w:line="240" w:lineRule="auto"/>
      <w:contextualSpacing/>
      <w:jc w:val="center"/>
    </w:pPr>
    <w:rPr>
      <w:rFonts w:asciiTheme="majorHAnsi" w:eastAsiaTheme="majorEastAsia" w:hAnsiTheme="majorHAnsi" w:cstheme="majorBidi"/>
      <w:b/>
      <w:spacing w:val="-10"/>
      <w:kern w:val="28"/>
      <w:sz w:val="40"/>
      <w:szCs w:val="56"/>
    </w:rPr>
  </w:style>
  <w:style w:type="character" w:customStyle="1" w:styleId="TitleChar">
    <w:name w:val="Title Char"/>
    <w:basedOn w:val="DefaultParagraphFont"/>
    <w:link w:val="Title"/>
    <w:uiPriority w:val="10"/>
    <w:rsid w:val="005B678D"/>
    <w:rPr>
      <w:rFonts w:asciiTheme="majorHAnsi" w:eastAsiaTheme="majorEastAsia" w:hAnsiTheme="majorHAnsi" w:cstheme="majorBidi"/>
      <w:b/>
      <w:spacing w:val="-10"/>
      <w:kern w:val="28"/>
      <w:sz w:val="40"/>
      <w:szCs w:val="56"/>
    </w:rPr>
  </w:style>
  <w:style w:type="table" w:styleId="TableGrid">
    <w:name w:val="Table Grid"/>
    <w:basedOn w:val="TableNormal"/>
    <w:uiPriority w:val="59"/>
    <w:rsid w:val="00F134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3">
    <w:name w:val="List 3"/>
    <w:basedOn w:val="Normal"/>
    <w:uiPriority w:val="99"/>
    <w:unhideWhenUsed/>
    <w:rsid w:val="00F91C57"/>
    <w:pPr>
      <w:numPr>
        <w:numId w:val="1"/>
      </w:numPr>
      <w:ind w:left="1134" w:hanging="567"/>
      <w:contextualSpacing/>
    </w:pPr>
  </w:style>
  <w:style w:type="paragraph" w:styleId="List">
    <w:name w:val="List"/>
    <w:basedOn w:val="Normal"/>
    <w:unhideWhenUsed/>
    <w:rsid w:val="00F91C57"/>
    <w:pPr>
      <w:numPr>
        <w:numId w:val="6"/>
      </w:numPr>
      <w:spacing w:before="120" w:line="240" w:lineRule="auto"/>
      <w:ind w:left="567" w:hanging="567"/>
    </w:pPr>
  </w:style>
  <w:style w:type="paragraph" w:customStyle="1" w:styleId="5">
    <w:name w:val="Стил5"/>
    <w:basedOn w:val="Normal"/>
    <w:qFormat/>
    <w:rsid w:val="00C71999"/>
    <w:pPr>
      <w:widowControl w:val="0"/>
      <w:numPr>
        <w:numId w:val="3"/>
      </w:numPr>
      <w:spacing w:before="120" w:line="240" w:lineRule="auto"/>
      <w:ind w:left="567" w:hanging="567"/>
    </w:pPr>
    <w:rPr>
      <w:rFonts w:ascii="Garamond" w:eastAsia="Garamond" w:hAnsi="Garamond" w:cs="Garamond"/>
    </w:rPr>
  </w:style>
  <w:style w:type="character" w:styleId="Hyperlink">
    <w:name w:val="Hyperlink"/>
    <w:basedOn w:val="DefaultParagraphFont"/>
    <w:uiPriority w:val="99"/>
    <w:unhideWhenUsed/>
    <w:rsid w:val="00C71999"/>
    <w:rPr>
      <w:color w:val="0563C1" w:themeColor="hyperlink"/>
      <w:u w:val="single"/>
    </w:rPr>
  </w:style>
  <w:style w:type="table" w:customStyle="1" w:styleId="311">
    <w:name w:val="Таблица със списък 3 – акцентиране 11"/>
    <w:basedOn w:val="TableNormal"/>
    <w:uiPriority w:val="48"/>
    <w:rsid w:val="00C719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paragraph" w:styleId="Header">
    <w:name w:val="header"/>
    <w:basedOn w:val="Normal"/>
    <w:link w:val="HeaderChar"/>
    <w:uiPriority w:val="99"/>
    <w:unhideWhenUsed/>
    <w:rsid w:val="00D34D84"/>
    <w:pPr>
      <w:tabs>
        <w:tab w:val="center" w:pos="4536"/>
        <w:tab w:val="right" w:pos="9072"/>
      </w:tabs>
      <w:spacing w:after="0" w:line="240" w:lineRule="auto"/>
    </w:pPr>
  </w:style>
  <w:style w:type="character" w:customStyle="1" w:styleId="HeaderChar">
    <w:name w:val="Header Char"/>
    <w:basedOn w:val="DefaultParagraphFont"/>
    <w:link w:val="Header"/>
    <w:uiPriority w:val="99"/>
    <w:rsid w:val="00D34D84"/>
  </w:style>
  <w:style w:type="paragraph" w:styleId="Footer">
    <w:name w:val="footer"/>
    <w:basedOn w:val="Normal"/>
    <w:link w:val="FooterChar"/>
    <w:uiPriority w:val="99"/>
    <w:unhideWhenUsed/>
    <w:rsid w:val="00D34D84"/>
    <w:pPr>
      <w:tabs>
        <w:tab w:val="center" w:pos="4536"/>
        <w:tab w:val="right" w:pos="9072"/>
      </w:tabs>
      <w:spacing w:after="0" w:line="240" w:lineRule="auto"/>
    </w:pPr>
  </w:style>
  <w:style w:type="character" w:customStyle="1" w:styleId="FooterChar">
    <w:name w:val="Footer Char"/>
    <w:basedOn w:val="DefaultParagraphFont"/>
    <w:link w:val="Footer"/>
    <w:uiPriority w:val="99"/>
    <w:rsid w:val="00D34D84"/>
  </w:style>
  <w:style w:type="paragraph" w:styleId="TOCHeading">
    <w:name w:val="TOC Heading"/>
    <w:basedOn w:val="Heading1"/>
    <w:next w:val="Normal"/>
    <w:uiPriority w:val="39"/>
    <w:unhideWhenUsed/>
    <w:qFormat/>
    <w:rsid w:val="00293BAE"/>
    <w:pPr>
      <w:numPr>
        <w:numId w:val="0"/>
      </w:numPr>
      <w:outlineLvl w:val="9"/>
    </w:pPr>
    <w:rPr>
      <w:lang w:eastAsia="bg-BG"/>
    </w:rPr>
  </w:style>
  <w:style w:type="paragraph" w:styleId="TOC1">
    <w:name w:val="toc 1"/>
    <w:basedOn w:val="Normal"/>
    <w:next w:val="Normal"/>
    <w:autoRedefine/>
    <w:uiPriority w:val="39"/>
    <w:unhideWhenUsed/>
    <w:rsid w:val="000A29E9"/>
    <w:pPr>
      <w:tabs>
        <w:tab w:val="left" w:pos="567"/>
        <w:tab w:val="right" w:leader="dot" w:pos="9639"/>
      </w:tabs>
      <w:spacing w:before="120"/>
    </w:pPr>
    <w:rPr>
      <w:rFonts w:ascii="Cambria" w:hAnsi="Cambria"/>
      <w:b/>
      <w:smallCaps/>
      <w:noProof/>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style>
  <w:style w:type="paragraph" w:styleId="TOC2">
    <w:name w:val="toc 2"/>
    <w:basedOn w:val="Normal"/>
    <w:next w:val="Normal"/>
    <w:autoRedefine/>
    <w:uiPriority w:val="39"/>
    <w:unhideWhenUsed/>
    <w:rsid w:val="000A29E9"/>
    <w:pPr>
      <w:tabs>
        <w:tab w:val="left" w:pos="1134"/>
        <w:tab w:val="right" w:leader="dot" w:pos="9639"/>
      </w:tabs>
      <w:spacing w:after="100"/>
      <w:ind w:left="1134" w:hanging="567"/>
    </w:pPr>
  </w:style>
  <w:style w:type="paragraph" w:styleId="TOC3">
    <w:name w:val="toc 3"/>
    <w:basedOn w:val="Normal"/>
    <w:next w:val="Normal"/>
    <w:autoRedefine/>
    <w:uiPriority w:val="39"/>
    <w:unhideWhenUsed/>
    <w:rsid w:val="000A29E9"/>
    <w:pPr>
      <w:tabs>
        <w:tab w:val="left" w:pos="1701"/>
        <w:tab w:val="right" w:leader="dot" w:pos="9639"/>
      </w:tabs>
      <w:spacing w:after="100"/>
      <w:ind w:left="1701" w:hanging="567"/>
      <w:contextualSpacing/>
    </w:pPr>
    <w:rPr>
      <w:noProof/>
      <w:sz w:val="20"/>
    </w:rPr>
  </w:style>
  <w:style w:type="character" w:customStyle="1" w:styleId="Heading6Char">
    <w:name w:val="Heading 6 Char"/>
    <w:basedOn w:val="DefaultParagraphFont"/>
    <w:link w:val="Heading6"/>
    <w:uiPriority w:val="9"/>
    <w:rsid w:val="000B3548"/>
    <w:rPr>
      <w:rFonts w:ascii="Times New Roman" w:eastAsiaTheme="majorEastAsia" w:hAnsi="Times New Roman" w:cs="Times New Roman"/>
      <w:b/>
      <w:bCs/>
      <w:color w:val="1F4D78" w:themeColor="accent1" w:themeShade="7F"/>
      <w:lang w:eastAsia="bg-BG"/>
    </w:rPr>
  </w:style>
  <w:style w:type="character" w:customStyle="1" w:styleId="Heading7Char">
    <w:name w:val="Heading 7 Char"/>
    <w:basedOn w:val="DefaultParagraphFont"/>
    <w:link w:val="Heading7"/>
    <w:rsid w:val="00293BAE"/>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293BA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0B3548"/>
    <w:rPr>
      <w:rFonts w:ascii="Times New Roman" w:eastAsiaTheme="majorEastAsia" w:hAnsi="Times New Roman" w:cs="Times New Roman"/>
      <w:i/>
      <w:iCs/>
      <w:color w:val="272727" w:themeColor="text1" w:themeTint="D8"/>
      <w:sz w:val="21"/>
      <w:szCs w:val="21"/>
      <w:lang w:eastAsia="bg-BG"/>
    </w:rPr>
  </w:style>
  <w:style w:type="paragraph" w:customStyle="1" w:styleId="tablebulet1">
    <w:name w:val="table_bulet_1"/>
    <w:basedOn w:val="ListParagraph"/>
    <w:qFormat/>
    <w:rsid w:val="00D7258A"/>
    <w:pPr>
      <w:numPr>
        <w:numId w:val="5"/>
      </w:numPr>
      <w:spacing w:before="60" w:after="60" w:line="240" w:lineRule="auto"/>
      <w:jc w:val="left"/>
    </w:pPr>
  </w:style>
  <w:style w:type="paragraph" w:customStyle="1" w:styleId="tabletexts">
    <w:name w:val="table_texts"/>
    <w:basedOn w:val="Normal"/>
    <w:autoRedefine/>
    <w:qFormat/>
    <w:rsid w:val="00DB6DDE"/>
    <w:pPr>
      <w:spacing w:before="60" w:after="60" w:line="240" w:lineRule="auto"/>
      <w:jc w:val="left"/>
    </w:pPr>
    <w:rPr>
      <w:rFonts w:asciiTheme="majorHAnsi" w:hAnsiTheme="majorHAnsi" w:cs="Times New Roman"/>
      <w:szCs w:val="20"/>
      <w:lang w:eastAsia="bg-BG"/>
    </w:rPr>
  </w:style>
  <w:style w:type="paragraph" w:customStyle="1" w:styleId="Style2">
    <w:name w:val="Style2"/>
    <w:basedOn w:val="List"/>
    <w:uiPriority w:val="99"/>
    <w:qFormat/>
    <w:rsid w:val="00082366"/>
    <w:pPr>
      <w:tabs>
        <w:tab w:val="num" w:pos="1209"/>
      </w:tabs>
      <w:ind w:left="360" w:hanging="360"/>
    </w:pPr>
    <w:rPr>
      <w:rFonts w:ascii="Times New Roman" w:eastAsia="Calibri" w:hAnsi="Times New Roman" w:cs="Times New Roman"/>
    </w:rPr>
  </w:style>
  <w:style w:type="table" w:customStyle="1" w:styleId="1">
    <w:name w:val="Мрежа в таблица1"/>
    <w:basedOn w:val="TableNormal"/>
    <w:next w:val="TableGrid"/>
    <w:uiPriority w:val="59"/>
    <w:unhideWhenUsed/>
    <w:rsid w:val="00082366"/>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2">
    <w:name w:val="List 2"/>
    <w:basedOn w:val="Normal"/>
    <w:uiPriority w:val="99"/>
    <w:semiHidden/>
    <w:unhideWhenUsed/>
    <w:rsid w:val="00C179F2"/>
    <w:pPr>
      <w:ind w:left="566" w:hanging="283"/>
      <w:contextualSpacing/>
    </w:pPr>
  </w:style>
  <w:style w:type="paragraph" w:styleId="Caption">
    <w:name w:val="caption"/>
    <w:basedOn w:val="Normal"/>
    <w:next w:val="Normal"/>
    <w:uiPriority w:val="35"/>
    <w:unhideWhenUsed/>
    <w:qFormat/>
    <w:rsid w:val="00057712"/>
    <w:pPr>
      <w:keepNext/>
      <w:spacing w:before="240" w:line="240" w:lineRule="auto"/>
    </w:pPr>
    <w:rPr>
      <w:b/>
      <w:iCs/>
      <w:color w:val="2E74B5"/>
      <w:sz w:val="20"/>
      <w:szCs w:val="18"/>
    </w:rPr>
  </w:style>
  <w:style w:type="paragraph" w:styleId="TableofFigures">
    <w:name w:val="table of figures"/>
    <w:basedOn w:val="Normal"/>
    <w:next w:val="Normal"/>
    <w:uiPriority w:val="99"/>
    <w:unhideWhenUsed/>
    <w:rsid w:val="00057712"/>
    <w:pPr>
      <w:spacing w:before="60" w:after="60" w:line="240" w:lineRule="auto"/>
    </w:pPr>
  </w:style>
  <w:style w:type="table" w:customStyle="1" w:styleId="331">
    <w:name w:val="Таблица със списък 3 – акцентиране 31"/>
    <w:basedOn w:val="TableNormal"/>
    <w:uiPriority w:val="48"/>
    <w:rsid w:val="00057712"/>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paragraph" w:styleId="BalloonText">
    <w:name w:val="Balloon Text"/>
    <w:basedOn w:val="Normal"/>
    <w:link w:val="BalloonTextChar"/>
    <w:uiPriority w:val="99"/>
    <w:semiHidden/>
    <w:unhideWhenUsed/>
    <w:rsid w:val="004019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19E1"/>
    <w:rPr>
      <w:rFonts w:ascii="Segoe UI" w:hAnsi="Segoe UI" w:cs="Segoe UI"/>
      <w:sz w:val="18"/>
      <w:szCs w:val="18"/>
    </w:rPr>
  </w:style>
  <w:style w:type="table" w:customStyle="1" w:styleId="-21">
    <w:name w:val="Светъл списък - Акцент 21"/>
    <w:basedOn w:val="TableNormal"/>
    <w:next w:val="LightList-Accent2"/>
    <w:uiPriority w:val="61"/>
    <w:rsid w:val="006E7B28"/>
    <w:pPr>
      <w:spacing w:after="0" w:line="240" w:lineRule="auto"/>
    </w:pPr>
    <w:rPr>
      <w:rFonts w:ascii="Times New Roman" w:hAnsi="Times New Roman" w:cs="Times New Roman"/>
      <w:sz w:val="20"/>
      <w:szCs w:val="2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2">
    <w:name w:val="Light List Accent 2"/>
    <w:basedOn w:val="TableNormal"/>
    <w:uiPriority w:val="61"/>
    <w:semiHidden/>
    <w:unhideWhenUsed/>
    <w:rsid w:val="006E7B28"/>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paragraph" w:styleId="FootnoteText">
    <w:name w:val="footnote text"/>
    <w:basedOn w:val="Normal"/>
    <w:link w:val="FootnoteTextChar"/>
    <w:uiPriority w:val="99"/>
    <w:unhideWhenUsed/>
    <w:qFormat/>
    <w:rsid w:val="00F91C57"/>
    <w:pPr>
      <w:spacing w:after="0" w:line="240" w:lineRule="auto"/>
      <w:jc w:val="left"/>
    </w:pPr>
    <w:rPr>
      <w:sz w:val="16"/>
      <w:szCs w:val="20"/>
    </w:rPr>
  </w:style>
  <w:style w:type="character" w:customStyle="1" w:styleId="FootnoteTextChar">
    <w:name w:val="Footnote Text Char"/>
    <w:basedOn w:val="DefaultParagraphFont"/>
    <w:link w:val="FootnoteText"/>
    <w:uiPriority w:val="99"/>
    <w:rsid w:val="00F91C57"/>
    <w:rPr>
      <w:sz w:val="16"/>
      <w:szCs w:val="20"/>
    </w:rPr>
  </w:style>
  <w:style w:type="character" w:styleId="FootnoteReference">
    <w:name w:val="footnote reference"/>
    <w:aliases w:val="Footnote symbol,Appel note de bas de p,SUPERS,Nota,(NECG) Footnote Reference,Voetnootverwijzing,Footnote Reference Superscript,BVI fnr,Lábjegyzet-hivatkozás,L?bjegyzet-hivatkoz?s,Char1 Char Char Char Char,ftref,Fussnot"/>
    <w:basedOn w:val="DefaultParagraphFont"/>
    <w:link w:val="CharCharCharCharCarChar"/>
    <w:uiPriority w:val="99"/>
    <w:unhideWhenUsed/>
    <w:rsid w:val="008C5197"/>
    <w:rPr>
      <w:vertAlign w:val="superscript"/>
    </w:rPr>
  </w:style>
  <w:style w:type="table" w:customStyle="1" w:styleId="321">
    <w:name w:val="Таблица със списък 3 – акцентиране 21"/>
    <w:basedOn w:val="TableNormal"/>
    <w:uiPriority w:val="48"/>
    <w:rsid w:val="00811E8B"/>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customStyle="1" w:styleId="2">
    <w:name w:val="Мрежа в таблица2"/>
    <w:basedOn w:val="TableNormal"/>
    <w:next w:val="TableGrid"/>
    <w:uiPriority w:val="39"/>
    <w:rsid w:val="00796905"/>
    <w:pPr>
      <w:spacing w:after="0" w:line="240" w:lineRule="auto"/>
    </w:pPr>
    <w:rPr>
      <w:rFonts w:eastAsia="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Мрежа в таблица3"/>
    <w:basedOn w:val="TableNormal"/>
    <w:next w:val="TableGrid"/>
    <w:uiPriority w:val="59"/>
    <w:rsid w:val="005450ED"/>
    <w:pPr>
      <w:spacing w:before="120" w:after="120" w:line="240" w:lineRule="auto"/>
    </w:pPr>
    <w:rPr>
      <w:rFonts w:ascii="Times New Roman" w:eastAsia="Calibri" w:hAnsi="Times New Roman" w:cs="Times New Roman"/>
      <w:sz w:val="20"/>
      <w:szCs w:val="20"/>
      <w:lang w:eastAsia="bg-BG"/>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Мрежа в таблица4"/>
    <w:basedOn w:val="TableNormal"/>
    <w:next w:val="TableGrid"/>
    <w:uiPriority w:val="59"/>
    <w:rsid w:val="005450ED"/>
    <w:pPr>
      <w:spacing w:before="120" w:after="120" w:line="240" w:lineRule="auto"/>
    </w:pPr>
    <w:rPr>
      <w:rFonts w:ascii="Times New Roman" w:eastAsia="Calibri" w:hAnsi="Times New Roman" w:cs="Times New Roman"/>
      <w:sz w:val="20"/>
      <w:szCs w:val="20"/>
      <w:lang w:eastAsia="bg-BG"/>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Мрежа в таблица5"/>
    <w:basedOn w:val="TableNormal"/>
    <w:next w:val="TableGrid"/>
    <w:uiPriority w:val="59"/>
    <w:rsid w:val="005450ED"/>
    <w:pPr>
      <w:spacing w:before="120" w:after="120" w:line="240" w:lineRule="auto"/>
    </w:pPr>
    <w:rPr>
      <w:rFonts w:ascii="Times New Roman" w:eastAsia="Calibri" w:hAnsi="Times New Roman" w:cs="Times New Roman"/>
      <w:sz w:val="20"/>
      <w:szCs w:val="20"/>
      <w:lang w:eastAsia="bg-BG"/>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Мрежа в таблица6"/>
    <w:basedOn w:val="TableNormal"/>
    <w:next w:val="TableGrid"/>
    <w:uiPriority w:val="59"/>
    <w:rsid w:val="005450ED"/>
    <w:pPr>
      <w:spacing w:before="120" w:after="120" w:line="240" w:lineRule="auto"/>
    </w:pPr>
    <w:rPr>
      <w:rFonts w:ascii="Times New Roman" w:eastAsia="Calibri" w:hAnsi="Times New Roman" w:cs="Times New Roman"/>
      <w:sz w:val="20"/>
      <w:szCs w:val="20"/>
      <w:lang w:eastAsia="bg-BG"/>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Мрежа в таблица7"/>
    <w:basedOn w:val="TableNormal"/>
    <w:next w:val="TableGrid"/>
    <w:uiPriority w:val="59"/>
    <w:rsid w:val="005450ED"/>
    <w:pPr>
      <w:spacing w:before="120" w:after="120" w:line="240" w:lineRule="auto"/>
    </w:pPr>
    <w:rPr>
      <w:rFonts w:ascii="Times New Roman" w:eastAsia="Calibri" w:hAnsi="Times New Roman" w:cs="Times New Roman"/>
      <w:sz w:val="20"/>
      <w:szCs w:val="20"/>
      <w:lang w:eastAsia="bg-BG"/>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1 Char,List Paragraph1 Char,ПАРАГРАФ Char,Numbered list Char,List Paragraph11 Char,List Paragraph111 Char,Lettre d'introduction Char,1st level - Bullet List Paragraph Char,Table of contents numbered Char,Bullet Points Char"/>
    <w:link w:val="ListParagraph"/>
    <w:uiPriority w:val="34"/>
    <w:locked/>
    <w:rsid w:val="0029444A"/>
  </w:style>
  <w:style w:type="character" w:styleId="CommentReference">
    <w:name w:val="annotation reference"/>
    <w:basedOn w:val="DefaultParagraphFont"/>
    <w:uiPriority w:val="99"/>
    <w:semiHidden/>
    <w:unhideWhenUsed/>
    <w:rsid w:val="00057169"/>
    <w:rPr>
      <w:sz w:val="16"/>
      <w:szCs w:val="16"/>
    </w:rPr>
  </w:style>
  <w:style w:type="paragraph" w:styleId="CommentText">
    <w:name w:val="annotation text"/>
    <w:basedOn w:val="Normal"/>
    <w:link w:val="CommentTextChar"/>
    <w:uiPriority w:val="99"/>
    <w:unhideWhenUsed/>
    <w:rsid w:val="00057169"/>
    <w:pPr>
      <w:spacing w:line="240" w:lineRule="auto"/>
    </w:pPr>
    <w:rPr>
      <w:sz w:val="20"/>
      <w:szCs w:val="20"/>
    </w:rPr>
  </w:style>
  <w:style w:type="character" w:customStyle="1" w:styleId="CommentTextChar">
    <w:name w:val="Comment Text Char"/>
    <w:basedOn w:val="DefaultParagraphFont"/>
    <w:link w:val="CommentText"/>
    <w:uiPriority w:val="99"/>
    <w:rsid w:val="00057169"/>
    <w:rPr>
      <w:sz w:val="20"/>
      <w:szCs w:val="20"/>
    </w:rPr>
  </w:style>
  <w:style w:type="paragraph" w:styleId="CommentSubject">
    <w:name w:val="annotation subject"/>
    <w:basedOn w:val="CommentText"/>
    <w:next w:val="CommentText"/>
    <w:link w:val="CommentSubjectChar"/>
    <w:uiPriority w:val="99"/>
    <w:semiHidden/>
    <w:unhideWhenUsed/>
    <w:rsid w:val="00057169"/>
    <w:rPr>
      <w:b/>
      <w:bCs/>
    </w:rPr>
  </w:style>
  <w:style w:type="character" w:customStyle="1" w:styleId="CommentSubjectChar">
    <w:name w:val="Comment Subject Char"/>
    <w:basedOn w:val="CommentTextChar"/>
    <w:link w:val="CommentSubject"/>
    <w:uiPriority w:val="99"/>
    <w:semiHidden/>
    <w:rsid w:val="00057169"/>
    <w:rPr>
      <w:b/>
      <w:bCs/>
      <w:sz w:val="20"/>
      <w:szCs w:val="20"/>
    </w:rPr>
  </w:style>
  <w:style w:type="paragraph" w:styleId="List4">
    <w:name w:val="List 4"/>
    <w:basedOn w:val="Normal"/>
    <w:uiPriority w:val="99"/>
    <w:unhideWhenUsed/>
    <w:rsid w:val="00F91782"/>
    <w:pPr>
      <w:spacing w:after="0" w:line="240" w:lineRule="auto"/>
      <w:contextualSpacing/>
      <w:jc w:val="left"/>
    </w:pPr>
    <w:rPr>
      <w:rFonts w:ascii="Verdana" w:eastAsia="Calibri" w:hAnsi="Verdana" w:cs="Times New Roman"/>
      <w:sz w:val="20"/>
      <w:szCs w:val="20"/>
    </w:rPr>
  </w:style>
  <w:style w:type="paragraph" w:customStyle="1" w:styleId="Default">
    <w:name w:val="Default"/>
    <w:rsid w:val="009B317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text">
    <w:name w:val="table_text"/>
    <w:basedOn w:val="Normal"/>
    <w:uiPriority w:val="99"/>
    <w:qFormat/>
    <w:rsid w:val="00AE32E2"/>
    <w:pPr>
      <w:suppressAutoHyphens/>
      <w:spacing w:before="120" w:line="280" w:lineRule="atLeast"/>
      <w:jc w:val="left"/>
    </w:pPr>
    <w:rPr>
      <w:rFonts w:ascii="Times New Roman" w:eastAsia="Calibri" w:hAnsi="Times New Roman" w:cs="Times New Roman"/>
    </w:rPr>
  </w:style>
  <w:style w:type="table" w:customStyle="1" w:styleId="10">
    <w:name w:val="Стил1"/>
    <w:basedOn w:val="TableNormal"/>
    <w:uiPriority w:val="99"/>
    <w:rsid w:val="00AE32E2"/>
    <w:pPr>
      <w:spacing w:after="0" w:line="240" w:lineRule="auto"/>
    </w:pPr>
    <w:rPr>
      <w:rFonts w:ascii="Times New Roman" w:eastAsia="Times New Roman" w:hAnsi="Times New Roman" w:cs="Times New Roman"/>
      <w:sz w:val="20"/>
      <w:szCs w:val="20"/>
      <w:lang w:eastAsia="bg-BG"/>
    </w:rPr>
    <w:tblPr>
      <w:tblStyleRowBandSize w:val="1"/>
      <w:tblBorders>
        <w:top w:val="single" w:sz="4" w:space="0" w:color="44546A" w:themeColor="text2"/>
        <w:left w:val="single" w:sz="4" w:space="0" w:color="44546A" w:themeColor="text2"/>
        <w:bottom w:val="single" w:sz="4" w:space="0" w:color="44546A" w:themeColor="text2"/>
        <w:right w:val="single" w:sz="4" w:space="0" w:color="44546A" w:themeColor="text2"/>
        <w:insideH w:val="single" w:sz="4" w:space="0" w:color="44546A" w:themeColor="text2"/>
        <w:insideV w:val="single" w:sz="4" w:space="0" w:color="44546A" w:themeColor="text2"/>
      </w:tblBorders>
    </w:tblPr>
    <w:tcPr>
      <w:shd w:val="clear" w:color="auto" w:fill="auto"/>
    </w:tcPr>
    <w:tblStylePr w:type="firstRow">
      <w:pPr>
        <w:wordWrap/>
        <w:spacing w:beforeLines="0" w:before="60" w:beforeAutospacing="0" w:afterLines="0" w:after="60" w:afterAutospacing="0" w:line="240" w:lineRule="auto"/>
      </w:pPr>
      <w:rPr>
        <w:b/>
        <w:color w:val="FFFFFF" w:themeColor="background1"/>
        <w:sz w:val="20"/>
      </w:rPr>
      <w:tblPr/>
      <w:trPr>
        <w:cantSplit/>
        <w:tblHeader/>
      </w:trPr>
      <w:tcPr>
        <w:shd w:val="clear" w:color="auto" w:fill="5B9BD5" w:themeFill="accent1"/>
      </w:tcPr>
    </w:tblStylePr>
    <w:tblStylePr w:type="lastRow">
      <w:pPr>
        <w:wordWrap/>
        <w:spacing w:beforeLines="0" w:before="120" w:beforeAutospacing="0" w:afterLines="0" w:after="120" w:afterAutospacing="0" w:line="240" w:lineRule="auto"/>
      </w:pPr>
      <w:rPr>
        <w:b/>
      </w:rPr>
      <w:tblPr/>
      <w:tcPr>
        <w:tcBorders>
          <w:top w:val="double" w:sz="4" w:space="0" w:color="44546A" w:themeColor="text2"/>
        </w:tcBorders>
        <w:shd w:val="clear" w:color="auto" w:fill="DEEAF6" w:themeFill="accent1" w:themeFillTint="33"/>
      </w:tcPr>
    </w:tblStylePr>
  </w:style>
  <w:style w:type="paragraph" w:customStyle="1" w:styleId="bulettable">
    <w:name w:val="bulet_table"/>
    <w:basedOn w:val="Normal"/>
    <w:qFormat/>
    <w:rsid w:val="00466D95"/>
    <w:pPr>
      <w:numPr>
        <w:numId w:val="7"/>
      </w:numPr>
      <w:autoSpaceDE w:val="0"/>
      <w:autoSpaceDN w:val="0"/>
      <w:adjustRightInd w:val="0"/>
      <w:spacing w:before="40" w:after="40" w:line="240" w:lineRule="auto"/>
      <w:jc w:val="left"/>
    </w:pPr>
    <w:rPr>
      <w:rFonts w:asciiTheme="majorHAnsi" w:eastAsia="Calibri" w:hAnsiTheme="majorHAnsi" w:cstheme="majorHAnsi"/>
      <w:sz w:val="20"/>
    </w:rPr>
  </w:style>
  <w:style w:type="table" w:customStyle="1" w:styleId="TableGrid3">
    <w:name w:val="Table Grid3"/>
    <w:basedOn w:val="TableNormal"/>
    <w:next w:val="TableGrid"/>
    <w:uiPriority w:val="59"/>
    <w:rsid w:val="00ED41C9"/>
    <w:pPr>
      <w:spacing w:after="0" w:line="240" w:lineRule="auto"/>
    </w:pPr>
    <w:rPr>
      <w:rFonts w:asciiTheme="minorHAnsi" w:hAnsiTheme="minorHAnsi"/>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converted-space">
    <w:name w:val="apple-converted-space"/>
    <w:basedOn w:val="DefaultParagraphFont"/>
    <w:rsid w:val="001836EF"/>
  </w:style>
  <w:style w:type="character" w:styleId="Emphasis">
    <w:name w:val="Emphasis"/>
    <w:basedOn w:val="DefaultParagraphFont"/>
    <w:uiPriority w:val="20"/>
    <w:qFormat/>
    <w:rsid w:val="001836EF"/>
    <w:rPr>
      <w:i/>
      <w:iCs/>
    </w:rPr>
  </w:style>
  <w:style w:type="paragraph" w:styleId="NoSpacing">
    <w:name w:val="No Spacing"/>
    <w:link w:val="NoSpacingChar"/>
    <w:uiPriority w:val="1"/>
    <w:qFormat/>
    <w:rsid w:val="009F3FC1"/>
    <w:pPr>
      <w:bidi/>
      <w:spacing w:after="0" w:line="240" w:lineRule="auto"/>
    </w:pPr>
    <w:rPr>
      <w:rFonts w:asciiTheme="minorHAnsi" w:eastAsiaTheme="minorEastAsia" w:hAnsiTheme="minorHAnsi"/>
      <w:lang w:val="en-US"/>
    </w:rPr>
  </w:style>
  <w:style w:type="character" w:customStyle="1" w:styleId="NoSpacingChar">
    <w:name w:val="No Spacing Char"/>
    <w:basedOn w:val="DefaultParagraphFont"/>
    <w:link w:val="NoSpacing"/>
    <w:uiPriority w:val="1"/>
    <w:rsid w:val="009F3FC1"/>
    <w:rPr>
      <w:rFonts w:asciiTheme="minorHAnsi" w:eastAsiaTheme="minorEastAsia" w:hAnsiTheme="minorHAnsi"/>
      <w:lang w:val="en-US"/>
    </w:rPr>
  </w:style>
  <w:style w:type="table" w:customStyle="1" w:styleId="11">
    <w:name w:val="Стил11"/>
    <w:basedOn w:val="TableNormal"/>
    <w:uiPriority w:val="99"/>
    <w:rsid w:val="005633D8"/>
    <w:pPr>
      <w:spacing w:after="0" w:line="240" w:lineRule="auto"/>
    </w:pPr>
    <w:rPr>
      <w:rFonts w:ascii="Times New Roman" w:eastAsia="Times New Roman" w:hAnsi="Times New Roman" w:cs="Times New Roman"/>
      <w:sz w:val="20"/>
      <w:szCs w:val="20"/>
      <w:lang w:eastAsia="bg-BG"/>
    </w:rPr>
    <w:tblPr>
      <w:tblStyleRowBandSize w:val="1"/>
      <w:tblBorders>
        <w:top w:val="single" w:sz="4" w:space="0" w:color="44546A"/>
        <w:left w:val="single" w:sz="4" w:space="0" w:color="44546A"/>
        <w:bottom w:val="single" w:sz="4" w:space="0" w:color="44546A"/>
        <w:right w:val="single" w:sz="4" w:space="0" w:color="44546A"/>
        <w:insideH w:val="single" w:sz="4" w:space="0" w:color="44546A"/>
        <w:insideV w:val="single" w:sz="4" w:space="0" w:color="44546A"/>
      </w:tblBorders>
    </w:tblPr>
    <w:tcPr>
      <w:shd w:val="clear" w:color="auto" w:fill="auto"/>
    </w:tcPr>
    <w:tblStylePr w:type="firstRow">
      <w:pPr>
        <w:wordWrap/>
        <w:spacing w:beforeLines="0" w:before="60" w:beforeAutospacing="0" w:afterLines="0" w:after="60" w:afterAutospacing="0" w:line="240" w:lineRule="auto"/>
      </w:pPr>
      <w:rPr>
        <w:b/>
        <w:color w:val="FFFFFF"/>
        <w:sz w:val="20"/>
      </w:rPr>
      <w:tblPr/>
      <w:trPr>
        <w:cantSplit/>
        <w:tblHeader/>
      </w:trPr>
      <w:tcPr>
        <w:shd w:val="clear" w:color="auto" w:fill="5B9BD5"/>
      </w:tcPr>
    </w:tblStylePr>
    <w:tblStylePr w:type="lastRow">
      <w:pPr>
        <w:wordWrap/>
        <w:spacing w:beforeLines="0" w:before="120" w:beforeAutospacing="0" w:afterLines="0" w:after="120" w:afterAutospacing="0" w:line="240" w:lineRule="auto"/>
      </w:pPr>
      <w:rPr>
        <w:b/>
      </w:rPr>
      <w:tblPr/>
      <w:tcPr>
        <w:tcBorders>
          <w:top w:val="double" w:sz="4" w:space="0" w:color="44546A"/>
        </w:tcBorders>
        <w:shd w:val="clear" w:color="auto" w:fill="DEEAF6"/>
      </w:tcPr>
    </w:tblStylePr>
  </w:style>
  <w:style w:type="table" w:customStyle="1" w:styleId="LightGrid-Accent11">
    <w:name w:val="Light Grid - Accent 11"/>
    <w:basedOn w:val="TableNormal"/>
    <w:next w:val="LightGrid-Accent1"/>
    <w:uiPriority w:val="62"/>
    <w:rsid w:val="00391406"/>
    <w:pPr>
      <w:spacing w:after="0" w:line="240" w:lineRule="auto"/>
    </w:pPr>
    <w:rPr>
      <w:rFonts w:ascii="Calibri" w:eastAsia="Times New Roman" w:hAnsi="Calibri"/>
    </w:rPr>
    <w:tblPr>
      <w:tblStyleRowBandSize w:val="1"/>
      <w:tblStyleColBandSize w:val="1"/>
      <w:tblBorders>
        <w:top w:val="single" w:sz="8" w:space="0" w:color="548DD4"/>
        <w:left w:val="single" w:sz="8" w:space="0" w:color="548DD4"/>
        <w:bottom w:val="single" w:sz="8" w:space="0" w:color="548DD4"/>
        <w:right w:val="single" w:sz="8" w:space="0" w:color="548DD4"/>
        <w:insideH w:val="single" w:sz="8" w:space="0" w:color="548DD4"/>
        <w:insideV w:val="single" w:sz="8" w:space="0" w:color="548DD4"/>
      </w:tblBorders>
    </w:tblPr>
    <w:tblStylePr w:type="firstRow">
      <w:pPr>
        <w:spacing w:before="0" w:after="0" w:line="240" w:lineRule="auto"/>
      </w:pPr>
      <w:rPr>
        <w:rFonts w:ascii="Cambria" w:eastAsia="Times New Roman" w:hAnsi="Cambria" w:cs="Times New Roman"/>
        <w:b/>
        <w:bCs/>
      </w:rPr>
      <w:tblPr/>
      <w:tcPr>
        <w:tcBorders>
          <w:top w:val="single" w:sz="8" w:space="0" w:color="548DD4"/>
          <w:left w:val="single" w:sz="8" w:space="0" w:color="548DD4"/>
          <w:bottom w:val="single" w:sz="18" w:space="0" w:color="548DD4"/>
          <w:right w:val="single" w:sz="8" w:space="0" w:color="548DD4"/>
          <w:insideH w:val="nil"/>
          <w:insideV w:val="single" w:sz="8" w:space="0" w:color="548DD4"/>
        </w:tcBorders>
      </w:tcPr>
    </w:tblStylePr>
    <w:tblStylePr w:type="lastRow">
      <w:pPr>
        <w:spacing w:before="0" w:after="0" w:line="240" w:lineRule="auto"/>
      </w:pPr>
      <w:rPr>
        <w:rFonts w:ascii="Cambria" w:eastAsia="Times New Roman" w:hAnsi="Cambria" w:cs="Times New Roman"/>
        <w:b/>
        <w:bCs/>
      </w:rPr>
      <w:tblPr/>
      <w:tcPr>
        <w:tcBorders>
          <w:top w:val="double" w:sz="6" w:space="0" w:color="548DD4"/>
          <w:left w:val="single" w:sz="8" w:space="0" w:color="548DD4"/>
          <w:bottom w:val="single" w:sz="8" w:space="0" w:color="548DD4"/>
          <w:right w:val="single" w:sz="8" w:space="0" w:color="548DD4"/>
          <w:insideH w:val="nil"/>
          <w:insideV w:val="single" w:sz="8" w:space="0" w:color="548DD4"/>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548DD4"/>
          <w:left w:val="single" w:sz="8" w:space="0" w:color="548DD4"/>
          <w:bottom w:val="single" w:sz="8" w:space="0" w:color="548DD4"/>
          <w:right w:val="single" w:sz="8" w:space="0" w:color="548DD4"/>
        </w:tcBorders>
      </w:tcPr>
    </w:tblStylePr>
    <w:tblStylePr w:type="band1Vert">
      <w:tblPr/>
      <w:tcPr>
        <w:tcBorders>
          <w:top w:val="single" w:sz="8" w:space="0" w:color="548DD4"/>
          <w:left w:val="single" w:sz="8" w:space="0" w:color="548DD4"/>
          <w:bottom w:val="single" w:sz="8" w:space="0" w:color="548DD4"/>
          <w:right w:val="single" w:sz="8" w:space="0" w:color="548DD4"/>
        </w:tcBorders>
        <w:shd w:val="clear" w:color="auto" w:fill="D4E2F4"/>
      </w:tcPr>
    </w:tblStylePr>
    <w:tblStylePr w:type="band1Horz">
      <w:tblPr/>
      <w:tcPr>
        <w:tcBorders>
          <w:top w:val="single" w:sz="8" w:space="0" w:color="548DD4"/>
          <w:left w:val="single" w:sz="8" w:space="0" w:color="548DD4"/>
          <w:bottom w:val="single" w:sz="8" w:space="0" w:color="548DD4"/>
          <w:right w:val="single" w:sz="8" w:space="0" w:color="548DD4"/>
          <w:insideV w:val="single" w:sz="8" w:space="0" w:color="548DD4"/>
        </w:tcBorders>
        <w:shd w:val="clear" w:color="auto" w:fill="D4E2F4"/>
      </w:tcPr>
    </w:tblStylePr>
    <w:tblStylePr w:type="band2Horz">
      <w:tblPr/>
      <w:tcPr>
        <w:tcBorders>
          <w:top w:val="single" w:sz="8" w:space="0" w:color="548DD4"/>
          <w:left w:val="single" w:sz="8" w:space="0" w:color="548DD4"/>
          <w:bottom w:val="single" w:sz="8" w:space="0" w:color="548DD4"/>
          <w:right w:val="single" w:sz="8" w:space="0" w:color="548DD4"/>
          <w:insideV w:val="single" w:sz="8" w:space="0" w:color="548DD4"/>
        </w:tcBorders>
      </w:tcPr>
    </w:tblStylePr>
  </w:style>
  <w:style w:type="table" w:styleId="LightGrid-Accent1">
    <w:name w:val="Light Grid Accent 1"/>
    <w:basedOn w:val="TableNormal"/>
    <w:uiPriority w:val="62"/>
    <w:rsid w:val="00391406"/>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styleId="NormalWeb">
    <w:name w:val="Normal (Web)"/>
    <w:basedOn w:val="Normal"/>
    <w:uiPriority w:val="99"/>
    <w:rsid w:val="002C7EF1"/>
    <w:pPr>
      <w:tabs>
        <w:tab w:val="left" w:pos="567"/>
      </w:tabs>
      <w:spacing w:before="120" w:after="200" w:line="240" w:lineRule="auto"/>
    </w:pPr>
    <w:rPr>
      <w:rFonts w:ascii="Times New Roman" w:eastAsia="Calibri" w:hAnsi="Times New Roman" w:cs="Times New Roman"/>
    </w:rPr>
  </w:style>
  <w:style w:type="paragraph" w:customStyle="1" w:styleId="Style3">
    <w:name w:val="Style3"/>
    <w:basedOn w:val="Normal"/>
    <w:uiPriority w:val="99"/>
    <w:rsid w:val="002C7EF1"/>
    <w:pPr>
      <w:spacing w:before="120" w:after="200" w:line="240" w:lineRule="auto"/>
      <w:ind w:left="502" w:hanging="360"/>
    </w:pPr>
    <w:rPr>
      <w:rFonts w:ascii="Times New Roman" w:eastAsia="Times New Roman" w:hAnsi="Times New Roman" w:cs="Times New Roman"/>
    </w:rPr>
  </w:style>
  <w:style w:type="table" w:customStyle="1" w:styleId="111">
    <w:name w:val="Таблица с мрежа 1 светла – акцентиране 11"/>
    <w:basedOn w:val="TableNormal"/>
    <w:uiPriority w:val="46"/>
    <w:rsid w:val="00173E6F"/>
    <w:pPr>
      <w:spacing w:after="0" w:line="240" w:lineRule="auto"/>
    </w:pPr>
    <w:rPr>
      <w:rFonts w:asciiTheme="minorHAnsi" w:hAnsiTheme="minorHAnsi"/>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customStyle="1" w:styleId="TableStyle">
    <w:name w:val="Table Style"/>
    <w:basedOn w:val="Normal"/>
    <w:link w:val="TableStyleChar"/>
    <w:rsid w:val="00052735"/>
    <w:pPr>
      <w:spacing w:line="240" w:lineRule="auto"/>
      <w:jc w:val="left"/>
    </w:pPr>
  </w:style>
  <w:style w:type="character" w:customStyle="1" w:styleId="TableStyleChar">
    <w:name w:val="Table Style Char"/>
    <w:basedOn w:val="DefaultParagraphFont"/>
    <w:link w:val="TableStyle"/>
    <w:rsid w:val="00052735"/>
  </w:style>
  <w:style w:type="table" w:customStyle="1" w:styleId="MediumGrid3-Accent11">
    <w:name w:val="Medium Grid 3 - Accent 11"/>
    <w:basedOn w:val="TableNormal"/>
    <w:next w:val="MediumGrid3-Accent1"/>
    <w:uiPriority w:val="69"/>
    <w:rsid w:val="00F05693"/>
    <w:pPr>
      <w:spacing w:after="0" w:line="240" w:lineRule="auto"/>
    </w:pPr>
    <w:rPr>
      <w:rFonts w:ascii="Times New Roman" w:hAnsi="Times New Roman"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1">
    <w:name w:val="Medium Grid 3 Accent 1"/>
    <w:basedOn w:val="TableNormal"/>
    <w:uiPriority w:val="69"/>
    <w:rsid w:val="00F0569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paragraph" w:customStyle="1" w:styleId="ListContents">
    <w:name w:val="List Contents"/>
    <w:basedOn w:val="Normal"/>
    <w:next w:val="Normal"/>
    <w:rsid w:val="00E50A88"/>
    <w:pPr>
      <w:widowControl w:val="0"/>
      <w:numPr>
        <w:numId w:val="2"/>
      </w:numPr>
      <w:suppressAutoHyphens/>
      <w:spacing w:after="113" w:line="240" w:lineRule="auto"/>
      <w:jc w:val="left"/>
    </w:pPr>
    <w:rPr>
      <w:rFonts w:eastAsia="WenQuanYi Micro Hei" w:cs="FreeSans"/>
      <w:kern w:val="22"/>
      <w:lang w:eastAsia="zh-CN" w:bidi="hi-IN"/>
    </w:rPr>
  </w:style>
  <w:style w:type="paragraph" w:styleId="BodyText">
    <w:name w:val="Body Text"/>
    <w:basedOn w:val="Normal"/>
    <w:link w:val="BodyTextChar"/>
    <w:rsid w:val="00117038"/>
    <w:pPr>
      <w:widowControl w:val="0"/>
      <w:suppressAutoHyphens/>
      <w:spacing w:line="240" w:lineRule="auto"/>
      <w:jc w:val="left"/>
    </w:pPr>
    <w:rPr>
      <w:rFonts w:ascii="Calibri" w:eastAsia="WenQuanYi Micro Hei" w:hAnsi="Calibri" w:cs="FreeSans"/>
      <w:kern w:val="1"/>
      <w:lang w:eastAsia="zh-CN" w:bidi="hi-IN"/>
    </w:rPr>
  </w:style>
  <w:style w:type="character" w:customStyle="1" w:styleId="BodyTextChar">
    <w:name w:val="Body Text Char"/>
    <w:basedOn w:val="DefaultParagraphFont"/>
    <w:link w:val="BodyText"/>
    <w:rsid w:val="00117038"/>
    <w:rPr>
      <w:rFonts w:ascii="Calibri" w:eastAsia="WenQuanYi Micro Hei" w:hAnsi="Calibri" w:cs="FreeSans"/>
      <w:kern w:val="1"/>
      <w:sz w:val="24"/>
      <w:szCs w:val="24"/>
      <w:lang w:eastAsia="zh-CN" w:bidi="hi-IN"/>
    </w:rPr>
  </w:style>
  <w:style w:type="paragraph" w:customStyle="1" w:styleId="Normal1">
    <w:name w:val="Normal 1"/>
    <w:basedOn w:val="Normal"/>
    <w:rsid w:val="00EE398E"/>
    <w:pPr>
      <w:numPr>
        <w:numId w:val="8"/>
      </w:numPr>
      <w:spacing w:before="60" w:after="60" w:line="360" w:lineRule="auto"/>
    </w:pPr>
    <w:rPr>
      <w:rFonts w:ascii="Arial" w:eastAsia="Times New Roman" w:hAnsi="Arial" w:cs="Arial"/>
    </w:rPr>
  </w:style>
  <w:style w:type="paragraph" w:customStyle="1" w:styleId="Style1">
    <w:name w:val="Style1"/>
    <w:basedOn w:val="Normal"/>
    <w:qFormat/>
    <w:rsid w:val="00590430"/>
    <w:pPr>
      <w:spacing w:before="120" w:line="240" w:lineRule="auto"/>
      <w:ind w:firstLine="1134"/>
    </w:pPr>
    <w:rPr>
      <w:rFonts w:ascii="Calibri" w:eastAsia="Times New Roman" w:hAnsi="Calibri" w:cs="Calibri"/>
    </w:rPr>
  </w:style>
  <w:style w:type="paragraph" w:customStyle="1" w:styleId="tablebulet2">
    <w:name w:val="table_bulet_2"/>
    <w:basedOn w:val="tabletext"/>
    <w:uiPriority w:val="99"/>
    <w:qFormat/>
    <w:rsid w:val="00206C2A"/>
    <w:pPr>
      <w:numPr>
        <w:numId w:val="9"/>
      </w:numPr>
      <w:contextualSpacing/>
    </w:pPr>
  </w:style>
  <w:style w:type="table" w:customStyle="1" w:styleId="110">
    <w:name w:val="Мрежа в таблица11"/>
    <w:basedOn w:val="TableNormal"/>
    <w:next w:val="TableGrid"/>
    <w:uiPriority w:val="59"/>
    <w:unhideWhenUsed/>
    <w:rsid w:val="0077564A"/>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Таблица със списък 3 – акцентиране 111"/>
    <w:basedOn w:val="TableNormal"/>
    <w:uiPriority w:val="48"/>
    <w:rsid w:val="00773974"/>
    <w:pPr>
      <w:spacing w:after="0" w:line="240" w:lineRule="auto"/>
    </w:p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customStyle="1" w:styleId="LightGrid-Accent111">
    <w:name w:val="Light Grid - Accent 111"/>
    <w:basedOn w:val="TableNormal"/>
    <w:next w:val="LightGrid-Accent1"/>
    <w:uiPriority w:val="62"/>
    <w:rsid w:val="00773974"/>
    <w:pPr>
      <w:spacing w:after="0" w:line="240" w:lineRule="auto"/>
    </w:pPr>
    <w:rPr>
      <w:rFonts w:ascii="Calibri" w:eastAsia="Times New Roman" w:hAnsi="Calibri"/>
    </w:rPr>
    <w:tblPr>
      <w:tblStyleRowBandSize w:val="1"/>
      <w:tblStyleColBandSize w:val="1"/>
      <w:tblBorders>
        <w:top w:val="single" w:sz="8" w:space="0" w:color="548DD4"/>
        <w:left w:val="single" w:sz="8" w:space="0" w:color="548DD4"/>
        <w:bottom w:val="single" w:sz="8" w:space="0" w:color="548DD4"/>
        <w:right w:val="single" w:sz="8" w:space="0" w:color="548DD4"/>
        <w:insideH w:val="single" w:sz="8" w:space="0" w:color="548DD4"/>
        <w:insideV w:val="single" w:sz="8" w:space="0" w:color="548DD4"/>
      </w:tblBorders>
    </w:tblPr>
    <w:tblStylePr w:type="firstRow">
      <w:pPr>
        <w:spacing w:before="0" w:after="0" w:line="240" w:lineRule="auto"/>
      </w:pPr>
      <w:rPr>
        <w:rFonts w:ascii="Cambria" w:eastAsia="Times New Roman" w:hAnsi="Cambria" w:cs="Times New Roman"/>
        <w:b/>
        <w:bCs/>
      </w:rPr>
      <w:tblPr/>
      <w:tcPr>
        <w:tcBorders>
          <w:top w:val="single" w:sz="8" w:space="0" w:color="548DD4"/>
          <w:left w:val="single" w:sz="8" w:space="0" w:color="548DD4"/>
          <w:bottom w:val="single" w:sz="18" w:space="0" w:color="548DD4"/>
          <w:right w:val="single" w:sz="8" w:space="0" w:color="548DD4"/>
          <w:insideH w:val="nil"/>
          <w:insideV w:val="single" w:sz="8" w:space="0" w:color="548DD4"/>
        </w:tcBorders>
      </w:tcPr>
    </w:tblStylePr>
    <w:tblStylePr w:type="lastRow">
      <w:pPr>
        <w:spacing w:before="0" w:after="0" w:line="240" w:lineRule="auto"/>
      </w:pPr>
      <w:rPr>
        <w:rFonts w:ascii="Cambria" w:eastAsia="Times New Roman" w:hAnsi="Cambria" w:cs="Times New Roman"/>
        <w:b/>
        <w:bCs/>
      </w:rPr>
      <w:tblPr/>
      <w:tcPr>
        <w:tcBorders>
          <w:top w:val="double" w:sz="6" w:space="0" w:color="548DD4"/>
          <w:left w:val="single" w:sz="8" w:space="0" w:color="548DD4"/>
          <w:bottom w:val="single" w:sz="8" w:space="0" w:color="548DD4"/>
          <w:right w:val="single" w:sz="8" w:space="0" w:color="548DD4"/>
          <w:insideH w:val="nil"/>
          <w:insideV w:val="single" w:sz="8" w:space="0" w:color="548DD4"/>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548DD4"/>
          <w:left w:val="single" w:sz="8" w:space="0" w:color="548DD4"/>
          <w:bottom w:val="single" w:sz="8" w:space="0" w:color="548DD4"/>
          <w:right w:val="single" w:sz="8" w:space="0" w:color="548DD4"/>
        </w:tcBorders>
      </w:tcPr>
    </w:tblStylePr>
    <w:tblStylePr w:type="band1Vert">
      <w:tblPr/>
      <w:tcPr>
        <w:tcBorders>
          <w:top w:val="single" w:sz="8" w:space="0" w:color="548DD4"/>
          <w:left w:val="single" w:sz="8" w:space="0" w:color="548DD4"/>
          <w:bottom w:val="single" w:sz="8" w:space="0" w:color="548DD4"/>
          <w:right w:val="single" w:sz="8" w:space="0" w:color="548DD4"/>
        </w:tcBorders>
        <w:shd w:val="clear" w:color="auto" w:fill="D4E2F4"/>
      </w:tcPr>
    </w:tblStylePr>
    <w:tblStylePr w:type="band1Horz">
      <w:tblPr/>
      <w:tcPr>
        <w:tcBorders>
          <w:top w:val="single" w:sz="8" w:space="0" w:color="548DD4"/>
          <w:left w:val="single" w:sz="8" w:space="0" w:color="548DD4"/>
          <w:bottom w:val="single" w:sz="8" w:space="0" w:color="548DD4"/>
          <w:right w:val="single" w:sz="8" w:space="0" w:color="548DD4"/>
          <w:insideV w:val="single" w:sz="8" w:space="0" w:color="548DD4"/>
        </w:tcBorders>
        <w:shd w:val="clear" w:color="auto" w:fill="D4E2F4"/>
      </w:tcPr>
    </w:tblStylePr>
    <w:tblStylePr w:type="band2Horz">
      <w:tblPr/>
      <w:tcPr>
        <w:tcBorders>
          <w:top w:val="single" w:sz="8" w:space="0" w:color="548DD4"/>
          <w:left w:val="single" w:sz="8" w:space="0" w:color="548DD4"/>
          <w:bottom w:val="single" w:sz="8" w:space="0" w:color="548DD4"/>
          <w:right w:val="single" w:sz="8" w:space="0" w:color="548DD4"/>
          <w:insideV w:val="single" w:sz="8" w:space="0" w:color="548DD4"/>
        </w:tcBorders>
      </w:tcPr>
    </w:tblStylePr>
  </w:style>
  <w:style w:type="table" w:customStyle="1" w:styleId="TableGrid2">
    <w:name w:val="Table Grid2"/>
    <w:basedOn w:val="TableNormal"/>
    <w:next w:val="TableGrid"/>
    <w:uiPriority w:val="59"/>
    <w:rsid w:val="009775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
    <w:name w:val="Grid Table 1 Light Accent 11"/>
    <w:basedOn w:val="TableNormal"/>
    <w:uiPriority w:val="46"/>
    <w:rsid w:val="009775E4"/>
    <w:pPr>
      <w:spacing w:after="0" w:line="240" w:lineRule="auto"/>
    </w:pPr>
    <w:rPr>
      <w:rFonts w:ascii="Calibri" w:hAnsi="Calibri"/>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styleId="Subtitle">
    <w:name w:val="Subtitle"/>
    <w:basedOn w:val="Normal"/>
    <w:next w:val="Normal"/>
    <w:link w:val="SubtitleChar"/>
    <w:uiPriority w:val="11"/>
    <w:qFormat/>
    <w:rsid w:val="00EC1EE9"/>
    <w:pPr>
      <w:numPr>
        <w:ilvl w:val="1"/>
      </w:numPr>
      <w:ind w:firstLine="567"/>
    </w:pPr>
    <w:rPr>
      <w:rFonts w:asciiTheme="majorHAnsi" w:eastAsiaTheme="majorEastAsia" w:hAnsiTheme="majorHAnsi" w:cstheme="majorBidi"/>
      <w:i/>
      <w:iCs/>
      <w:color w:val="5B9BD5" w:themeColor="accent1"/>
      <w:spacing w:val="15"/>
    </w:rPr>
  </w:style>
  <w:style w:type="character" w:customStyle="1" w:styleId="SubtitleChar">
    <w:name w:val="Subtitle Char"/>
    <w:basedOn w:val="DefaultParagraphFont"/>
    <w:link w:val="Subtitle"/>
    <w:uiPriority w:val="11"/>
    <w:rsid w:val="00EC1EE9"/>
    <w:rPr>
      <w:rFonts w:asciiTheme="majorHAnsi" w:eastAsiaTheme="majorEastAsia" w:hAnsiTheme="majorHAnsi" w:cstheme="majorBidi"/>
      <w:i/>
      <w:iCs/>
      <w:color w:val="5B9BD5" w:themeColor="accent1"/>
      <w:spacing w:val="15"/>
      <w:sz w:val="24"/>
      <w:szCs w:val="24"/>
    </w:rPr>
  </w:style>
  <w:style w:type="paragraph" w:customStyle="1" w:styleId="a">
    <w:name w:val="такст_таблица"/>
    <w:basedOn w:val="Normal"/>
    <w:qFormat/>
    <w:rsid w:val="006573DB"/>
    <w:pPr>
      <w:tabs>
        <w:tab w:val="left" w:pos="567"/>
      </w:tabs>
      <w:spacing w:before="120" w:line="240" w:lineRule="auto"/>
      <w:jc w:val="left"/>
    </w:pPr>
    <w:rPr>
      <w:rFonts w:ascii="Times New Roman" w:eastAsia="Times New Roman" w:hAnsi="Times New Roman" w:cs="Times New Roman"/>
      <w:lang w:eastAsia="bg-BG"/>
    </w:rPr>
  </w:style>
  <w:style w:type="paragraph" w:customStyle="1" w:styleId="m">
    <w:name w:val="m"/>
    <w:basedOn w:val="Normal"/>
    <w:rsid w:val="0056649A"/>
    <w:pPr>
      <w:spacing w:after="0" w:line="240" w:lineRule="auto"/>
      <w:ind w:firstLine="990"/>
    </w:pPr>
    <w:rPr>
      <w:rFonts w:ascii="Times New Roman" w:eastAsia="Times New Roman" w:hAnsi="Times New Roman" w:cs="Times New Roman"/>
      <w:color w:val="000000"/>
      <w:lang w:eastAsia="bg-BG"/>
    </w:rPr>
  </w:style>
  <w:style w:type="paragraph" w:styleId="EndnoteText">
    <w:name w:val="endnote text"/>
    <w:basedOn w:val="Normal"/>
    <w:link w:val="EndnoteTextChar"/>
    <w:uiPriority w:val="99"/>
    <w:semiHidden/>
    <w:unhideWhenUsed/>
    <w:rsid w:val="00297CD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97CD8"/>
    <w:rPr>
      <w:sz w:val="20"/>
      <w:szCs w:val="20"/>
    </w:rPr>
  </w:style>
  <w:style w:type="character" w:styleId="EndnoteReference">
    <w:name w:val="endnote reference"/>
    <w:basedOn w:val="DefaultParagraphFont"/>
    <w:uiPriority w:val="99"/>
    <w:semiHidden/>
    <w:unhideWhenUsed/>
    <w:rsid w:val="00297CD8"/>
    <w:rPr>
      <w:vertAlign w:val="superscript"/>
    </w:rPr>
  </w:style>
  <w:style w:type="paragraph" w:customStyle="1" w:styleId="CharChar">
    <w:name w:val="Знак Знак Char Char"/>
    <w:basedOn w:val="Normal"/>
    <w:semiHidden/>
    <w:rsid w:val="00737DF9"/>
    <w:pPr>
      <w:tabs>
        <w:tab w:val="left" w:pos="709"/>
      </w:tabs>
      <w:spacing w:after="0" w:line="240" w:lineRule="auto"/>
      <w:jc w:val="left"/>
    </w:pPr>
    <w:rPr>
      <w:rFonts w:ascii="Futura Bk" w:eastAsia="Times New Roman" w:hAnsi="Futura Bk" w:cs="Times New Roman"/>
      <w:noProof/>
      <w:sz w:val="20"/>
      <w:lang w:val="pl-PL" w:eastAsia="pl-PL"/>
    </w:rPr>
  </w:style>
  <w:style w:type="paragraph" w:styleId="ListBullet">
    <w:name w:val="List Bullet"/>
    <w:basedOn w:val="Normal"/>
    <w:rsid w:val="008844F2"/>
    <w:pPr>
      <w:numPr>
        <w:numId w:val="10"/>
      </w:numPr>
      <w:shd w:val="clear" w:color="auto" w:fill="FFFFFF"/>
      <w:spacing w:after="240" w:line="240" w:lineRule="auto"/>
    </w:pPr>
    <w:rPr>
      <w:rFonts w:ascii="Arial" w:eastAsia="Times New Roman" w:hAnsi="Arial" w:cs="Arial"/>
      <w:szCs w:val="20"/>
      <w:lang w:val="en-GB"/>
    </w:rPr>
  </w:style>
  <w:style w:type="paragraph" w:customStyle="1" w:styleId="NEEEEETs">
    <w:name w:val="NEEEEETs"/>
    <w:basedOn w:val="Normal"/>
    <w:qFormat/>
    <w:rsid w:val="00B02343"/>
    <w:pPr>
      <w:tabs>
        <w:tab w:val="left" w:pos="7088"/>
      </w:tabs>
      <w:spacing w:before="120" w:line="276" w:lineRule="auto"/>
      <w:ind w:firstLine="360"/>
    </w:pPr>
    <w:rPr>
      <w:rFonts w:ascii="Cambria" w:eastAsia="Times New Roman" w:hAnsi="Cambria" w:cs="Times New Roman"/>
    </w:rPr>
  </w:style>
  <w:style w:type="paragraph" w:customStyle="1" w:styleId="normaltableau">
    <w:name w:val="normal_tableau"/>
    <w:basedOn w:val="Normal"/>
    <w:rsid w:val="003840B7"/>
    <w:pPr>
      <w:suppressAutoHyphens/>
      <w:spacing w:before="120" w:line="240" w:lineRule="auto"/>
    </w:pPr>
    <w:rPr>
      <w:rFonts w:ascii="Optima" w:eastAsia="Times New Roman" w:hAnsi="Optima" w:cs="Times New Roman"/>
      <w:szCs w:val="20"/>
      <w:lang w:val="en-GB" w:eastAsia="ar-SA"/>
    </w:rPr>
  </w:style>
  <w:style w:type="paragraph" w:customStyle="1" w:styleId="CVNormal">
    <w:name w:val="CV Normal"/>
    <w:basedOn w:val="Normal"/>
    <w:rsid w:val="003840B7"/>
    <w:pPr>
      <w:suppressAutoHyphens/>
      <w:spacing w:after="0" w:line="240" w:lineRule="auto"/>
      <w:ind w:left="113" w:right="113"/>
      <w:jc w:val="left"/>
    </w:pPr>
    <w:rPr>
      <w:rFonts w:ascii="Arial Narrow" w:eastAsia="Times New Roman" w:hAnsi="Arial Narrow" w:cs="Times New Roman"/>
      <w:sz w:val="20"/>
      <w:szCs w:val="20"/>
      <w:lang w:eastAsia="ar-SA"/>
    </w:rPr>
  </w:style>
  <w:style w:type="paragraph" w:customStyle="1" w:styleId="CVNormal-FirstLine">
    <w:name w:val="CV Normal - First Line"/>
    <w:basedOn w:val="CVNormal"/>
    <w:next w:val="CVNormal"/>
    <w:rsid w:val="003840B7"/>
    <w:pPr>
      <w:spacing w:before="74"/>
    </w:pPr>
  </w:style>
  <w:style w:type="paragraph" w:customStyle="1" w:styleId="ECVDate">
    <w:name w:val="_ECV_Date"/>
    <w:basedOn w:val="Normal"/>
    <w:rsid w:val="003840B7"/>
    <w:pPr>
      <w:widowControl w:val="0"/>
      <w:suppressLineNumbers/>
      <w:suppressAutoHyphens/>
      <w:spacing w:before="28" w:after="0" w:line="100" w:lineRule="atLeast"/>
      <w:ind w:right="283"/>
      <w:jc w:val="right"/>
    </w:pPr>
    <w:rPr>
      <w:rFonts w:ascii="Arial" w:eastAsia="SimSun" w:hAnsi="Arial" w:cs="Mangal"/>
      <w:color w:val="0E4194"/>
      <w:spacing w:val="-6"/>
      <w:kern w:val="2"/>
      <w:sz w:val="18"/>
      <w:lang w:eastAsia="hi-IN" w:bidi="hi-IN"/>
    </w:rPr>
  </w:style>
  <w:style w:type="paragraph" w:customStyle="1" w:styleId="ECVSectionDetails">
    <w:name w:val="_ECV_SectionDetails"/>
    <w:basedOn w:val="Normal"/>
    <w:rsid w:val="003840B7"/>
    <w:pPr>
      <w:widowControl w:val="0"/>
      <w:suppressLineNumbers/>
      <w:suppressAutoHyphens/>
      <w:autoSpaceDE w:val="0"/>
      <w:spacing w:before="28" w:after="0" w:line="100" w:lineRule="atLeast"/>
      <w:jc w:val="left"/>
    </w:pPr>
    <w:rPr>
      <w:rFonts w:ascii="Arial" w:eastAsia="SimSun" w:hAnsi="Arial" w:cs="Mangal"/>
      <w:color w:val="3F3A38"/>
      <w:spacing w:val="-6"/>
      <w:kern w:val="2"/>
      <w:sz w:val="18"/>
      <w:lang w:eastAsia="hi-IN" w:bidi="hi-IN"/>
    </w:rPr>
  </w:style>
  <w:style w:type="paragraph" w:customStyle="1" w:styleId="ECVSectionBullet">
    <w:name w:val="_ECV_SectionBullet"/>
    <w:basedOn w:val="Normal"/>
    <w:rsid w:val="003840B7"/>
    <w:pPr>
      <w:widowControl w:val="0"/>
      <w:suppressLineNumbers/>
      <w:suppressAutoHyphens/>
      <w:autoSpaceDE w:val="0"/>
      <w:spacing w:after="0" w:line="100" w:lineRule="atLeast"/>
      <w:jc w:val="left"/>
    </w:pPr>
    <w:rPr>
      <w:rFonts w:ascii="Arial" w:eastAsia="SimSun" w:hAnsi="Arial" w:cs="Mangal"/>
      <w:color w:val="3F3A38"/>
      <w:spacing w:val="-6"/>
      <w:kern w:val="2"/>
      <w:sz w:val="18"/>
      <w:lang w:eastAsia="hi-IN" w:bidi="hi-IN"/>
    </w:rPr>
  </w:style>
  <w:style w:type="character" w:customStyle="1" w:styleId="12">
    <w:name w:val="Неразрешено споменаване1"/>
    <w:basedOn w:val="DefaultParagraphFont"/>
    <w:uiPriority w:val="99"/>
    <w:semiHidden/>
    <w:unhideWhenUsed/>
    <w:rsid w:val="0050080F"/>
    <w:rPr>
      <w:color w:val="605E5C"/>
      <w:shd w:val="clear" w:color="auto" w:fill="E1DFDD"/>
    </w:rPr>
  </w:style>
  <w:style w:type="paragraph" w:customStyle="1" w:styleId="CharCharCharCharCarChar">
    <w:name w:val="Char Char Char Char Car Char"/>
    <w:aliases w:val="Char Char,Char Char Char Char Car Char Char1,Char Char Char1,16 Point Char1,Superscript 6 Point Char1,ftref Char1,Char Char Char1 Char Char Char"/>
    <w:basedOn w:val="Normal"/>
    <w:next w:val="Normal"/>
    <w:link w:val="FootnoteReference"/>
    <w:rsid w:val="001C15EF"/>
    <w:pPr>
      <w:spacing w:after="0" w:line="240" w:lineRule="exact"/>
      <w:jc w:val="left"/>
    </w:pPr>
    <w:rPr>
      <w:vertAlign w:val="superscript"/>
    </w:rPr>
  </w:style>
  <w:style w:type="character" w:styleId="FollowedHyperlink">
    <w:name w:val="FollowedHyperlink"/>
    <w:basedOn w:val="DefaultParagraphFont"/>
    <w:uiPriority w:val="99"/>
    <w:semiHidden/>
    <w:unhideWhenUsed/>
    <w:rsid w:val="004B32B0"/>
    <w:rPr>
      <w:color w:val="954F72" w:themeColor="followedHyperlink"/>
      <w:u w:val="single"/>
    </w:rPr>
  </w:style>
  <w:style w:type="table" w:customStyle="1" w:styleId="361">
    <w:name w:val="Таблица със списък 3 – акцентиране 61"/>
    <w:basedOn w:val="TableNormal"/>
    <w:uiPriority w:val="48"/>
    <w:rsid w:val="005A71E7"/>
    <w:pPr>
      <w:spacing w:after="0" w:line="240" w:lineRule="auto"/>
    </w:pPr>
    <w:rPr>
      <w:rFonts w:ascii="Calibri" w:eastAsia="Calibri" w:hAnsi="Calibri" w:cs="Times New Roman"/>
    </w:rPr>
    <w:tblPr>
      <w:tblStyleRowBandSize w:val="1"/>
      <w:tblStyleColBandSize w:val="1"/>
      <w:tblBorders>
        <w:top w:val="single" w:sz="4" w:space="0" w:color="70AD47"/>
        <w:left w:val="single" w:sz="4" w:space="0" w:color="70AD47"/>
        <w:bottom w:val="single" w:sz="4" w:space="0" w:color="70AD47"/>
        <w:right w:val="single" w:sz="4" w:space="0" w:color="70AD47"/>
      </w:tblBorders>
    </w:tblPr>
    <w:tblStylePr w:type="firstRow">
      <w:rPr>
        <w:b/>
        <w:bCs/>
        <w:color w:val="FFFFFF"/>
      </w:rPr>
      <w:tblPr/>
      <w:tcPr>
        <w:shd w:val="clear" w:color="auto" w:fill="70AD47"/>
      </w:tcPr>
    </w:tblStylePr>
    <w:tblStylePr w:type="lastRow">
      <w:rPr>
        <w:b/>
        <w:bCs/>
      </w:rPr>
      <w:tblPr/>
      <w:tcPr>
        <w:tcBorders>
          <w:top w:val="double" w:sz="4" w:space="0" w:color="70AD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table" w:customStyle="1" w:styleId="TableGrid1">
    <w:name w:val="Table Grid1"/>
    <w:basedOn w:val="TableNormal"/>
    <w:next w:val="TableGrid"/>
    <w:uiPriority w:val="59"/>
    <w:rsid w:val="006F35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2">
    <w:name w:val="List Bullet 2"/>
    <w:basedOn w:val="Normal"/>
    <w:uiPriority w:val="99"/>
    <w:semiHidden/>
    <w:unhideWhenUsed/>
    <w:rsid w:val="008630A1"/>
    <w:pPr>
      <w:numPr>
        <w:numId w:val="11"/>
      </w:numPr>
      <w:contextualSpacing/>
    </w:pPr>
  </w:style>
  <w:style w:type="paragraph" w:styleId="PlainText">
    <w:name w:val="Plain Text"/>
    <w:basedOn w:val="Normal"/>
    <w:link w:val="PlainTextChar"/>
    <w:uiPriority w:val="99"/>
    <w:semiHidden/>
    <w:unhideWhenUsed/>
    <w:rsid w:val="00C933A4"/>
    <w:pPr>
      <w:spacing w:after="0" w:line="240" w:lineRule="auto"/>
      <w:jc w:val="left"/>
    </w:pPr>
    <w:rPr>
      <w:rFonts w:ascii="Calibri" w:hAnsi="Calibri"/>
      <w:kern w:val="2"/>
      <w:szCs w:val="21"/>
      <w:lang w:val="en-US"/>
      <w14:ligatures w14:val="standardContextual"/>
    </w:rPr>
  </w:style>
  <w:style w:type="character" w:customStyle="1" w:styleId="PlainTextChar">
    <w:name w:val="Plain Text Char"/>
    <w:basedOn w:val="DefaultParagraphFont"/>
    <w:link w:val="PlainText"/>
    <w:uiPriority w:val="99"/>
    <w:semiHidden/>
    <w:rsid w:val="00C933A4"/>
    <w:rPr>
      <w:rFonts w:ascii="Calibri" w:hAnsi="Calibri"/>
      <w:kern w:val="2"/>
      <w:szCs w:val="21"/>
      <w:lang w:val="en-US"/>
      <w14:ligatures w14:val="standardContextual"/>
    </w:rPr>
  </w:style>
  <w:style w:type="character" w:customStyle="1" w:styleId="20">
    <w:name w:val="Неразрешено споменаване2"/>
    <w:basedOn w:val="DefaultParagraphFont"/>
    <w:uiPriority w:val="99"/>
    <w:semiHidden/>
    <w:unhideWhenUsed/>
    <w:rsid w:val="00C933A4"/>
    <w:rPr>
      <w:color w:val="605E5C"/>
      <w:shd w:val="clear" w:color="auto" w:fill="E1DFDD"/>
    </w:rPr>
  </w:style>
  <w:style w:type="character" w:styleId="Strong">
    <w:name w:val="Strong"/>
    <w:basedOn w:val="DefaultParagraphFont"/>
    <w:uiPriority w:val="22"/>
    <w:qFormat/>
    <w:rsid w:val="00F41160"/>
    <w:rPr>
      <w:b/>
      <w:bCs/>
    </w:rPr>
  </w:style>
  <w:style w:type="paragraph" w:customStyle="1" w:styleId="List1">
    <w:name w:val="List 1"/>
    <w:basedOn w:val="Normal"/>
    <w:link w:val="List1Char"/>
    <w:qFormat/>
    <w:rsid w:val="00125CC9"/>
    <w:pPr>
      <w:numPr>
        <w:numId w:val="12"/>
      </w:numPr>
      <w:spacing w:before="120" w:line="276" w:lineRule="auto"/>
      <w:jc w:val="left"/>
    </w:pPr>
    <w:rPr>
      <w:rFonts w:ascii="Calibri" w:eastAsia="WenQuanYi Micro Hei" w:hAnsi="Calibri" w:cs="Calibri"/>
      <w:kern w:val="1"/>
      <w:lang w:eastAsia="zh-CN" w:bidi="hi-IN"/>
    </w:rPr>
  </w:style>
  <w:style w:type="character" w:customStyle="1" w:styleId="List1Char">
    <w:name w:val="List 1 Char"/>
    <w:basedOn w:val="DefaultParagraphFont"/>
    <w:link w:val="List1"/>
    <w:rsid w:val="00125CC9"/>
    <w:rPr>
      <w:rFonts w:ascii="Calibri" w:eastAsia="WenQuanYi Micro Hei" w:hAnsi="Calibri" w:cs="Calibri"/>
      <w:kern w:val="1"/>
      <w:sz w:val="24"/>
      <w:szCs w:val="24"/>
      <w:lang w:eastAsia="zh-CN" w:bidi="hi-IN"/>
    </w:rPr>
  </w:style>
  <w:style w:type="table" w:customStyle="1" w:styleId="120">
    <w:name w:val="Мрежа в таблица12"/>
    <w:basedOn w:val="TableNormal"/>
    <w:next w:val="TableGrid"/>
    <w:uiPriority w:val="59"/>
    <w:unhideWhenUsed/>
    <w:rsid w:val="00BE31C2"/>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F8578D"/>
    <w:rPr>
      <w:color w:val="605E5C"/>
      <w:shd w:val="clear" w:color="auto" w:fill="E1DFDD"/>
    </w:rPr>
  </w:style>
  <w:style w:type="table" w:customStyle="1" w:styleId="351">
    <w:name w:val="Таблица със списък 3 – акцентиране 51"/>
    <w:basedOn w:val="TableNormal"/>
    <w:uiPriority w:val="48"/>
    <w:rsid w:val="003F70D7"/>
    <w:pPr>
      <w:autoSpaceDN w:val="0"/>
      <w:spacing w:after="0" w:line="240" w:lineRule="auto"/>
      <w:textAlignment w:val="baseline"/>
    </w:pPr>
    <w:rPr>
      <w:rFonts w:ascii="Calibri" w:eastAsia="Calibri" w:hAnsi="Calibri" w:cs="Times New Roman"/>
      <w:lang w:val="en-US"/>
    </w:r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styleId="Revision">
    <w:name w:val="Revision"/>
    <w:hidden/>
    <w:uiPriority w:val="99"/>
    <w:semiHidden/>
    <w:rsid w:val="009825B4"/>
    <w:pPr>
      <w:spacing w:after="0" w:line="240" w:lineRule="auto"/>
    </w:pPr>
  </w:style>
  <w:style w:type="paragraph" w:customStyle="1" w:styleId="text">
    <w:name w:val="text"/>
    <w:basedOn w:val="Normal"/>
    <w:qFormat/>
    <w:rsid w:val="007A6A6E"/>
    <w:pPr>
      <w:suppressAutoHyphens/>
      <w:spacing w:before="120" w:line="276" w:lineRule="auto"/>
    </w:pPr>
    <w:rPr>
      <w:rFonts w:ascii="Times New Roman" w:eastAsia="Calibri" w:hAnsi="Times New Roman" w:cs="Times New Roman"/>
      <w:lang w:eastAsia="ar-SA"/>
    </w:rPr>
  </w:style>
  <w:style w:type="character" w:styleId="IntenseReference">
    <w:name w:val="Intense Reference"/>
    <w:basedOn w:val="DefaultParagraphFont"/>
    <w:uiPriority w:val="32"/>
    <w:qFormat/>
    <w:rsid w:val="003A0DAB"/>
    <w:rPr>
      <w:b/>
      <w:bCs/>
      <w:smallCaps/>
      <w:color w:val="5B9BD5" w:themeColor="accent1"/>
      <w:spacing w:val="5"/>
    </w:rPr>
  </w:style>
  <w:style w:type="paragraph" w:customStyle="1" w:styleId="stitle-article-norm">
    <w:name w:val="stitle-article-norm"/>
    <w:basedOn w:val="Normal"/>
    <w:rsid w:val="00AC1881"/>
    <w:pPr>
      <w:spacing w:before="100" w:beforeAutospacing="1" w:after="100" w:afterAutospacing="1" w:line="240" w:lineRule="auto"/>
      <w:jc w:val="left"/>
    </w:pPr>
    <w:rPr>
      <w:rFonts w:ascii="Times New Roman" w:eastAsia="Times New Roman" w:hAnsi="Times New Roman" w:cs="Times New Roman"/>
      <w:lang w:eastAsia="bg-BG"/>
    </w:rPr>
  </w:style>
  <w:style w:type="character" w:customStyle="1" w:styleId="no-parag">
    <w:name w:val="no-parag"/>
    <w:basedOn w:val="DefaultParagraphFont"/>
    <w:rsid w:val="00AC1881"/>
  </w:style>
  <w:style w:type="paragraph" w:customStyle="1" w:styleId="norm">
    <w:name w:val="norm"/>
    <w:basedOn w:val="Normal"/>
    <w:rsid w:val="00AC1881"/>
    <w:pPr>
      <w:spacing w:before="100" w:beforeAutospacing="1" w:after="100" w:afterAutospacing="1" w:line="240" w:lineRule="auto"/>
      <w:jc w:val="left"/>
    </w:pPr>
    <w:rPr>
      <w:rFonts w:ascii="Times New Roman" w:eastAsia="Times New Roman" w:hAnsi="Times New Roman" w:cs="Times New Roman"/>
      <w:lan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Light" w:eastAsiaTheme="minorHAnsi" w:hAnsi="Calibri Light"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List" w:uiPriority="0"/>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7A34"/>
    <w:pPr>
      <w:spacing w:after="120"/>
      <w:jc w:val="both"/>
    </w:pPr>
    <w:rPr>
      <w:sz w:val="24"/>
      <w:szCs w:val="24"/>
    </w:rPr>
  </w:style>
  <w:style w:type="paragraph" w:styleId="Heading1">
    <w:name w:val="heading 1"/>
    <w:basedOn w:val="Normal"/>
    <w:next w:val="Normal"/>
    <w:link w:val="Heading1Char"/>
    <w:autoRedefine/>
    <w:uiPriority w:val="9"/>
    <w:qFormat/>
    <w:rsid w:val="0069306E"/>
    <w:pPr>
      <w:keepNext/>
      <w:keepLines/>
      <w:pageBreakBefore/>
      <w:numPr>
        <w:numId w:val="4"/>
      </w:numPr>
      <w:shd w:val="clear" w:color="auto" w:fill="D9D9D9" w:themeFill="background1" w:themeFillShade="D9"/>
      <w:spacing w:before="240" w:after="240" w:line="240" w:lineRule="auto"/>
      <w:jc w:val="left"/>
      <w:outlineLvl w:val="0"/>
    </w:pPr>
    <w:rPr>
      <w:rFonts w:ascii="Times New Roman" w:hAnsi="Times New Roman" w:cs="Times New Roman"/>
      <w:b/>
      <w:smallCaps/>
      <w:color w:val="2E74B5" w:themeColor="accent1" w:themeShade="BF"/>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style>
  <w:style w:type="paragraph" w:styleId="Heading2">
    <w:name w:val="heading 2"/>
    <w:basedOn w:val="Normal"/>
    <w:next w:val="Normal"/>
    <w:link w:val="Heading2Char"/>
    <w:uiPriority w:val="9"/>
    <w:unhideWhenUsed/>
    <w:qFormat/>
    <w:rsid w:val="00AA7B9E"/>
    <w:pPr>
      <w:keepNext/>
      <w:keepLines/>
      <w:numPr>
        <w:ilvl w:val="1"/>
        <w:numId w:val="4"/>
      </w:numPr>
      <w:spacing w:before="240"/>
      <w:jc w:val="left"/>
      <w:outlineLvl w:val="1"/>
    </w:pPr>
    <w:rPr>
      <w:rFonts w:ascii="Cambria" w:eastAsiaTheme="majorEastAsia" w:hAnsi="Cambria" w:cstheme="majorBidi"/>
      <w:b/>
      <w:smallCaps/>
      <w:color w:val="2E74B5"/>
    </w:rPr>
  </w:style>
  <w:style w:type="paragraph" w:styleId="Heading3">
    <w:name w:val="heading 3"/>
    <w:basedOn w:val="Normal"/>
    <w:next w:val="Normal"/>
    <w:link w:val="Heading3Char"/>
    <w:uiPriority w:val="9"/>
    <w:unhideWhenUsed/>
    <w:qFormat/>
    <w:rsid w:val="00AA7B9E"/>
    <w:pPr>
      <w:keepNext/>
      <w:keepLines/>
      <w:numPr>
        <w:ilvl w:val="2"/>
        <w:numId w:val="4"/>
      </w:numPr>
      <w:spacing w:before="40" w:after="0" w:line="240" w:lineRule="auto"/>
      <w:jc w:val="left"/>
      <w:outlineLvl w:val="2"/>
    </w:pPr>
    <w:rPr>
      <w:rFonts w:ascii="Cambria" w:eastAsia="Times New Roman" w:hAnsi="Cambria" w:cstheme="majorBidi"/>
      <w:b/>
      <w:color w:val="1F4D78" w:themeColor="accent1" w:themeShade="7F"/>
    </w:rPr>
  </w:style>
  <w:style w:type="paragraph" w:styleId="Heading4">
    <w:name w:val="heading 4"/>
    <w:basedOn w:val="Normal"/>
    <w:next w:val="Normal"/>
    <w:link w:val="Heading4Char"/>
    <w:uiPriority w:val="9"/>
    <w:unhideWhenUsed/>
    <w:qFormat/>
    <w:rsid w:val="000B3548"/>
    <w:pPr>
      <w:keepNext/>
      <w:keepLines/>
      <w:numPr>
        <w:ilvl w:val="3"/>
        <w:numId w:val="4"/>
      </w:numPr>
      <w:spacing w:before="120" w:line="240" w:lineRule="auto"/>
      <w:jc w:val="left"/>
      <w:outlineLvl w:val="3"/>
    </w:pPr>
    <w:rPr>
      <w:rFonts w:ascii="Times New Roman" w:eastAsiaTheme="majorEastAsia" w:hAnsi="Times New Roman" w:cs="Times New Roman"/>
      <w:b/>
      <w:bCs/>
      <w:i/>
      <w:iCs/>
      <w:color w:val="2E74B5" w:themeColor="accent1" w:themeShade="BF"/>
      <w:lang w:eastAsia="bg-BG"/>
    </w:rPr>
  </w:style>
  <w:style w:type="paragraph" w:styleId="Heading5">
    <w:name w:val="heading 5"/>
    <w:basedOn w:val="Normal"/>
    <w:next w:val="Normal"/>
    <w:link w:val="Heading5Char"/>
    <w:unhideWhenUsed/>
    <w:qFormat/>
    <w:rsid w:val="0077157F"/>
    <w:pPr>
      <w:keepNext/>
      <w:keepLines/>
      <w:numPr>
        <w:ilvl w:val="4"/>
        <w:numId w:val="4"/>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0B3548"/>
    <w:pPr>
      <w:keepNext/>
      <w:keepLines/>
      <w:numPr>
        <w:ilvl w:val="5"/>
        <w:numId w:val="4"/>
      </w:numPr>
      <w:tabs>
        <w:tab w:val="clear" w:pos="1844"/>
        <w:tab w:val="num" w:pos="567"/>
      </w:tabs>
      <w:spacing w:before="120" w:line="240" w:lineRule="auto"/>
      <w:ind w:left="567"/>
      <w:outlineLvl w:val="5"/>
    </w:pPr>
    <w:rPr>
      <w:rFonts w:ascii="Times New Roman" w:eastAsiaTheme="majorEastAsia" w:hAnsi="Times New Roman" w:cs="Times New Roman"/>
      <w:b/>
      <w:bCs/>
      <w:color w:val="1F4D78" w:themeColor="accent1" w:themeShade="7F"/>
      <w:lang w:eastAsia="bg-BG"/>
    </w:rPr>
  </w:style>
  <w:style w:type="paragraph" w:styleId="Heading7">
    <w:name w:val="heading 7"/>
    <w:basedOn w:val="Normal"/>
    <w:next w:val="Normal"/>
    <w:link w:val="Heading7Char"/>
    <w:unhideWhenUsed/>
    <w:qFormat/>
    <w:rsid w:val="00293BAE"/>
    <w:pPr>
      <w:keepNext/>
      <w:keepLines/>
      <w:numPr>
        <w:ilvl w:val="6"/>
        <w:numId w:val="4"/>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293BAE"/>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0B3548"/>
    <w:pPr>
      <w:keepNext/>
      <w:keepLines/>
      <w:numPr>
        <w:ilvl w:val="8"/>
        <w:numId w:val="4"/>
      </w:numPr>
      <w:spacing w:before="120" w:line="240" w:lineRule="auto"/>
      <w:ind w:left="0"/>
      <w:outlineLvl w:val="8"/>
    </w:pPr>
    <w:rPr>
      <w:rFonts w:ascii="Times New Roman" w:eastAsiaTheme="majorEastAsia" w:hAnsi="Times New Roman" w:cs="Times New Roman"/>
      <w:i/>
      <w:iCs/>
      <w:color w:val="272727" w:themeColor="text1" w:themeTint="D8"/>
      <w:sz w:val="21"/>
      <w:szCs w:val="21"/>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306E"/>
    <w:rPr>
      <w:rFonts w:ascii="Times New Roman" w:hAnsi="Times New Roman" w:cs="Times New Roman"/>
      <w:b/>
      <w:smallCaps/>
      <w:color w:val="2E74B5" w:themeColor="accent1" w:themeShade="BF"/>
      <w:sz w:val="28"/>
      <w:szCs w:val="28"/>
      <w:shd w:val="clear" w:color="auto" w:fill="D9D9D9" w:themeFill="background1" w:themeFillShade="D9"/>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style>
  <w:style w:type="character" w:customStyle="1" w:styleId="Heading2Char">
    <w:name w:val="Heading 2 Char"/>
    <w:basedOn w:val="DefaultParagraphFont"/>
    <w:link w:val="Heading2"/>
    <w:uiPriority w:val="9"/>
    <w:rsid w:val="00AA7B9E"/>
    <w:rPr>
      <w:rFonts w:ascii="Cambria" w:eastAsiaTheme="majorEastAsia" w:hAnsi="Cambria" w:cstheme="majorBidi"/>
      <w:b/>
      <w:smallCaps/>
      <w:color w:val="2E74B5"/>
      <w:sz w:val="24"/>
      <w:szCs w:val="24"/>
    </w:rPr>
  </w:style>
  <w:style w:type="character" w:customStyle="1" w:styleId="Heading3Char">
    <w:name w:val="Heading 3 Char"/>
    <w:basedOn w:val="DefaultParagraphFont"/>
    <w:link w:val="Heading3"/>
    <w:uiPriority w:val="9"/>
    <w:rsid w:val="00AA7B9E"/>
    <w:rPr>
      <w:rFonts w:ascii="Cambria" w:eastAsia="Times New Roman" w:hAnsi="Cambria" w:cstheme="majorBidi"/>
      <w:b/>
      <w:color w:val="1F4D78" w:themeColor="accent1" w:themeShade="7F"/>
      <w:sz w:val="24"/>
      <w:szCs w:val="24"/>
    </w:rPr>
  </w:style>
  <w:style w:type="character" w:customStyle="1" w:styleId="Heading4Char">
    <w:name w:val="Heading 4 Char"/>
    <w:basedOn w:val="DefaultParagraphFont"/>
    <w:link w:val="Heading4"/>
    <w:uiPriority w:val="9"/>
    <w:rsid w:val="000B3548"/>
    <w:rPr>
      <w:rFonts w:ascii="Times New Roman" w:eastAsiaTheme="majorEastAsia" w:hAnsi="Times New Roman" w:cs="Times New Roman"/>
      <w:b/>
      <w:bCs/>
      <w:i/>
      <w:iCs/>
      <w:color w:val="2E74B5" w:themeColor="accent1" w:themeShade="BF"/>
      <w:lang w:eastAsia="bg-BG"/>
    </w:rPr>
  </w:style>
  <w:style w:type="character" w:customStyle="1" w:styleId="Heading5Char">
    <w:name w:val="Heading 5 Char"/>
    <w:basedOn w:val="DefaultParagraphFont"/>
    <w:link w:val="Heading5"/>
    <w:rsid w:val="0077157F"/>
    <w:rPr>
      <w:rFonts w:asciiTheme="majorHAnsi" w:eastAsiaTheme="majorEastAsia" w:hAnsiTheme="majorHAnsi" w:cstheme="majorBidi"/>
      <w:color w:val="2E74B5" w:themeColor="accent1" w:themeShade="BF"/>
    </w:rPr>
  </w:style>
  <w:style w:type="paragraph" w:styleId="ListParagraph">
    <w:name w:val="List Paragraph"/>
    <w:aliases w:val="List1,List Paragraph1,ПАРАГРАФ,Numbered list,List Paragraph11,List Paragraph111,Lettre d'introduction,1st level - Bullet List Paragraph,Table of contents numbered,Bullet Points,Liste Paragraf,Llista Nivell1,Lista de nivel 1,En tête 1"/>
    <w:basedOn w:val="List3"/>
    <w:link w:val="ListParagraphChar"/>
    <w:uiPriority w:val="34"/>
    <w:qFormat/>
    <w:rsid w:val="0029444A"/>
    <w:pPr>
      <w:numPr>
        <w:numId w:val="0"/>
      </w:numPr>
      <w:spacing w:before="120"/>
      <w:contextualSpacing w:val="0"/>
    </w:pPr>
  </w:style>
  <w:style w:type="paragraph" w:styleId="Title">
    <w:name w:val="Title"/>
    <w:basedOn w:val="Normal"/>
    <w:next w:val="Normal"/>
    <w:link w:val="TitleChar"/>
    <w:uiPriority w:val="10"/>
    <w:qFormat/>
    <w:rsid w:val="005B678D"/>
    <w:pPr>
      <w:spacing w:after="0" w:line="240" w:lineRule="auto"/>
      <w:contextualSpacing/>
      <w:jc w:val="center"/>
    </w:pPr>
    <w:rPr>
      <w:rFonts w:asciiTheme="majorHAnsi" w:eastAsiaTheme="majorEastAsia" w:hAnsiTheme="majorHAnsi" w:cstheme="majorBidi"/>
      <w:b/>
      <w:spacing w:val="-10"/>
      <w:kern w:val="28"/>
      <w:sz w:val="40"/>
      <w:szCs w:val="56"/>
    </w:rPr>
  </w:style>
  <w:style w:type="character" w:customStyle="1" w:styleId="TitleChar">
    <w:name w:val="Title Char"/>
    <w:basedOn w:val="DefaultParagraphFont"/>
    <w:link w:val="Title"/>
    <w:uiPriority w:val="10"/>
    <w:rsid w:val="005B678D"/>
    <w:rPr>
      <w:rFonts w:asciiTheme="majorHAnsi" w:eastAsiaTheme="majorEastAsia" w:hAnsiTheme="majorHAnsi" w:cstheme="majorBidi"/>
      <w:b/>
      <w:spacing w:val="-10"/>
      <w:kern w:val="28"/>
      <w:sz w:val="40"/>
      <w:szCs w:val="56"/>
    </w:rPr>
  </w:style>
  <w:style w:type="table" w:styleId="TableGrid">
    <w:name w:val="Table Grid"/>
    <w:basedOn w:val="TableNormal"/>
    <w:uiPriority w:val="59"/>
    <w:rsid w:val="00F134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3">
    <w:name w:val="List 3"/>
    <w:basedOn w:val="Normal"/>
    <w:uiPriority w:val="99"/>
    <w:unhideWhenUsed/>
    <w:rsid w:val="00F91C57"/>
    <w:pPr>
      <w:numPr>
        <w:numId w:val="1"/>
      </w:numPr>
      <w:ind w:left="1134" w:hanging="567"/>
      <w:contextualSpacing/>
    </w:pPr>
  </w:style>
  <w:style w:type="paragraph" w:styleId="List">
    <w:name w:val="List"/>
    <w:basedOn w:val="Normal"/>
    <w:unhideWhenUsed/>
    <w:rsid w:val="00F91C57"/>
    <w:pPr>
      <w:numPr>
        <w:numId w:val="6"/>
      </w:numPr>
      <w:spacing w:before="120" w:line="240" w:lineRule="auto"/>
      <w:ind w:left="567" w:hanging="567"/>
    </w:pPr>
  </w:style>
  <w:style w:type="paragraph" w:customStyle="1" w:styleId="5">
    <w:name w:val="Стил5"/>
    <w:basedOn w:val="Normal"/>
    <w:qFormat/>
    <w:rsid w:val="00C71999"/>
    <w:pPr>
      <w:widowControl w:val="0"/>
      <w:numPr>
        <w:numId w:val="3"/>
      </w:numPr>
      <w:spacing w:before="120" w:line="240" w:lineRule="auto"/>
      <w:ind w:left="567" w:hanging="567"/>
    </w:pPr>
    <w:rPr>
      <w:rFonts w:ascii="Garamond" w:eastAsia="Garamond" w:hAnsi="Garamond" w:cs="Garamond"/>
    </w:rPr>
  </w:style>
  <w:style w:type="character" w:styleId="Hyperlink">
    <w:name w:val="Hyperlink"/>
    <w:basedOn w:val="DefaultParagraphFont"/>
    <w:uiPriority w:val="99"/>
    <w:unhideWhenUsed/>
    <w:rsid w:val="00C71999"/>
    <w:rPr>
      <w:color w:val="0563C1" w:themeColor="hyperlink"/>
      <w:u w:val="single"/>
    </w:rPr>
  </w:style>
  <w:style w:type="table" w:customStyle="1" w:styleId="311">
    <w:name w:val="Таблица със списък 3 – акцентиране 11"/>
    <w:basedOn w:val="TableNormal"/>
    <w:uiPriority w:val="48"/>
    <w:rsid w:val="00C719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paragraph" w:styleId="Header">
    <w:name w:val="header"/>
    <w:basedOn w:val="Normal"/>
    <w:link w:val="HeaderChar"/>
    <w:uiPriority w:val="99"/>
    <w:unhideWhenUsed/>
    <w:rsid w:val="00D34D84"/>
    <w:pPr>
      <w:tabs>
        <w:tab w:val="center" w:pos="4536"/>
        <w:tab w:val="right" w:pos="9072"/>
      </w:tabs>
      <w:spacing w:after="0" w:line="240" w:lineRule="auto"/>
    </w:pPr>
  </w:style>
  <w:style w:type="character" w:customStyle="1" w:styleId="HeaderChar">
    <w:name w:val="Header Char"/>
    <w:basedOn w:val="DefaultParagraphFont"/>
    <w:link w:val="Header"/>
    <w:uiPriority w:val="99"/>
    <w:rsid w:val="00D34D84"/>
  </w:style>
  <w:style w:type="paragraph" w:styleId="Footer">
    <w:name w:val="footer"/>
    <w:basedOn w:val="Normal"/>
    <w:link w:val="FooterChar"/>
    <w:uiPriority w:val="99"/>
    <w:unhideWhenUsed/>
    <w:rsid w:val="00D34D84"/>
    <w:pPr>
      <w:tabs>
        <w:tab w:val="center" w:pos="4536"/>
        <w:tab w:val="right" w:pos="9072"/>
      </w:tabs>
      <w:spacing w:after="0" w:line="240" w:lineRule="auto"/>
    </w:pPr>
  </w:style>
  <w:style w:type="character" w:customStyle="1" w:styleId="FooterChar">
    <w:name w:val="Footer Char"/>
    <w:basedOn w:val="DefaultParagraphFont"/>
    <w:link w:val="Footer"/>
    <w:uiPriority w:val="99"/>
    <w:rsid w:val="00D34D84"/>
  </w:style>
  <w:style w:type="paragraph" w:styleId="TOCHeading">
    <w:name w:val="TOC Heading"/>
    <w:basedOn w:val="Heading1"/>
    <w:next w:val="Normal"/>
    <w:uiPriority w:val="39"/>
    <w:unhideWhenUsed/>
    <w:qFormat/>
    <w:rsid w:val="00293BAE"/>
    <w:pPr>
      <w:numPr>
        <w:numId w:val="0"/>
      </w:numPr>
      <w:outlineLvl w:val="9"/>
    </w:pPr>
    <w:rPr>
      <w:lang w:eastAsia="bg-BG"/>
    </w:rPr>
  </w:style>
  <w:style w:type="paragraph" w:styleId="TOC1">
    <w:name w:val="toc 1"/>
    <w:basedOn w:val="Normal"/>
    <w:next w:val="Normal"/>
    <w:autoRedefine/>
    <w:uiPriority w:val="39"/>
    <w:unhideWhenUsed/>
    <w:rsid w:val="000A29E9"/>
    <w:pPr>
      <w:tabs>
        <w:tab w:val="left" w:pos="567"/>
        <w:tab w:val="right" w:leader="dot" w:pos="9639"/>
      </w:tabs>
      <w:spacing w:before="120"/>
    </w:pPr>
    <w:rPr>
      <w:rFonts w:ascii="Cambria" w:hAnsi="Cambria"/>
      <w:b/>
      <w:smallCaps/>
      <w:noProof/>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style>
  <w:style w:type="paragraph" w:styleId="TOC2">
    <w:name w:val="toc 2"/>
    <w:basedOn w:val="Normal"/>
    <w:next w:val="Normal"/>
    <w:autoRedefine/>
    <w:uiPriority w:val="39"/>
    <w:unhideWhenUsed/>
    <w:rsid w:val="000A29E9"/>
    <w:pPr>
      <w:tabs>
        <w:tab w:val="left" w:pos="1134"/>
        <w:tab w:val="right" w:leader="dot" w:pos="9639"/>
      </w:tabs>
      <w:spacing w:after="100"/>
      <w:ind w:left="1134" w:hanging="567"/>
    </w:pPr>
  </w:style>
  <w:style w:type="paragraph" w:styleId="TOC3">
    <w:name w:val="toc 3"/>
    <w:basedOn w:val="Normal"/>
    <w:next w:val="Normal"/>
    <w:autoRedefine/>
    <w:uiPriority w:val="39"/>
    <w:unhideWhenUsed/>
    <w:rsid w:val="000A29E9"/>
    <w:pPr>
      <w:tabs>
        <w:tab w:val="left" w:pos="1701"/>
        <w:tab w:val="right" w:leader="dot" w:pos="9639"/>
      </w:tabs>
      <w:spacing w:after="100"/>
      <w:ind w:left="1701" w:hanging="567"/>
      <w:contextualSpacing/>
    </w:pPr>
    <w:rPr>
      <w:noProof/>
      <w:sz w:val="20"/>
    </w:rPr>
  </w:style>
  <w:style w:type="character" w:customStyle="1" w:styleId="Heading6Char">
    <w:name w:val="Heading 6 Char"/>
    <w:basedOn w:val="DefaultParagraphFont"/>
    <w:link w:val="Heading6"/>
    <w:uiPriority w:val="9"/>
    <w:rsid w:val="000B3548"/>
    <w:rPr>
      <w:rFonts w:ascii="Times New Roman" w:eastAsiaTheme="majorEastAsia" w:hAnsi="Times New Roman" w:cs="Times New Roman"/>
      <w:b/>
      <w:bCs/>
      <w:color w:val="1F4D78" w:themeColor="accent1" w:themeShade="7F"/>
      <w:lang w:eastAsia="bg-BG"/>
    </w:rPr>
  </w:style>
  <w:style w:type="character" w:customStyle="1" w:styleId="Heading7Char">
    <w:name w:val="Heading 7 Char"/>
    <w:basedOn w:val="DefaultParagraphFont"/>
    <w:link w:val="Heading7"/>
    <w:rsid w:val="00293BAE"/>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293BA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0B3548"/>
    <w:rPr>
      <w:rFonts w:ascii="Times New Roman" w:eastAsiaTheme="majorEastAsia" w:hAnsi="Times New Roman" w:cs="Times New Roman"/>
      <w:i/>
      <w:iCs/>
      <w:color w:val="272727" w:themeColor="text1" w:themeTint="D8"/>
      <w:sz w:val="21"/>
      <w:szCs w:val="21"/>
      <w:lang w:eastAsia="bg-BG"/>
    </w:rPr>
  </w:style>
  <w:style w:type="paragraph" w:customStyle="1" w:styleId="tablebulet1">
    <w:name w:val="table_bulet_1"/>
    <w:basedOn w:val="ListParagraph"/>
    <w:qFormat/>
    <w:rsid w:val="00D7258A"/>
    <w:pPr>
      <w:numPr>
        <w:numId w:val="5"/>
      </w:numPr>
      <w:spacing w:before="60" w:after="60" w:line="240" w:lineRule="auto"/>
      <w:jc w:val="left"/>
    </w:pPr>
  </w:style>
  <w:style w:type="paragraph" w:customStyle="1" w:styleId="tabletexts">
    <w:name w:val="table_texts"/>
    <w:basedOn w:val="Normal"/>
    <w:autoRedefine/>
    <w:qFormat/>
    <w:rsid w:val="00DB6DDE"/>
    <w:pPr>
      <w:spacing w:before="60" w:after="60" w:line="240" w:lineRule="auto"/>
      <w:jc w:val="left"/>
    </w:pPr>
    <w:rPr>
      <w:rFonts w:asciiTheme="majorHAnsi" w:hAnsiTheme="majorHAnsi" w:cs="Times New Roman"/>
      <w:szCs w:val="20"/>
      <w:lang w:eastAsia="bg-BG"/>
    </w:rPr>
  </w:style>
  <w:style w:type="paragraph" w:customStyle="1" w:styleId="Style2">
    <w:name w:val="Style2"/>
    <w:basedOn w:val="List"/>
    <w:uiPriority w:val="99"/>
    <w:qFormat/>
    <w:rsid w:val="00082366"/>
    <w:pPr>
      <w:tabs>
        <w:tab w:val="num" w:pos="1209"/>
      </w:tabs>
      <w:ind w:left="360" w:hanging="360"/>
    </w:pPr>
    <w:rPr>
      <w:rFonts w:ascii="Times New Roman" w:eastAsia="Calibri" w:hAnsi="Times New Roman" w:cs="Times New Roman"/>
    </w:rPr>
  </w:style>
  <w:style w:type="table" w:customStyle="1" w:styleId="1">
    <w:name w:val="Мрежа в таблица1"/>
    <w:basedOn w:val="TableNormal"/>
    <w:next w:val="TableGrid"/>
    <w:uiPriority w:val="59"/>
    <w:unhideWhenUsed/>
    <w:rsid w:val="00082366"/>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2">
    <w:name w:val="List 2"/>
    <w:basedOn w:val="Normal"/>
    <w:uiPriority w:val="99"/>
    <w:semiHidden/>
    <w:unhideWhenUsed/>
    <w:rsid w:val="00C179F2"/>
    <w:pPr>
      <w:ind w:left="566" w:hanging="283"/>
      <w:contextualSpacing/>
    </w:pPr>
  </w:style>
  <w:style w:type="paragraph" w:styleId="Caption">
    <w:name w:val="caption"/>
    <w:basedOn w:val="Normal"/>
    <w:next w:val="Normal"/>
    <w:uiPriority w:val="35"/>
    <w:unhideWhenUsed/>
    <w:qFormat/>
    <w:rsid w:val="00057712"/>
    <w:pPr>
      <w:keepNext/>
      <w:spacing w:before="240" w:line="240" w:lineRule="auto"/>
    </w:pPr>
    <w:rPr>
      <w:b/>
      <w:iCs/>
      <w:color w:val="2E74B5"/>
      <w:sz w:val="20"/>
      <w:szCs w:val="18"/>
    </w:rPr>
  </w:style>
  <w:style w:type="paragraph" w:styleId="TableofFigures">
    <w:name w:val="table of figures"/>
    <w:basedOn w:val="Normal"/>
    <w:next w:val="Normal"/>
    <w:uiPriority w:val="99"/>
    <w:unhideWhenUsed/>
    <w:rsid w:val="00057712"/>
    <w:pPr>
      <w:spacing w:before="60" w:after="60" w:line="240" w:lineRule="auto"/>
    </w:pPr>
  </w:style>
  <w:style w:type="table" w:customStyle="1" w:styleId="331">
    <w:name w:val="Таблица със списък 3 – акцентиране 31"/>
    <w:basedOn w:val="TableNormal"/>
    <w:uiPriority w:val="48"/>
    <w:rsid w:val="00057712"/>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paragraph" w:styleId="BalloonText">
    <w:name w:val="Balloon Text"/>
    <w:basedOn w:val="Normal"/>
    <w:link w:val="BalloonTextChar"/>
    <w:uiPriority w:val="99"/>
    <w:semiHidden/>
    <w:unhideWhenUsed/>
    <w:rsid w:val="004019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19E1"/>
    <w:rPr>
      <w:rFonts w:ascii="Segoe UI" w:hAnsi="Segoe UI" w:cs="Segoe UI"/>
      <w:sz w:val="18"/>
      <w:szCs w:val="18"/>
    </w:rPr>
  </w:style>
  <w:style w:type="table" w:customStyle="1" w:styleId="-21">
    <w:name w:val="Светъл списък - Акцент 21"/>
    <w:basedOn w:val="TableNormal"/>
    <w:next w:val="LightList-Accent2"/>
    <w:uiPriority w:val="61"/>
    <w:rsid w:val="006E7B28"/>
    <w:pPr>
      <w:spacing w:after="0" w:line="240" w:lineRule="auto"/>
    </w:pPr>
    <w:rPr>
      <w:rFonts w:ascii="Times New Roman" w:hAnsi="Times New Roman" w:cs="Times New Roman"/>
      <w:sz w:val="20"/>
      <w:szCs w:val="2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2">
    <w:name w:val="Light List Accent 2"/>
    <w:basedOn w:val="TableNormal"/>
    <w:uiPriority w:val="61"/>
    <w:semiHidden/>
    <w:unhideWhenUsed/>
    <w:rsid w:val="006E7B28"/>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paragraph" w:styleId="FootnoteText">
    <w:name w:val="footnote text"/>
    <w:basedOn w:val="Normal"/>
    <w:link w:val="FootnoteTextChar"/>
    <w:uiPriority w:val="99"/>
    <w:unhideWhenUsed/>
    <w:qFormat/>
    <w:rsid w:val="00F91C57"/>
    <w:pPr>
      <w:spacing w:after="0" w:line="240" w:lineRule="auto"/>
      <w:jc w:val="left"/>
    </w:pPr>
    <w:rPr>
      <w:sz w:val="16"/>
      <w:szCs w:val="20"/>
    </w:rPr>
  </w:style>
  <w:style w:type="character" w:customStyle="1" w:styleId="FootnoteTextChar">
    <w:name w:val="Footnote Text Char"/>
    <w:basedOn w:val="DefaultParagraphFont"/>
    <w:link w:val="FootnoteText"/>
    <w:uiPriority w:val="99"/>
    <w:rsid w:val="00F91C57"/>
    <w:rPr>
      <w:sz w:val="16"/>
      <w:szCs w:val="20"/>
    </w:rPr>
  </w:style>
  <w:style w:type="character" w:styleId="FootnoteReference">
    <w:name w:val="footnote reference"/>
    <w:aliases w:val="Footnote symbol,Appel note de bas de p,SUPERS,Nota,(NECG) Footnote Reference,Voetnootverwijzing,Footnote Reference Superscript,BVI fnr,Lábjegyzet-hivatkozás,L?bjegyzet-hivatkoz?s,Char1 Char Char Char Char,ftref,Fussnot"/>
    <w:basedOn w:val="DefaultParagraphFont"/>
    <w:link w:val="CharCharCharCharCarChar"/>
    <w:uiPriority w:val="99"/>
    <w:unhideWhenUsed/>
    <w:rsid w:val="008C5197"/>
    <w:rPr>
      <w:vertAlign w:val="superscript"/>
    </w:rPr>
  </w:style>
  <w:style w:type="table" w:customStyle="1" w:styleId="321">
    <w:name w:val="Таблица със списък 3 – акцентиране 21"/>
    <w:basedOn w:val="TableNormal"/>
    <w:uiPriority w:val="48"/>
    <w:rsid w:val="00811E8B"/>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customStyle="1" w:styleId="2">
    <w:name w:val="Мрежа в таблица2"/>
    <w:basedOn w:val="TableNormal"/>
    <w:next w:val="TableGrid"/>
    <w:uiPriority w:val="39"/>
    <w:rsid w:val="00796905"/>
    <w:pPr>
      <w:spacing w:after="0" w:line="240" w:lineRule="auto"/>
    </w:pPr>
    <w:rPr>
      <w:rFonts w:eastAsia="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Мрежа в таблица3"/>
    <w:basedOn w:val="TableNormal"/>
    <w:next w:val="TableGrid"/>
    <w:uiPriority w:val="59"/>
    <w:rsid w:val="005450ED"/>
    <w:pPr>
      <w:spacing w:before="120" w:after="120" w:line="240" w:lineRule="auto"/>
    </w:pPr>
    <w:rPr>
      <w:rFonts w:ascii="Times New Roman" w:eastAsia="Calibri" w:hAnsi="Times New Roman" w:cs="Times New Roman"/>
      <w:sz w:val="20"/>
      <w:szCs w:val="20"/>
      <w:lang w:eastAsia="bg-BG"/>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Мрежа в таблица4"/>
    <w:basedOn w:val="TableNormal"/>
    <w:next w:val="TableGrid"/>
    <w:uiPriority w:val="59"/>
    <w:rsid w:val="005450ED"/>
    <w:pPr>
      <w:spacing w:before="120" w:after="120" w:line="240" w:lineRule="auto"/>
    </w:pPr>
    <w:rPr>
      <w:rFonts w:ascii="Times New Roman" w:eastAsia="Calibri" w:hAnsi="Times New Roman" w:cs="Times New Roman"/>
      <w:sz w:val="20"/>
      <w:szCs w:val="20"/>
      <w:lang w:eastAsia="bg-BG"/>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Мрежа в таблица5"/>
    <w:basedOn w:val="TableNormal"/>
    <w:next w:val="TableGrid"/>
    <w:uiPriority w:val="59"/>
    <w:rsid w:val="005450ED"/>
    <w:pPr>
      <w:spacing w:before="120" w:after="120" w:line="240" w:lineRule="auto"/>
    </w:pPr>
    <w:rPr>
      <w:rFonts w:ascii="Times New Roman" w:eastAsia="Calibri" w:hAnsi="Times New Roman" w:cs="Times New Roman"/>
      <w:sz w:val="20"/>
      <w:szCs w:val="20"/>
      <w:lang w:eastAsia="bg-BG"/>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Мрежа в таблица6"/>
    <w:basedOn w:val="TableNormal"/>
    <w:next w:val="TableGrid"/>
    <w:uiPriority w:val="59"/>
    <w:rsid w:val="005450ED"/>
    <w:pPr>
      <w:spacing w:before="120" w:after="120" w:line="240" w:lineRule="auto"/>
    </w:pPr>
    <w:rPr>
      <w:rFonts w:ascii="Times New Roman" w:eastAsia="Calibri" w:hAnsi="Times New Roman" w:cs="Times New Roman"/>
      <w:sz w:val="20"/>
      <w:szCs w:val="20"/>
      <w:lang w:eastAsia="bg-BG"/>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Мрежа в таблица7"/>
    <w:basedOn w:val="TableNormal"/>
    <w:next w:val="TableGrid"/>
    <w:uiPriority w:val="59"/>
    <w:rsid w:val="005450ED"/>
    <w:pPr>
      <w:spacing w:before="120" w:after="120" w:line="240" w:lineRule="auto"/>
    </w:pPr>
    <w:rPr>
      <w:rFonts w:ascii="Times New Roman" w:eastAsia="Calibri" w:hAnsi="Times New Roman" w:cs="Times New Roman"/>
      <w:sz w:val="20"/>
      <w:szCs w:val="20"/>
      <w:lang w:eastAsia="bg-BG"/>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1 Char,List Paragraph1 Char,ПАРАГРАФ Char,Numbered list Char,List Paragraph11 Char,List Paragraph111 Char,Lettre d'introduction Char,1st level - Bullet List Paragraph Char,Table of contents numbered Char,Bullet Points Char"/>
    <w:link w:val="ListParagraph"/>
    <w:uiPriority w:val="34"/>
    <w:locked/>
    <w:rsid w:val="0029444A"/>
  </w:style>
  <w:style w:type="character" w:styleId="CommentReference">
    <w:name w:val="annotation reference"/>
    <w:basedOn w:val="DefaultParagraphFont"/>
    <w:uiPriority w:val="99"/>
    <w:semiHidden/>
    <w:unhideWhenUsed/>
    <w:rsid w:val="00057169"/>
    <w:rPr>
      <w:sz w:val="16"/>
      <w:szCs w:val="16"/>
    </w:rPr>
  </w:style>
  <w:style w:type="paragraph" w:styleId="CommentText">
    <w:name w:val="annotation text"/>
    <w:basedOn w:val="Normal"/>
    <w:link w:val="CommentTextChar"/>
    <w:uiPriority w:val="99"/>
    <w:unhideWhenUsed/>
    <w:rsid w:val="00057169"/>
    <w:pPr>
      <w:spacing w:line="240" w:lineRule="auto"/>
    </w:pPr>
    <w:rPr>
      <w:sz w:val="20"/>
      <w:szCs w:val="20"/>
    </w:rPr>
  </w:style>
  <w:style w:type="character" w:customStyle="1" w:styleId="CommentTextChar">
    <w:name w:val="Comment Text Char"/>
    <w:basedOn w:val="DefaultParagraphFont"/>
    <w:link w:val="CommentText"/>
    <w:uiPriority w:val="99"/>
    <w:rsid w:val="00057169"/>
    <w:rPr>
      <w:sz w:val="20"/>
      <w:szCs w:val="20"/>
    </w:rPr>
  </w:style>
  <w:style w:type="paragraph" w:styleId="CommentSubject">
    <w:name w:val="annotation subject"/>
    <w:basedOn w:val="CommentText"/>
    <w:next w:val="CommentText"/>
    <w:link w:val="CommentSubjectChar"/>
    <w:uiPriority w:val="99"/>
    <w:semiHidden/>
    <w:unhideWhenUsed/>
    <w:rsid w:val="00057169"/>
    <w:rPr>
      <w:b/>
      <w:bCs/>
    </w:rPr>
  </w:style>
  <w:style w:type="character" w:customStyle="1" w:styleId="CommentSubjectChar">
    <w:name w:val="Comment Subject Char"/>
    <w:basedOn w:val="CommentTextChar"/>
    <w:link w:val="CommentSubject"/>
    <w:uiPriority w:val="99"/>
    <w:semiHidden/>
    <w:rsid w:val="00057169"/>
    <w:rPr>
      <w:b/>
      <w:bCs/>
      <w:sz w:val="20"/>
      <w:szCs w:val="20"/>
    </w:rPr>
  </w:style>
  <w:style w:type="paragraph" w:styleId="List4">
    <w:name w:val="List 4"/>
    <w:basedOn w:val="Normal"/>
    <w:uiPriority w:val="99"/>
    <w:unhideWhenUsed/>
    <w:rsid w:val="00F91782"/>
    <w:pPr>
      <w:spacing w:after="0" w:line="240" w:lineRule="auto"/>
      <w:contextualSpacing/>
      <w:jc w:val="left"/>
    </w:pPr>
    <w:rPr>
      <w:rFonts w:ascii="Verdana" w:eastAsia="Calibri" w:hAnsi="Verdana" w:cs="Times New Roman"/>
      <w:sz w:val="20"/>
      <w:szCs w:val="20"/>
    </w:rPr>
  </w:style>
  <w:style w:type="paragraph" w:customStyle="1" w:styleId="Default">
    <w:name w:val="Default"/>
    <w:rsid w:val="009B317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text">
    <w:name w:val="table_text"/>
    <w:basedOn w:val="Normal"/>
    <w:uiPriority w:val="99"/>
    <w:qFormat/>
    <w:rsid w:val="00AE32E2"/>
    <w:pPr>
      <w:suppressAutoHyphens/>
      <w:spacing w:before="120" w:line="280" w:lineRule="atLeast"/>
      <w:jc w:val="left"/>
    </w:pPr>
    <w:rPr>
      <w:rFonts w:ascii="Times New Roman" w:eastAsia="Calibri" w:hAnsi="Times New Roman" w:cs="Times New Roman"/>
    </w:rPr>
  </w:style>
  <w:style w:type="table" w:customStyle="1" w:styleId="10">
    <w:name w:val="Стил1"/>
    <w:basedOn w:val="TableNormal"/>
    <w:uiPriority w:val="99"/>
    <w:rsid w:val="00AE32E2"/>
    <w:pPr>
      <w:spacing w:after="0" w:line="240" w:lineRule="auto"/>
    </w:pPr>
    <w:rPr>
      <w:rFonts w:ascii="Times New Roman" w:eastAsia="Times New Roman" w:hAnsi="Times New Roman" w:cs="Times New Roman"/>
      <w:sz w:val="20"/>
      <w:szCs w:val="20"/>
      <w:lang w:eastAsia="bg-BG"/>
    </w:rPr>
    <w:tblPr>
      <w:tblStyleRowBandSize w:val="1"/>
      <w:tblBorders>
        <w:top w:val="single" w:sz="4" w:space="0" w:color="44546A" w:themeColor="text2"/>
        <w:left w:val="single" w:sz="4" w:space="0" w:color="44546A" w:themeColor="text2"/>
        <w:bottom w:val="single" w:sz="4" w:space="0" w:color="44546A" w:themeColor="text2"/>
        <w:right w:val="single" w:sz="4" w:space="0" w:color="44546A" w:themeColor="text2"/>
        <w:insideH w:val="single" w:sz="4" w:space="0" w:color="44546A" w:themeColor="text2"/>
        <w:insideV w:val="single" w:sz="4" w:space="0" w:color="44546A" w:themeColor="text2"/>
      </w:tblBorders>
    </w:tblPr>
    <w:tcPr>
      <w:shd w:val="clear" w:color="auto" w:fill="auto"/>
    </w:tcPr>
    <w:tblStylePr w:type="firstRow">
      <w:pPr>
        <w:wordWrap/>
        <w:spacing w:beforeLines="0" w:before="60" w:beforeAutospacing="0" w:afterLines="0" w:after="60" w:afterAutospacing="0" w:line="240" w:lineRule="auto"/>
      </w:pPr>
      <w:rPr>
        <w:b/>
        <w:color w:val="FFFFFF" w:themeColor="background1"/>
        <w:sz w:val="20"/>
      </w:rPr>
      <w:tblPr/>
      <w:trPr>
        <w:cantSplit/>
        <w:tblHeader/>
      </w:trPr>
      <w:tcPr>
        <w:shd w:val="clear" w:color="auto" w:fill="5B9BD5" w:themeFill="accent1"/>
      </w:tcPr>
    </w:tblStylePr>
    <w:tblStylePr w:type="lastRow">
      <w:pPr>
        <w:wordWrap/>
        <w:spacing w:beforeLines="0" w:before="120" w:beforeAutospacing="0" w:afterLines="0" w:after="120" w:afterAutospacing="0" w:line="240" w:lineRule="auto"/>
      </w:pPr>
      <w:rPr>
        <w:b/>
      </w:rPr>
      <w:tblPr/>
      <w:tcPr>
        <w:tcBorders>
          <w:top w:val="double" w:sz="4" w:space="0" w:color="44546A" w:themeColor="text2"/>
        </w:tcBorders>
        <w:shd w:val="clear" w:color="auto" w:fill="DEEAF6" w:themeFill="accent1" w:themeFillTint="33"/>
      </w:tcPr>
    </w:tblStylePr>
  </w:style>
  <w:style w:type="paragraph" w:customStyle="1" w:styleId="bulettable">
    <w:name w:val="bulet_table"/>
    <w:basedOn w:val="Normal"/>
    <w:qFormat/>
    <w:rsid w:val="00466D95"/>
    <w:pPr>
      <w:numPr>
        <w:numId w:val="7"/>
      </w:numPr>
      <w:autoSpaceDE w:val="0"/>
      <w:autoSpaceDN w:val="0"/>
      <w:adjustRightInd w:val="0"/>
      <w:spacing w:before="40" w:after="40" w:line="240" w:lineRule="auto"/>
      <w:jc w:val="left"/>
    </w:pPr>
    <w:rPr>
      <w:rFonts w:asciiTheme="majorHAnsi" w:eastAsia="Calibri" w:hAnsiTheme="majorHAnsi" w:cstheme="majorHAnsi"/>
      <w:sz w:val="20"/>
    </w:rPr>
  </w:style>
  <w:style w:type="table" w:customStyle="1" w:styleId="TableGrid3">
    <w:name w:val="Table Grid3"/>
    <w:basedOn w:val="TableNormal"/>
    <w:next w:val="TableGrid"/>
    <w:uiPriority w:val="59"/>
    <w:rsid w:val="00ED41C9"/>
    <w:pPr>
      <w:spacing w:after="0" w:line="240" w:lineRule="auto"/>
    </w:pPr>
    <w:rPr>
      <w:rFonts w:asciiTheme="minorHAnsi" w:hAnsiTheme="minorHAnsi"/>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converted-space">
    <w:name w:val="apple-converted-space"/>
    <w:basedOn w:val="DefaultParagraphFont"/>
    <w:rsid w:val="001836EF"/>
  </w:style>
  <w:style w:type="character" w:styleId="Emphasis">
    <w:name w:val="Emphasis"/>
    <w:basedOn w:val="DefaultParagraphFont"/>
    <w:uiPriority w:val="20"/>
    <w:qFormat/>
    <w:rsid w:val="001836EF"/>
    <w:rPr>
      <w:i/>
      <w:iCs/>
    </w:rPr>
  </w:style>
  <w:style w:type="paragraph" w:styleId="NoSpacing">
    <w:name w:val="No Spacing"/>
    <w:link w:val="NoSpacingChar"/>
    <w:uiPriority w:val="1"/>
    <w:qFormat/>
    <w:rsid w:val="009F3FC1"/>
    <w:pPr>
      <w:bidi/>
      <w:spacing w:after="0" w:line="240" w:lineRule="auto"/>
    </w:pPr>
    <w:rPr>
      <w:rFonts w:asciiTheme="minorHAnsi" w:eastAsiaTheme="minorEastAsia" w:hAnsiTheme="minorHAnsi"/>
      <w:lang w:val="en-US"/>
    </w:rPr>
  </w:style>
  <w:style w:type="character" w:customStyle="1" w:styleId="NoSpacingChar">
    <w:name w:val="No Spacing Char"/>
    <w:basedOn w:val="DefaultParagraphFont"/>
    <w:link w:val="NoSpacing"/>
    <w:uiPriority w:val="1"/>
    <w:rsid w:val="009F3FC1"/>
    <w:rPr>
      <w:rFonts w:asciiTheme="minorHAnsi" w:eastAsiaTheme="minorEastAsia" w:hAnsiTheme="minorHAnsi"/>
      <w:lang w:val="en-US"/>
    </w:rPr>
  </w:style>
  <w:style w:type="table" w:customStyle="1" w:styleId="11">
    <w:name w:val="Стил11"/>
    <w:basedOn w:val="TableNormal"/>
    <w:uiPriority w:val="99"/>
    <w:rsid w:val="005633D8"/>
    <w:pPr>
      <w:spacing w:after="0" w:line="240" w:lineRule="auto"/>
    </w:pPr>
    <w:rPr>
      <w:rFonts w:ascii="Times New Roman" w:eastAsia="Times New Roman" w:hAnsi="Times New Roman" w:cs="Times New Roman"/>
      <w:sz w:val="20"/>
      <w:szCs w:val="20"/>
      <w:lang w:eastAsia="bg-BG"/>
    </w:rPr>
    <w:tblPr>
      <w:tblStyleRowBandSize w:val="1"/>
      <w:tblBorders>
        <w:top w:val="single" w:sz="4" w:space="0" w:color="44546A"/>
        <w:left w:val="single" w:sz="4" w:space="0" w:color="44546A"/>
        <w:bottom w:val="single" w:sz="4" w:space="0" w:color="44546A"/>
        <w:right w:val="single" w:sz="4" w:space="0" w:color="44546A"/>
        <w:insideH w:val="single" w:sz="4" w:space="0" w:color="44546A"/>
        <w:insideV w:val="single" w:sz="4" w:space="0" w:color="44546A"/>
      </w:tblBorders>
    </w:tblPr>
    <w:tcPr>
      <w:shd w:val="clear" w:color="auto" w:fill="auto"/>
    </w:tcPr>
    <w:tblStylePr w:type="firstRow">
      <w:pPr>
        <w:wordWrap/>
        <w:spacing w:beforeLines="0" w:before="60" w:beforeAutospacing="0" w:afterLines="0" w:after="60" w:afterAutospacing="0" w:line="240" w:lineRule="auto"/>
      </w:pPr>
      <w:rPr>
        <w:b/>
        <w:color w:val="FFFFFF"/>
        <w:sz w:val="20"/>
      </w:rPr>
      <w:tblPr/>
      <w:trPr>
        <w:cantSplit/>
        <w:tblHeader/>
      </w:trPr>
      <w:tcPr>
        <w:shd w:val="clear" w:color="auto" w:fill="5B9BD5"/>
      </w:tcPr>
    </w:tblStylePr>
    <w:tblStylePr w:type="lastRow">
      <w:pPr>
        <w:wordWrap/>
        <w:spacing w:beforeLines="0" w:before="120" w:beforeAutospacing="0" w:afterLines="0" w:after="120" w:afterAutospacing="0" w:line="240" w:lineRule="auto"/>
      </w:pPr>
      <w:rPr>
        <w:b/>
      </w:rPr>
      <w:tblPr/>
      <w:tcPr>
        <w:tcBorders>
          <w:top w:val="double" w:sz="4" w:space="0" w:color="44546A"/>
        </w:tcBorders>
        <w:shd w:val="clear" w:color="auto" w:fill="DEEAF6"/>
      </w:tcPr>
    </w:tblStylePr>
  </w:style>
  <w:style w:type="table" w:customStyle="1" w:styleId="LightGrid-Accent11">
    <w:name w:val="Light Grid - Accent 11"/>
    <w:basedOn w:val="TableNormal"/>
    <w:next w:val="LightGrid-Accent1"/>
    <w:uiPriority w:val="62"/>
    <w:rsid w:val="00391406"/>
    <w:pPr>
      <w:spacing w:after="0" w:line="240" w:lineRule="auto"/>
    </w:pPr>
    <w:rPr>
      <w:rFonts w:ascii="Calibri" w:eastAsia="Times New Roman" w:hAnsi="Calibri"/>
    </w:rPr>
    <w:tblPr>
      <w:tblStyleRowBandSize w:val="1"/>
      <w:tblStyleColBandSize w:val="1"/>
      <w:tblBorders>
        <w:top w:val="single" w:sz="8" w:space="0" w:color="548DD4"/>
        <w:left w:val="single" w:sz="8" w:space="0" w:color="548DD4"/>
        <w:bottom w:val="single" w:sz="8" w:space="0" w:color="548DD4"/>
        <w:right w:val="single" w:sz="8" w:space="0" w:color="548DD4"/>
        <w:insideH w:val="single" w:sz="8" w:space="0" w:color="548DD4"/>
        <w:insideV w:val="single" w:sz="8" w:space="0" w:color="548DD4"/>
      </w:tblBorders>
    </w:tblPr>
    <w:tblStylePr w:type="firstRow">
      <w:pPr>
        <w:spacing w:before="0" w:after="0" w:line="240" w:lineRule="auto"/>
      </w:pPr>
      <w:rPr>
        <w:rFonts w:ascii="Cambria" w:eastAsia="Times New Roman" w:hAnsi="Cambria" w:cs="Times New Roman"/>
        <w:b/>
        <w:bCs/>
      </w:rPr>
      <w:tblPr/>
      <w:tcPr>
        <w:tcBorders>
          <w:top w:val="single" w:sz="8" w:space="0" w:color="548DD4"/>
          <w:left w:val="single" w:sz="8" w:space="0" w:color="548DD4"/>
          <w:bottom w:val="single" w:sz="18" w:space="0" w:color="548DD4"/>
          <w:right w:val="single" w:sz="8" w:space="0" w:color="548DD4"/>
          <w:insideH w:val="nil"/>
          <w:insideV w:val="single" w:sz="8" w:space="0" w:color="548DD4"/>
        </w:tcBorders>
      </w:tcPr>
    </w:tblStylePr>
    <w:tblStylePr w:type="lastRow">
      <w:pPr>
        <w:spacing w:before="0" w:after="0" w:line="240" w:lineRule="auto"/>
      </w:pPr>
      <w:rPr>
        <w:rFonts w:ascii="Cambria" w:eastAsia="Times New Roman" w:hAnsi="Cambria" w:cs="Times New Roman"/>
        <w:b/>
        <w:bCs/>
      </w:rPr>
      <w:tblPr/>
      <w:tcPr>
        <w:tcBorders>
          <w:top w:val="double" w:sz="6" w:space="0" w:color="548DD4"/>
          <w:left w:val="single" w:sz="8" w:space="0" w:color="548DD4"/>
          <w:bottom w:val="single" w:sz="8" w:space="0" w:color="548DD4"/>
          <w:right w:val="single" w:sz="8" w:space="0" w:color="548DD4"/>
          <w:insideH w:val="nil"/>
          <w:insideV w:val="single" w:sz="8" w:space="0" w:color="548DD4"/>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548DD4"/>
          <w:left w:val="single" w:sz="8" w:space="0" w:color="548DD4"/>
          <w:bottom w:val="single" w:sz="8" w:space="0" w:color="548DD4"/>
          <w:right w:val="single" w:sz="8" w:space="0" w:color="548DD4"/>
        </w:tcBorders>
      </w:tcPr>
    </w:tblStylePr>
    <w:tblStylePr w:type="band1Vert">
      <w:tblPr/>
      <w:tcPr>
        <w:tcBorders>
          <w:top w:val="single" w:sz="8" w:space="0" w:color="548DD4"/>
          <w:left w:val="single" w:sz="8" w:space="0" w:color="548DD4"/>
          <w:bottom w:val="single" w:sz="8" w:space="0" w:color="548DD4"/>
          <w:right w:val="single" w:sz="8" w:space="0" w:color="548DD4"/>
        </w:tcBorders>
        <w:shd w:val="clear" w:color="auto" w:fill="D4E2F4"/>
      </w:tcPr>
    </w:tblStylePr>
    <w:tblStylePr w:type="band1Horz">
      <w:tblPr/>
      <w:tcPr>
        <w:tcBorders>
          <w:top w:val="single" w:sz="8" w:space="0" w:color="548DD4"/>
          <w:left w:val="single" w:sz="8" w:space="0" w:color="548DD4"/>
          <w:bottom w:val="single" w:sz="8" w:space="0" w:color="548DD4"/>
          <w:right w:val="single" w:sz="8" w:space="0" w:color="548DD4"/>
          <w:insideV w:val="single" w:sz="8" w:space="0" w:color="548DD4"/>
        </w:tcBorders>
        <w:shd w:val="clear" w:color="auto" w:fill="D4E2F4"/>
      </w:tcPr>
    </w:tblStylePr>
    <w:tblStylePr w:type="band2Horz">
      <w:tblPr/>
      <w:tcPr>
        <w:tcBorders>
          <w:top w:val="single" w:sz="8" w:space="0" w:color="548DD4"/>
          <w:left w:val="single" w:sz="8" w:space="0" w:color="548DD4"/>
          <w:bottom w:val="single" w:sz="8" w:space="0" w:color="548DD4"/>
          <w:right w:val="single" w:sz="8" w:space="0" w:color="548DD4"/>
          <w:insideV w:val="single" w:sz="8" w:space="0" w:color="548DD4"/>
        </w:tcBorders>
      </w:tcPr>
    </w:tblStylePr>
  </w:style>
  <w:style w:type="table" w:styleId="LightGrid-Accent1">
    <w:name w:val="Light Grid Accent 1"/>
    <w:basedOn w:val="TableNormal"/>
    <w:uiPriority w:val="62"/>
    <w:rsid w:val="00391406"/>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styleId="NormalWeb">
    <w:name w:val="Normal (Web)"/>
    <w:basedOn w:val="Normal"/>
    <w:uiPriority w:val="99"/>
    <w:rsid w:val="002C7EF1"/>
    <w:pPr>
      <w:tabs>
        <w:tab w:val="left" w:pos="567"/>
      </w:tabs>
      <w:spacing w:before="120" w:after="200" w:line="240" w:lineRule="auto"/>
    </w:pPr>
    <w:rPr>
      <w:rFonts w:ascii="Times New Roman" w:eastAsia="Calibri" w:hAnsi="Times New Roman" w:cs="Times New Roman"/>
    </w:rPr>
  </w:style>
  <w:style w:type="paragraph" w:customStyle="1" w:styleId="Style3">
    <w:name w:val="Style3"/>
    <w:basedOn w:val="Normal"/>
    <w:uiPriority w:val="99"/>
    <w:rsid w:val="002C7EF1"/>
    <w:pPr>
      <w:spacing w:before="120" w:after="200" w:line="240" w:lineRule="auto"/>
      <w:ind w:left="502" w:hanging="360"/>
    </w:pPr>
    <w:rPr>
      <w:rFonts w:ascii="Times New Roman" w:eastAsia="Times New Roman" w:hAnsi="Times New Roman" w:cs="Times New Roman"/>
    </w:rPr>
  </w:style>
  <w:style w:type="table" w:customStyle="1" w:styleId="111">
    <w:name w:val="Таблица с мрежа 1 светла – акцентиране 11"/>
    <w:basedOn w:val="TableNormal"/>
    <w:uiPriority w:val="46"/>
    <w:rsid w:val="00173E6F"/>
    <w:pPr>
      <w:spacing w:after="0" w:line="240" w:lineRule="auto"/>
    </w:pPr>
    <w:rPr>
      <w:rFonts w:asciiTheme="minorHAnsi" w:hAnsiTheme="minorHAnsi"/>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customStyle="1" w:styleId="TableStyle">
    <w:name w:val="Table Style"/>
    <w:basedOn w:val="Normal"/>
    <w:link w:val="TableStyleChar"/>
    <w:rsid w:val="00052735"/>
    <w:pPr>
      <w:spacing w:line="240" w:lineRule="auto"/>
      <w:jc w:val="left"/>
    </w:pPr>
  </w:style>
  <w:style w:type="character" w:customStyle="1" w:styleId="TableStyleChar">
    <w:name w:val="Table Style Char"/>
    <w:basedOn w:val="DefaultParagraphFont"/>
    <w:link w:val="TableStyle"/>
    <w:rsid w:val="00052735"/>
  </w:style>
  <w:style w:type="table" w:customStyle="1" w:styleId="MediumGrid3-Accent11">
    <w:name w:val="Medium Grid 3 - Accent 11"/>
    <w:basedOn w:val="TableNormal"/>
    <w:next w:val="MediumGrid3-Accent1"/>
    <w:uiPriority w:val="69"/>
    <w:rsid w:val="00F05693"/>
    <w:pPr>
      <w:spacing w:after="0" w:line="240" w:lineRule="auto"/>
    </w:pPr>
    <w:rPr>
      <w:rFonts w:ascii="Times New Roman" w:hAnsi="Times New Roman"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1">
    <w:name w:val="Medium Grid 3 Accent 1"/>
    <w:basedOn w:val="TableNormal"/>
    <w:uiPriority w:val="69"/>
    <w:rsid w:val="00F0569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paragraph" w:customStyle="1" w:styleId="ListContents">
    <w:name w:val="List Contents"/>
    <w:basedOn w:val="Normal"/>
    <w:next w:val="Normal"/>
    <w:rsid w:val="00E50A88"/>
    <w:pPr>
      <w:widowControl w:val="0"/>
      <w:numPr>
        <w:numId w:val="2"/>
      </w:numPr>
      <w:suppressAutoHyphens/>
      <w:spacing w:after="113" w:line="240" w:lineRule="auto"/>
      <w:jc w:val="left"/>
    </w:pPr>
    <w:rPr>
      <w:rFonts w:eastAsia="WenQuanYi Micro Hei" w:cs="FreeSans"/>
      <w:kern w:val="22"/>
      <w:lang w:eastAsia="zh-CN" w:bidi="hi-IN"/>
    </w:rPr>
  </w:style>
  <w:style w:type="paragraph" w:styleId="BodyText">
    <w:name w:val="Body Text"/>
    <w:basedOn w:val="Normal"/>
    <w:link w:val="BodyTextChar"/>
    <w:rsid w:val="00117038"/>
    <w:pPr>
      <w:widowControl w:val="0"/>
      <w:suppressAutoHyphens/>
      <w:spacing w:line="240" w:lineRule="auto"/>
      <w:jc w:val="left"/>
    </w:pPr>
    <w:rPr>
      <w:rFonts w:ascii="Calibri" w:eastAsia="WenQuanYi Micro Hei" w:hAnsi="Calibri" w:cs="FreeSans"/>
      <w:kern w:val="1"/>
      <w:lang w:eastAsia="zh-CN" w:bidi="hi-IN"/>
    </w:rPr>
  </w:style>
  <w:style w:type="character" w:customStyle="1" w:styleId="BodyTextChar">
    <w:name w:val="Body Text Char"/>
    <w:basedOn w:val="DefaultParagraphFont"/>
    <w:link w:val="BodyText"/>
    <w:rsid w:val="00117038"/>
    <w:rPr>
      <w:rFonts w:ascii="Calibri" w:eastAsia="WenQuanYi Micro Hei" w:hAnsi="Calibri" w:cs="FreeSans"/>
      <w:kern w:val="1"/>
      <w:sz w:val="24"/>
      <w:szCs w:val="24"/>
      <w:lang w:eastAsia="zh-CN" w:bidi="hi-IN"/>
    </w:rPr>
  </w:style>
  <w:style w:type="paragraph" w:customStyle="1" w:styleId="Normal1">
    <w:name w:val="Normal 1"/>
    <w:basedOn w:val="Normal"/>
    <w:rsid w:val="00EE398E"/>
    <w:pPr>
      <w:numPr>
        <w:numId w:val="8"/>
      </w:numPr>
      <w:spacing w:before="60" w:after="60" w:line="360" w:lineRule="auto"/>
    </w:pPr>
    <w:rPr>
      <w:rFonts w:ascii="Arial" w:eastAsia="Times New Roman" w:hAnsi="Arial" w:cs="Arial"/>
    </w:rPr>
  </w:style>
  <w:style w:type="paragraph" w:customStyle="1" w:styleId="Style1">
    <w:name w:val="Style1"/>
    <w:basedOn w:val="Normal"/>
    <w:qFormat/>
    <w:rsid w:val="00590430"/>
    <w:pPr>
      <w:spacing w:before="120" w:line="240" w:lineRule="auto"/>
      <w:ind w:firstLine="1134"/>
    </w:pPr>
    <w:rPr>
      <w:rFonts w:ascii="Calibri" w:eastAsia="Times New Roman" w:hAnsi="Calibri" w:cs="Calibri"/>
    </w:rPr>
  </w:style>
  <w:style w:type="paragraph" w:customStyle="1" w:styleId="tablebulet2">
    <w:name w:val="table_bulet_2"/>
    <w:basedOn w:val="tabletext"/>
    <w:uiPriority w:val="99"/>
    <w:qFormat/>
    <w:rsid w:val="00206C2A"/>
    <w:pPr>
      <w:numPr>
        <w:numId w:val="9"/>
      </w:numPr>
      <w:contextualSpacing/>
    </w:pPr>
  </w:style>
  <w:style w:type="table" w:customStyle="1" w:styleId="110">
    <w:name w:val="Мрежа в таблица11"/>
    <w:basedOn w:val="TableNormal"/>
    <w:next w:val="TableGrid"/>
    <w:uiPriority w:val="59"/>
    <w:unhideWhenUsed/>
    <w:rsid w:val="0077564A"/>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Таблица със списък 3 – акцентиране 111"/>
    <w:basedOn w:val="TableNormal"/>
    <w:uiPriority w:val="48"/>
    <w:rsid w:val="00773974"/>
    <w:pPr>
      <w:spacing w:after="0" w:line="240" w:lineRule="auto"/>
    </w:p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customStyle="1" w:styleId="LightGrid-Accent111">
    <w:name w:val="Light Grid - Accent 111"/>
    <w:basedOn w:val="TableNormal"/>
    <w:next w:val="LightGrid-Accent1"/>
    <w:uiPriority w:val="62"/>
    <w:rsid w:val="00773974"/>
    <w:pPr>
      <w:spacing w:after="0" w:line="240" w:lineRule="auto"/>
    </w:pPr>
    <w:rPr>
      <w:rFonts w:ascii="Calibri" w:eastAsia="Times New Roman" w:hAnsi="Calibri"/>
    </w:rPr>
    <w:tblPr>
      <w:tblStyleRowBandSize w:val="1"/>
      <w:tblStyleColBandSize w:val="1"/>
      <w:tblBorders>
        <w:top w:val="single" w:sz="8" w:space="0" w:color="548DD4"/>
        <w:left w:val="single" w:sz="8" w:space="0" w:color="548DD4"/>
        <w:bottom w:val="single" w:sz="8" w:space="0" w:color="548DD4"/>
        <w:right w:val="single" w:sz="8" w:space="0" w:color="548DD4"/>
        <w:insideH w:val="single" w:sz="8" w:space="0" w:color="548DD4"/>
        <w:insideV w:val="single" w:sz="8" w:space="0" w:color="548DD4"/>
      </w:tblBorders>
    </w:tblPr>
    <w:tblStylePr w:type="firstRow">
      <w:pPr>
        <w:spacing w:before="0" w:after="0" w:line="240" w:lineRule="auto"/>
      </w:pPr>
      <w:rPr>
        <w:rFonts w:ascii="Cambria" w:eastAsia="Times New Roman" w:hAnsi="Cambria" w:cs="Times New Roman"/>
        <w:b/>
        <w:bCs/>
      </w:rPr>
      <w:tblPr/>
      <w:tcPr>
        <w:tcBorders>
          <w:top w:val="single" w:sz="8" w:space="0" w:color="548DD4"/>
          <w:left w:val="single" w:sz="8" w:space="0" w:color="548DD4"/>
          <w:bottom w:val="single" w:sz="18" w:space="0" w:color="548DD4"/>
          <w:right w:val="single" w:sz="8" w:space="0" w:color="548DD4"/>
          <w:insideH w:val="nil"/>
          <w:insideV w:val="single" w:sz="8" w:space="0" w:color="548DD4"/>
        </w:tcBorders>
      </w:tcPr>
    </w:tblStylePr>
    <w:tblStylePr w:type="lastRow">
      <w:pPr>
        <w:spacing w:before="0" w:after="0" w:line="240" w:lineRule="auto"/>
      </w:pPr>
      <w:rPr>
        <w:rFonts w:ascii="Cambria" w:eastAsia="Times New Roman" w:hAnsi="Cambria" w:cs="Times New Roman"/>
        <w:b/>
        <w:bCs/>
      </w:rPr>
      <w:tblPr/>
      <w:tcPr>
        <w:tcBorders>
          <w:top w:val="double" w:sz="6" w:space="0" w:color="548DD4"/>
          <w:left w:val="single" w:sz="8" w:space="0" w:color="548DD4"/>
          <w:bottom w:val="single" w:sz="8" w:space="0" w:color="548DD4"/>
          <w:right w:val="single" w:sz="8" w:space="0" w:color="548DD4"/>
          <w:insideH w:val="nil"/>
          <w:insideV w:val="single" w:sz="8" w:space="0" w:color="548DD4"/>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548DD4"/>
          <w:left w:val="single" w:sz="8" w:space="0" w:color="548DD4"/>
          <w:bottom w:val="single" w:sz="8" w:space="0" w:color="548DD4"/>
          <w:right w:val="single" w:sz="8" w:space="0" w:color="548DD4"/>
        </w:tcBorders>
      </w:tcPr>
    </w:tblStylePr>
    <w:tblStylePr w:type="band1Vert">
      <w:tblPr/>
      <w:tcPr>
        <w:tcBorders>
          <w:top w:val="single" w:sz="8" w:space="0" w:color="548DD4"/>
          <w:left w:val="single" w:sz="8" w:space="0" w:color="548DD4"/>
          <w:bottom w:val="single" w:sz="8" w:space="0" w:color="548DD4"/>
          <w:right w:val="single" w:sz="8" w:space="0" w:color="548DD4"/>
        </w:tcBorders>
        <w:shd w:val="clear" w:color="auto" w:fill="D4E2F4"/>
      </w:tcPr>
    </w:tblStylePr>
    <w:tblStylePr w:type="band1Horz">
      <w:tblPr/>
      <w:tcPr>
        <w:tcBorders>
          <w:top w:val="single" w:sz="8" w:space="0" w:color="548DD4"/>
          <w:left w:val="single" w:sz="8" w:space="0" w:color="548DD4"/>
          <w:bottom w:val="single" w:sz="8" w:space="0" w:color="548DD4"/>
          <w:right w:val="single" w:sz="8" w:space="0" w:color="548DD4"/>
          <w:insideV w:val="single" w:sz="8" w:space="0" w:color="548DD4"/>
        </w:tcBorders>
        <w:shd w:val="clear" w:color="auto" w:fill="D4E2F4"/>
      </w:tcPr>
    </w:tblStylePr>
    <w:tblStylePr w:type="band2Horz">
      <w:tblPr/>
      <w:tcPr>
        <w:tcBorders>
          <w:top w:val="single" w:sz="8" w:space="0" w:color="548DD4"/>
          <w:left w:val="single" w:sz="8" w:space="0" w:color="548DD4"/>
          <w:bottom w:val="single" w:sz="8" w:space="0" w:color="548DD4"/>
          <w:right w:val="single" w:sz="8" w:space="0" w:color="548DD4"/>
          <w:insideV w:val="single" w:sz="8" w:space="0" w:color="548DD4"/>
        </w:tcBorders>
      </w:tcPr>
    </w:tblStylePr>
  </w:style>
  <w:style w:type="table" w:customStyle="1" w:styleId="TableGrid2">
    <w:name w:val="Table Grid2"/>
    <w:basedOn w:val="TableNormal"/>
    <w:next w:val="TableGrid"/>
    <w:uiPriority w:val="59"/>
    <w:rsid w:val="009775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
    <w:name w:val="Grid Table 1 Light Accent 11"/>
    <w:basedOn w:val="TableNormal"/>
    <w:uiPriority w:val="46"/>
    <w:rsid w:val="009775E4"/>
    <w:pPr>
      <w:spacing w:after="0" w:line="240" w:lineRule="auto"/>
    </w:pPr>
    <w:rPr>
      <w:rFonts w:ascii="Calibri" w:hAnsi="Calibri"/>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styleId="Subtitle">
    <w:name w:val="Subtitle"/>
    <w:basedOn w:val="Normal"/>
    <w:next w:val="Normal"/>
    <w:link w:val="SubtitleChar"/>
    <w:uiPriority w:val="11"/>
    <w:qFormat/>
    <w:rsid w:val="00EC1EE9"/>
    <w:pPr>
      <w:numPr>
        <w:ilvl w:val="1"/>
      </w:numPr>
      <w:ind w:firstLine="567"/>
    </w:pPr>
    <w:rPr>
      <w:rFonts w:asciiTheme="majorHAnsi" w:eastAsiaTheme="majorEastAsia" w:hAnsiTheme="majorHAnsi" w:cstheme="majorBidi"/>
      <w:i/>
      <w:iCs/>
      <w:color w:val="5B9BD5" w:themeColor="accent1"/>
      <w:spacing w:val="15"/>
    </w:rPr>
  </w:style>
  <w:style w:type="character" w:customStyle="1" w:styleId="SubtitleChar">
    <w:name w:val="Subtitle Char"/>
    <w:basedOn w:val="DefaultParagraphFont"/>
    <w:link w:val="Subtitle"/>
    <w:uiPriority w:val="11"/>
    <w:rsid w:val="00EC1EE9"/>
    <w:rPr>
      <w:rFonts w:asciiTheme="majorHAnsi" w:eastAsiaTheme="majorEastAsia" w:hAnsiTheme="majorHAnsi" w:cstheme="majorBidi"/>
      <w:i/>
      <w:iCs/>
      <w:color w:val="5B9BD5" w:themeColor="accent1"/>
      <w:spacing w:val="15"/>
      <w:sz w:val="24"/>
      <w:szCs w:val="24"/>
    </w:rPr>
  </w:style>
  <w:style w:type="paragraph" w:customStyle="1" w:styleId="a">
    <w:name w:val="такст_таблица"/>
    <w:basedOn w:val="Normal"/>
    <w:qFormat/>
    <w:rsid w:val="006573DB"/>
    <w:pPr>
      <w:tabs>
        <w:tab w:val="left" w:pos="567"/>
      </w:tabs>
      <w:spacing w:before="120" w:line="240" w:lineRule="auto"/>
      <w:jc w:val="left"/>
    </w:pPr>
    <w:rPr>
      <w:rFonts w:ascii="Times New Roman" w:eastAsia="Times New Roman" w:hAnsi="Times New Roman" w:cs="Times New Roman"/>
      <w:lang w:eastAsia="bg-BG"/>
    </w:rPr>
  </w:style>
  <w:style w:type="paragraph" w:customStyle="1" w:styleId="m">
    <w:name w:val="m"/>
    <w:basedOn w:val="Normal"/>
    <w:rsid w:val="0056649A"/>
    <w:pPr>
      <w:spacing w:after="0" w:line="240" w:lineRule="auto"/>
      <w:ind w:firstLine="990"/>
    </w:pPr>
    <w:rPr>
      <w:rFonts w:ascii="Times New Roman" w:eastAsia="Times New Roman" w:hAnsi="Times New Roman" w:cs="Times New Roman"/>
      <w:color w:val="000000"/>
      <w:lang w:eastAsia="bg-BG"/>
    </w:rPr>
  </w:style>
  <w:style w:type="paragraph" w:styleId="EndnoteText">
    <w:name w:val="endnote text"/>
    <w:basedOn w:val="Normal"/>
    <w:link w:val="EndnoteTextChar"/>
    <w:uiPriority w:val="99"/>
    <w:semiHidden/>
    <w:unhideWhenUsed/>
    <w:rsid w:val="00297CD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97CD8"/>
    <w:rPr>
      <w:sz w:val="20"/>
      <w:szCs w:val="20"/>
    </w:rPr>
  </w:style>
  <w:style w:type="character" w:styleId="EndnoteReference">
    <w:name w:val="endnote reference"/>
    <w:basedOn w:val="DefaultParagraphFont"/>
    <w:uiPriority w:val="99"/>
    <w:semiHidden/>
    <w:unhideWhenUsed/>
    <w:rsid w:val="00297CD8"/>
    <w:rPr>
      <w:vertAlign w:val="superscript"/>
    </w:rPr>
  </w:style>
  <w:style w:type="paragraph" w:customStyle="1" w:styleId="CharChar">
    <w:name w:val="Знак Знак Char Char"/>
    <w:basedOn w:val="Normal"/>
    <w:semiHidden/>
    <w:rsid w:val="00737DF9"/>
    <w:pPr>
      <w:tabs>
        <w:tab w:val="left" w:pos="709"/>
      </w:tabs>
      <w:spacing w:after="0" w:line="240" w:lineRule="auto"/>
      <w:jc w:val="left"/>
    </w:pPr>
    <w:rPr>
      <w:rFonts w:ascii="Futura Bk" w:eastAsia="Times New Roman" w:hAnsi="Futura Bk" w:cs="Times New Roman"/>
      <w:noProof/>
      <w:sz w:val="20"/>
      <w:lang w:val="pl-PL" w:eastAsia="pl-PL"/>
    </w:rPr>
  </w:style>
  <w:style w:type="paragraph" w:styleId="ListBullet">
    <w:name w:val="List Bullet"/>
    <w:basedOn w:val="Normal"/>
    <w:rsid w:val="008844F2"/>
    <w:pPr>
      <w:numPr>
        <w:numId w:val="10"/>
      </w:numPr>
      <w:shd w:val="clear" w:color="auto" w:fill="FFFFFF"/>
      <w:spacing w:after="240" w:line="240" w:lineRule="auto"/>
    </w:pPr>
    <w:rPr>
      <w:rFonts w:ascii="Arial" w:eastAsia="Times New Roman" w:hAnsi="Arial" w:cs="Arial"/>
      <w:szCs w:val="20"/>
      <w:lang w:val="en-GB"/>
    </w:rPr>
  </w:style>
  <w:style w:type="paragraph" w:customStyle="1" w:styleId="NEEEEETs">
    <w:name w:val="NEEEEETs"/>
    <w:basedOn w:val="Normal"/>
    <w:qFormat/>
    <w:rsid w:val="00B02343"/>
    <w:pPr>
      <w:tabs>
        <w:tab w:val="left" w:pos="7088"/>
      </w:tabs>
      <w:spacing w:before="120" w:line="276" w:lineRule="auto"/>
      <w:ind w:firstLine="360"/>
    </w:pPr>
    <w:rPr>
      <w:rFonts w:ascii="Cambria" w:eastAsia="Times New Roman" w:hAnsi="Cambria" w:cs="Times New Roman"/>
    </w:rPr>
  </w:style>
  <w:style w:type="paragraph" w:customStyle="1" w:styleId="normaltableau">
    <w:name w:val="normal_tableau"/>
    <w:basedOn w:val="Normal"/>
    <w:rsid w:val="003840B7"/>
    <w:pPr>
      <w:suppressAutoHyphens/>
      <w:spacing w:before="120" w:line="240" w:lineRule="auto"/>
    </w:pPr>
    <w:rPr>
      <w:rFonts w:ascii="Optima" w:eastAsia="Times New Roman" w:hAnsi="Optima" w:cs="Times New Roman"/>
      <w:szCs w:val="20"/>
      <w:lang w:val="en-GB" w:eastAsia="ar-SA"/>
    </w:rPr>
  </w:style>
  <w:style w:type="paragraph" w:customStyle="1" w:styleId="CVNormal">
    <w:name w:val="CV Normal"/>
    <w:basedOn w:val="Normal"/>
    <w:rsid w:val="003840B7"/>
    <w:pPr>
      <w:suppressAutoHyphens/>
      <w:spacing w:after="0" w:line="240" w:lineRule="auto"/>
      <w:ind w:left="113" w:right="113"/>
      <w:jc w:val="left"/>
    </w:pPr>
    <w:rPr>
      <w:rFonts w:ascii="Arial Narrow" w:eastAsia="Times New Roman" w:hAnsi="Arial Narrow" w:cs="Times New Roman"/>
      <w:sz w:val="20"/>
      <w:szCs w:val="20"/>
      <w:lang w:eastAsia="ar-SA"/>
    </w:rPr>
  </w:style>
  <w:style w:type="paragraph" w:customStyle="1" w:styleId="CVNormal-FirstLine">
    <w:name w:val="CV Normal - First Line"/>
    <w:basedOn w:val="CVNormal"/>
    <w:next w:val="CVNormal"/>
    <w:rsid w:val="003840B7"/>
    <w:pPr>
      <w:spacing w:before="74"/>
    </w:pPr>
  </w:style>
  <w:style w:type="paragraph" w:customStyle="1" w:styleId="ECVDate">
    <w:name w:val="_ECV_Date"/>
    <w:basedOn w:val="Normal"/>
    <w:rsid w:val="003840B7"/>
    <w:pPr>
      <w:widowControl w:val="0"/>
      <w:suppressLineNumbers/>
      <w:suppressAutoHyphens/>
      <w:spacing w:before="28" w:after="0" w:line="100" w:lineRule="atLeast"/>
      <w:ind w:right="283"/>
      <w:jc w:val="right"/>
    </w:pPr>
    <w:rPr>
      <w:rFonts w:ascii="Arial" w:eastAsia="SimSun" w:hAnsi="Arial" w:cs="Mangal"/>
      <w:color w:val="0E4194"/>
      <w:spacing w:val="-6"/>
      <w:kern w:val="2"/>
      <w:sz w:val="18"/>
      <w:lang w:eastAsia="hi-IN" w:bidi="hi-IN"/>
    </w:rPr>
  </w:style>
  <w:style w:type="paragraph" w:customStyle="1" w:styleId="ECVSectionDetails">
    <w:name w:val="_ECV_SectionDetails"/>
    <w:basedOn w:val="Normal"/>
    <w:rsid w:val="003840B7"/>
    <w:pPr>
      <w:widowControl w:val="0"/>
      <w:suppressLineNumbers/>
      <w:suppressAutoHyphens/>
      <w:autoSpaceDE w:val="0"/>
      <w:spacing w:before="28" w:after="0" w:line="100" w:lineRule="atLeast"/>
      <w:jc w:val="left"/>
    </w:pPr>
    <w:rPr>
      <w:rFonts w:ascii="Arial" w:eastAsia="SimSun" w:hAnsi="Arial" w:cs="Mangal"/>
      <w:color w:val="3F3A38"/>
      <w:spacing w:val="-6"/>
      <w:kern w:val="2"/>
      <w:sz w:val="18"/>
      <w:lang w:eastAsia="hi-IN" w:bidi="hi-IN"/>
    </w:rPr>
  </w:style>
  <w:style w:type="paragraph" w:customStyle="1" w:styleId="ECVSectionBullet">
    <w:name w:val="_ECV_SectionBullet"/>
    <w:basedOn w:val="Normal"/>
    <w:rsid w:val="003840B7"/>
    <w:pPr>
      <w:widowControl w:val="0"/>
      <w:suppressLineNumbers/>
      <w:suppressAutoHyphens/>
      <w:autoSpaceDE w:val="0"/>
      <w:spacing w:after="0" w:line="100" w:lineRule="atLeast"/>
      <w:jc w:val="left"/>
    </w:pPr>
    <w:rPr>
      <w:rFonts w:ascii="Arial" w:eastAsia="SimSun" w:hAnsi="Arial" w:cs="Mangal"/>
      <w:color w:val="3F3A38"/>
      <w:spacing w:val="-6"/>
      <w:kern w:val="2"/>
      <w:sz w:val="18"/>
      <w:lang w:eastAsia="hi-IN" w:bidi="hi-IN"/>
    </w:rPr>
  </w:style>
  <w:style w:type="character" w:customStyle="1" w:styleId="12">
    <w:name w:val="Неразрешено споменаване1"/>
    <w:basedOn w:val="DefaultParagraphFont"/>
    <w:uiPriority w:val="99"/>
    <w:semiHidden/>
    <w:unhideWhenUsed/>
    <w:rsid w:val="0050080F"/>
    <w:rPr>
      <w:color w:val="605E5C"/>
      <w:shd w:val="clear" w:color="auto" w:fill="E1DFDD"/>
    </w:rPr>
  </w:style>
  <w:style w:type="paragraph" w:customStyle="1" w:styleId="CharCharCharCharCarChar">
    <w:name w:val="Char Char Char Char Car Char"/>
    <w:aliases w:val="Char Char,Char Char Char Char Car Char Char1,Char Char Char1,16 Point Char1,Superscript 6 Point Char1,ftref Char1,Char Char Char1 Char Char Char"/>
    <w:basedOn w:val="Normal"/>
    <w:next w:val="Normal"/>
    <w:link w:val="FootnoteReference"/>
    <w:rsid w:val="001C15EF"/>
    <w:pPr>
      <w:spacing w:after="0" w:line="240" w:lineRule="exact"/>
      <w:jc w:val="left"/>
    </w:pPr>
    <w:rPr>
      <w:vertAlign w:val="superscript"/>
    </w:rPr>
  </w:style>
  <w:style w:type="character" w:styleId="FollowedHyperlink">
    <w:name w:val="FollowedHyperlink"/>
    <w:basedOn w:val="DefaultParagraphFont"/>
    <w:uiPriority w:val="99"/>
    <w:semiHidden/>
    <w:unhideWhenUsed/>
    <w:rsid w:val="004B32B0"/>
    <w:rPr>
      <w:color w:val="954F72" w:themeColor="followedHyperlink"/>
      <w:u w:val="single"/>
    </w:rPr>
  </w:style>
  <w:style w:type="table" w:customStyle="1" w:styleId="361">
    <w:name w:val="Таблица със списък 3 – акцентиране 61"/>
    <w:basedOn w:val="TableNormal"/>
    <w:uiPriority w:val="48"/>
    <w:rsid w:val="005A71E7"/>
    <w:pPr>
      <w:spacing w:after="0" w:line="240" w:lineRule="auto"/>
    </w:pPr>
    <w:rPr>
      <w:rFonts w:ascii="Calibri" w:eastAsia="Calibri" w:hAnsi="Calibri" w:cs="Times New Roman"/>
    </w:rPr>
    <w:tblPr>
      <w:tblStyleRowBandSize w:val="1"/>
      <w:tblStyleColBandSize w:val="1"/>
      <w:tblBorders>
        <w:top w:val="single" w:sz="4" w:space="0" w:color="70AD47"/>
        <w:left w:val="single" w:sz="4" w:space="0" w:color="70AD47"/>
        <w:bottom w:val="single" w:sz="4" w:space="0" w:color="70AD47"/>
        <w:right w:val="single" w:sz="4" w:space="0" w:color="70AD47"/>
      </w:tblBorders>
    </w:tblPr>
    <w:tblStylePr w:type="firstRow">
      <w:rPr>
        <w:b/>
        <w:bCs/>
        <w:color w:val="FFFFFF"/>
      </w:rPr>
      <w:tblPr/>
      <w:tcPr>
        <w:shd w:val="clear" w:color="auto" w:fill="70AD47"/>
      </w:tcPr>
    </w:tblStylePr>
    <w:tblStylePr w:type="lastRow">
      <w:rPr>
        <w:b/>
        <w:bCs/>
      </w:rPr>
      <w:tblPr/>
      <w:tcPr>
        <w:tcBorders>
          <w:top w:val="double" w:sz="4" w:space="0" w:color="70AD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table" w:customStyle="1" w:styleId="TableGrid1">
    <w:name w:val="Table Grid1"/>
    <w:basedOn w:val="TableNormal"/>
    <w:next w:val="TableGrid"/>
    <w:uiPriority w:val="59"/>
    <w:rsid w:val="006F35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2">
    <w:name w:val="List Bullet 2"/>
    <w:basedOn w:val="Normal"/>
    <w:uiPriority w:val="99"/>
    <w:semiHidden/>
    <w:unhideWhenUsed/>
    <w:rsid w:val="008630A1"/>
    <w:pPr>
      <w:numPr>
        <w:numId w:val="11"/>
      </w:numPr>
      <w:contextualSpacing/>
    </w:pPr>
  </w:style>
  <w:style w:type="paragraph" w:styleId="PlainText">
    <w:name w:val="Plain Text"/>
    <w:basedOn w:val="Normal"/>
    <w:link w:val="PlainTextChar"/>
    <w:uiPriority w:val="99"/>
    <w:semiHidden/>
    <w:unhideWhenUsed/>
    <w:rsid w:val="00C933A4"/>
    <w:pPr>
      <w:spacing w:after="0" w:line="240" w:lineRule="auto"/>
      <w:jc w:val="left"/>
    </w:pPr>
    <w:rPr>
      <w:rFonts w:ascii="Calibri" w:hAnsi="Calibri"/>
      <w:kern w:val="2"/>
      <w:szCs w:val="21"/>
      <w:lang w:val="en-US"/>
      <w14:ligatures w14:val="standardContextual"/>
    </w:rPr>
  </w:style>
  <w:style w:type="character" w:customStyle="1" w:styleId="PlainTextChar">
    <w:name w:val="Plain Text Char"/>
    <w:basedOn w:val="DefaultParagraphFont"/>
    <w:link w:val="PlainText"/>
    <w:uiPriority w:val="99"/>
    <w:semiHidden/>
    <w:rsid w:val="00C933A4"/>
    <w:rPr>
      <w:rFonts w:ascii="Calibri" w:hAnsi="Calibri"/>
      <w:kern w:val="2"/>
      <w:szCs w:val="21"/>
      <w:lang w:val="en-US"/>
      <w14:ligatures w14:val="standardContextual"/>
    </w:rPr>
  </w:style>
  <w:style w:type="character" w:customStyle="1" w:styleId="20">
    <w:name w:val="Неразрешено споменаване2"/>
    <w:basedOn w:val="DefaultParagraphFont"/>
    <w:uiPriority w:val="99"/>
    <w:semiHidden/>
    <w:unhideWhenUsed/>
    <w:rsid w:val="00C933A4"/>
    <w:rPr>
      <w:color w:val="605E5C"/>
      <w:shd w:val="clear" w:color="auto" w:fill="E1DFDD"/>
    </w:rPr>
  </w:style>
  <w:style w:type="character" w:styleId="Strong">
    <w:name w:val="Strong"/>
    <w:basedOn w:val="DefaultParagraphFont"/>
    <w:uiPriority w:val="22"/>
    <w:qFormat/>
    <w:rsid w:val="00F41160"/>
    <w:rPr>
      <w:b/>
      <w:bCs/>
    </w:rPr>
  </w:style>
  <w:style w:type="paragraph" w:customStyle="1" w:styleId="List1">
    <w:name w:val="List 1"/>
    <w:basedOn w:val="Normal"/>
    <w:link w:val="List1Char"/>
    <w:qFormat/>
    <w:rsid w:val="00125CC9"/>
    <w:pPr>
      <w:numPr>
        <w:numId w:val="12"/>
      </w:numPr>
      <w:spacing w:before="120" w:line="276" w:lineRule="auto"/>
      <w:jc w:val="left"/>
    </w:pPr>
    <w:rPr>
      <w:rFonts w:ascii="Calibri" w:eastAsia="WenQuanYi Micro Hei" w:hAnsi="Calibri" w:cs="Calibri"/>
      <w:kern w:val="1"/>
      <w:lang w:eastAsia="zh-CN" w:bidi="hi-IN"/>
    </w:rPr>
  </w:style>
  <w:style w:type="character" w:customStyle="1" w:styleId="List1Char">
    <w:name w:val="List 1 Char"/>
    <w:basedOn w:val="DefaultParagraphFont"/>
    <w:link w:val="List1"/>
    <w:rsid w:val="00125CC9"/>
    <w:rPr>
      <w:rFonts w:ascii="Calibri" w:eastAsia="WenQuanYi Micro Hei" w:hAnsi="Calibri" w:cs="Calibri"/>
      <w:kern w:val="1"/>
      <w:sz w:val="24"/>
      <w:szCs w:val="24"/>
      <w:lang w:eastAsia="zh-CN" w:bidi="hi-IN"/>
    </w:rPr>
  </w:style>
  <w:style w:type="table" w:customStyle="1" w:styleId="120">
    <w:name w:val="Мрежа в таблица12"/>
    <w:basedOn w:val="TableNormal"/>
    <w:next w:val="TableGrid"/>
    <w:uiPriority w:val="59"/>
    <w:unhideWhenUsed/>
    <w:rsid w:val="00BE31C2"/>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F8578D"/>
    <w:rPr>
      <w:color w:val="605E5C"/>
      <w:shd w:val="clear" w:color="auto" w:fill="E1DFDD"/>
    </w:rPr>
  </w:style>
  <w:style w:type="table" w:customStyle="1" w:styleId="351">
    <w:name w:val="Таблица със списък 3 – акцентиране 51"/>
    <w:basedOn w:val="TableNormal"/>
    <w:uiPriority w:val="48"/>
    <w:rsid w:val="003F70D7"/>
    <w:pPr>
      <w:autoSpaceDN w:val="0"/>
      <w:spacing w:after="0" w:line="240" w:lineRule="auto"/>
      <w:textAlignment w:val="baseline"/>
    </w:pPr>
    <w:rPr>
      <w:rFonts w:ascii="Calibri" w:eastAsia="Calibri" w:hAnsi="Calibri" w:cs="Times New Roman"/>
      <w:lang w:val="en-US"/>
    </w:r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styleId="Revision">
    <w:name w:val="Revision"/>
    <w:hidden/>
    <w:uiPriority w:val="99"/>
    <w:semiHidden/>
    <w:rsid w:val="009825B4"/>
    <w:pPr>
      <w:spacing w:after="0" w:line="240" w:lineRule="auto"/>
    </w:pPr>
  </w:style>
  <w:style w:type="paragraph" w:customStyle="1" w:styleId="text">
    <w:name w:val="text"/>
    <w:basedOn w:val="Normal"/>
    <w:qFormat/>
    <w:rsid w:val="007A6A6E"/>
    <w:pPr>
      <w:suppressAutoHyphens/>
      <w:spacing w:before="120" w:line="276" w:lineRule="auto"/>
    </w:pPr>
    <w:rPr>
      <w:rFonts w:ascii="Times New Roman" w:eastAsia="Calibri" w:hAnsi="Times New Roman" w:cs="Times New Roman"/>
      <w:lang w:eastAsia="ar-SA"/>
    </w:rPr>
  </w:style>
  <w:style w:type="character" w:styleId="IntenseReference">
    <w:name w:val="Intense Reference"/>
    <w:basedOn w:val="DefaultParagraphFont"/>
    <w:uiPriority w:val="32"/>
    <w:qFormat/>
    <w:rsid w:val="003A0DAB"/>
    <w:rPr>
      <w:b/>
      <w:bCs/>
      <w:smallCaps/>
      <w:color w:val="5B9BD5" w:themeColor="accent1"/>
      <w:spacing w:val="5"/>
    </w:rPr>
  </w:style>
  <w:style w:type="paragraph" w:customStyle="1" w:styleId="stitle-article-norm">
    <w:name w:val="stitle-article-norm"/>
    <w:basedOn w:val="Normal"/>
    <w:rsid w:val="00AC1881"/>
    <w:pPr>
      <w:spacing w:before="100" w:beforeAutospacing="1" w:after="100" w:afterAutospacing="1" w:line="240" w:lineRule="auto"/>
      <w:jc w:val="left"/>
    </w:pPr>
    <w:rPr>
      <w:rFonts w:ascii="Times New Roman" w:eastAsia="Times New Roman" w:hAnsi="Times New Roman" w:cs="Times New Roman"/>
      <w:lang w:eastAsia="bg-BG"/>
    </w:rPr>
  </w:style>
  <w:style w:type="character" w:customStyle="1" w:styleId="no-parag">
    <w:name w:val="no-parag"/>
    <w:basedOn w:val="DefaultParagraphFont"/>
    <w:rsid w:val="00AC1881"/>
  </w:style>
  <w:style w:type="paragraph" w:customStyle="1" w:styleId="norm">
    <w:name w:val="norm"/>
    <w:basedOn w:val="Normal"/>
    <w:rsid w:val="00AC1881"/>
    <w:pPr>
      <w:spacing w:before="100" w:beforeAutospacing="1" w:after="100" w:afterAutospacing="1" w:line="240" w:lineRule="auto"/>
      <w:jc w:val="left"/>
    </w:pPr>
    <w:rPr>
      <w:rFonts w:ascii="Times New Roman" w:eastAsia="Times New Roman" w:hAnsi="Times New Roman" w:cs="Times New Roman"/>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645394">
      <w:bodyDiv w:val="1"/>
      <w:marLeft w:val="0"/>
      <w:marRight w:val="0"/>
      <w:marTop w:val="0"/>
      <w:marBottom w:val="0"/>
      <w:divBdr>
        <w:top w:val="none" w:sz="0" w:space="0" w:color="auto"/>
        <w:left w:val="none" w:sz="0" w:space="0" w:color="auto"/>
        <w:bottom w:val="none" w:sz="0" w:space="0" w:color="auto"/>
        <w:right w:val="none" w:sz="0" w:space="0" w:color="auto"/>
      </w:divBdr>
    </w:div>
    <w:div w:id="112140935">
      <w:bodyDiv w:val="1"/>
      <w:marLeft w:val="0"/>
      <w:marRight w:val="0"/>
      <w:marTop w:val="0"/>
      <w:marBottom w:val="0"/>
      <w:divBdr>
        <w:top w:val="none" w:sz="0" w:space="0" w:color="auto"/>
        <w:left w:val="none" w:sz="0" w:space="0" w:color="auto"/>
        <w:bottom w:val="none" w:sz="0" w:space="0" w:color="auto"/>
        <w:right w:val="none" w:sz="0" w:space="0" w:color="auto"/>
      </w:divBdr>
    </w:div>
    <w:div w:id="157497701">
      <w:bodyDiv w:val="1"/>
      <w:marLeft w:val="0"/>
      <w:marRight w:val="0"/>
      <w:marTop w:val="0"/>
      <w:marBottom w:val="0"/>
      <w:divBdr>
        <w:top w:val="none" w:sz="0" w:space="0" w:color="auto"/>
        <w:left w:val="none" w:sz="0" w:space="0" w:color="auto"/>
        <w:bottom w:val="none" w:sz="0" w:space="0" w:color="auto"/>
        <w:right w:val="none" w:sz="0" w:space="0" w:color="auto"/>
      </w:divBdr>
    </w:div>
    <w:div w:id="201864005">
      <w:bodyDiv w:val="1"/>
      <w:marLeft w:val="0"/>
      <w:marRight w:val="0"/>
      <w:marTop w:val="0"/>
      <w:marBottom w:val="0"/>
      <w:divBdr>
        <w:top w:val="none" w:sz="0" w:space="0" w:color="auto"/>
        <w:left w:val="none" w:sz="0" w:space="0" w:color="auto"/>
        <w:bottom w:val="none" w:sz="0" w:space="0" w:color="auto"/>
        <w:right w:val="none" w:sz="0" w:space="0" w:color="auto"/>
      </w:divBdr>
    </w:div>
    <w:div w:id="321741097">
      <w:bodyDiv w:val="1"/>
      <w:marLeft w:val="0"/>
      <w:marRight w:val="0"/>
      <w:marTop w:val="0"/>
      <w:marBottom w:val="0"/>
      <w:divBdr>
        <w:top w:val="none" w:sz="0" w:space="0" w:color="auto"/>
        <w:left w:val="none" w:sz="0" w:space="0" w:color="auto"/>
        <w:bottom w:val="none" w:sz="0" w:space="0" w:color="auto"/>
        <w:right w:val="none" w:sz="0" w:space="0" w:color="auto"/>
      </w:divBdr>
    </w:div>
    <w:div w:id="343481290">
      <w:bodyDiv w:val="1"/>
      <w:marLeft w:val="0"/>
      <w:marRight w:val="0"/>
      <w:marTop w:val="0"/>
      <w:marBottom w:val="0"/>
      <w:divBdr>
        <w:top w:val="none" w:sz="0" w:space="0" w:color="auto"/>
        <w:left w:val="none" w:sz="0" w:space="0" w:color="auto"/>
        <w:bottom w:val="none" w:sz="0" w:space="0" w:color="auto"/>
        <w:right w:val="none" w:sz="0" w:space="0" w:color="auto"/>
      </w:divBdr>
    </w:div>
    <w:div w:id="344013811">
      <w:bodyDiv w:val="1"/>
      <w:marLeft w:val="0"/>
      <w:marRight w:val="0"/>
      <w:marTop w:val="0"/>
      <w:marBottom w:val="0"/>
      <w:divBdr>
        <w:top w:val="none" w:sz="0" w:space="0" w:color="auto"/>
        <w:left w:val="none" w:sz="0" w:space="0" w:color="auto"/>
        <w:bottom w:val="none" w:sz="0" w:space="0" w:color="auto"/>
        <w:right w:val="none" w:sz="0" w:space="0" w:color="auto"/>
      </w:divBdr>
    </w:div>
    <w:div w:id="371080504">
      <w:bodyDiv w:val="1"/>
      <w:marLeft w:val="0"/>
      <w:marRight w:val="0"/>
      <w:marTop w:val="0"/>
      <w:marBottom w:val="0"/>
      <w:divBdr>
        <w:top w:val="none" w:sz="0" w:space="0" w:color="auto"/>
        <w:left w:val="none" w:sz="0" w:space="0" w:color="auto"/>
        <w:bottom w:val="none" w:sz="0" w:space="0" w:color="auto"/>
        <w:right w:val="none" w:sz="0" w:space="0" w:color="auto"/>
      </w:divBdr>
    </w:div>
    <w:div w:id="408424843">
      <w:bodyDiv w:val="1"/>
      <w:marLeft w:val="0"/>
      <w:marRight w:val="0"/>
      <w:marTop w:val="0"/>
      <w:marBottom w:val="0"/>
      <w:divBdr>
        <w:top w:val="none" w:sz="0" w:space="0" w:color="auto"/>
        <w:left w:val="none" w:sz="0" w:space="0" w:color="auto"/>
        <w:bottom w:val="none" w:sz="0" w:space="0" w:color="auto"/>
        <w:right w:val="none" w:sz="0" w:space="0" w:color="auto"/>
      </w:divBdr>
    </w:div>
    <w:div w:id="495877773">
      <w:bodyDiv w:val="1"/>
      <w:marLeft w:val="0"/>
      <w:marRight w:val="0"/>
      <w:marTop w:val="0"/>
      <w:marBottom w:val="0"/>
      <w:divBdr>
        <w:top w:val="none" w:sz="0" w:space="0" w:color="auto"/>
        <w:left w:val="none" w:sz="0" w:space="0" w:color="auto"/>
        <w:bottom w:val="none" w:sz="0" w:space="0" w:color="auto"/>
        <w:right w:val="none" w:sz="0" w:space="0" w:color="auto"/>
      </w:divBdr>
    </w:div>
    <w:div w:id="561214597">
      <w:bodyDiv w:val="1"/>
      <w:marLeft w:val="0"/>
      <w:marRight w:val="0"/>
      <w:marTop w:val="0"/>
      <w:marBottom w:val="0"/>
      <w:divBdr>
        <w:top w:val="none" w:sz="0" w:space="0" w:color="auto"/>
        <w:left w:val="none" w:sz="0" w:space="0" w:color="auto"/>
        <w:bottom w:val="none" w:sz="0" w:space="0" w:color="auto"/>
        <w:right w:val="none" w:sz="0" w:space="0" w:color="auto"/>
      </w:divBdr>
    </w:div>
    <w:div w:id="624433324">
      <w:bodyDiv w:val="1"/>
      <w:marLeft w:val="0"/>
      <w:marRight w:val="0"/>
      <w:marTop w:val="0"/>
      <w:marBottom w:val="0"/>
      <w:divBdr>
        <w:top w:val="none" w:sz="0" w:space="0" w:color="auto"/>
        <w:left w:val="none" w:sz="0" w:space="0" w:color="auto"/>
        <w:bottom w:val="none" w:sz="0" w:space="0" w:color="auto"/>
        <w:right w:val="none" w:sz="0" w:space="0" w:color="auto"/>
      </w:divBdr>
    </w:div>
    <w:div w:id="660348382">
      <w:bodyDiv w:val="1"/>
      <w:marLeft w:val="0"/>
      <w:marRight w:val="0"/>
      <w:marTop w:val="0"/>
      <w:marBottom w:val="0"/>
      <w:divBdr>
        <w:top w:val="none" w:sz="0" w:space="0" w:color="auto"/>
        <w:left w:val="none" w:sz="0" w:space="0" w:color="auto"/>
        <w:bottom w:val="none" w:sz="0" w:space="0" w:color="auto"/>
        <w:right w:val="none" w:sz="0" w:space="0" w:color="auto"/>
      </w:divBdr>
    </w:div>
    <w:div w:id="672299681">
      <w:bodyDiv w:val="1"/>
      <w:marLeft w:val="0"/>
      <w:marRight w:val="0"/>
      <w:marTop w:val="0"/>
      <w:marBottom w:val="0"/>
      <w:divBdr>
        <w:top w:val="none" w:sz="0" w:space="0" w:color="auto"/>
        <w:left w:val="none" w:sz="0" w:space="0" w:color="auto"/>
        <w:bottom w:val="none" w:sz="0" w:space="0" w:color="auto"/>
        <w:right w:val="none" w:sz="0" w:space="0" w:color="auto"/>
      </w:divBdr>
    </w:div>
    <w:div w:id="674068282">
      <w:bodyDiv w:val="1"/>
      <w:marLeft w:val="0"/>
      <w:marRight w:val="0"/>
      <w:marTop w:val="0"/>
      <w:marBottom w:val="0"/>
      <w:divBdr>
        <w:top w:val="none" w:sz="0" w:space="0" w:color="auto"/>
        <w:left w:val="none" w:sz="0" w:space="0" w:color="auto"/>
        <w:bottom w:val="none" w:sz="0" w:space="0" w:color="auto"/>
        <w:right w:val="none" w:sz="0" w:space="0" w:color="auto"/>
      </w:divBdr>
    </w:div>
    <w:div w:id="676422708">
      <w:bodyDiv w:val="1"/>
      <w:marLeft w:val="0"/>
      <w:marRight w:val="0"/>
      <w:marTop w:val="0"/>
      <w:marBottom w:val="0"/>
      <w:divBdr>
        <w:top w:val="none" w:sz="0" w:space="0" w:color="auto"/>
        <w:left w:val="none" w:sz="0" w:space="0" w:color="auto"/>
        <w:bottom w:val="none" w:sz="0" w:space="0" w:color="auto"/>
        <w:right w:val="none" w:sz="0" w:space="0" w:color="auto"/>
      </w:divBdr>
    </w:div>
    <w:div w:id="725491823">
      <w:bodyDiv w:val="1"/>
      <w:marLeft w:val="0"/>
      <w:marRight w:val="0"/>
      <w:marTop w:val="0"/>
      <w:marBottom w:val="0"/>
      <w:divBdr>
        <w:top w:val="none" w:sz="0" w:space="0" w:color="auto"/>
        <w:left w:val="none" w:sz="0" w:space="0" w:color="auto"/>
        <w:bottom w:val="none" w:sz="0" w:space="0" w:color="auto"/>
        <w:right w:val="none" w:sz="0" w:space="0" w:color="auto"/>
      </w:divBdr>
    </w:div>
    <w:div w:id="727849202">
      <w:bodyDiv w:val="1"/>
      <w:marLeft w:val="0"/>
      <w:marRight w:val="0"/>
      <w:marTop w:val="0"/>
      <w:marBottom w:val="0"/>
      <w:divBdr>
        <w:top w:val="none" w:sz="0" w:space="0" w:color="auto"/>
        <w:left w:val="none" w:sz="0" w:space="0" w:color="auto"/>
        <w:bottom w:val="none" w:sz="0" w:space="0" w:color="auto"/>
        <w:right w:val="none" w:sz="0" w:space="0" w:color="auto"/>
      </w:divBdr>
    </w:div>
    <w:div w:id="776297335">
      <w:bodyDiv w:val="1"/>
      <w:marLeft w:val="0"/>
      <w:marRight w:val="0"/>
      <w:marTop w:val="0"/>
      <w:marBottom w:val="0"/>
      <w:divBdr>
        <w:top w:val="none" w:sz="0" w:space="0" w:color="auto"/>
        <w:left w:val="none" w:sz="0" w:space="0" w:color="auto"/>
        <w:bottom w:val="none" w:sz="0" w:space="0" w:color="auto"/>
        <w:right w:val="none" w:sz="0" w:space="0" w:color="auto"/>
      </w:divBdr>
    </w:div>
    <w:div w:id="777484556">
      <w:bodyDiv w:val="1"/>
      <w:marLeft w:val="0"/>
      <w:marRight w:val="0"/>
      <w:marTop w:val="0"/>
      <w:marBottom w:val="0"/>
      <w:divBdr>
        <w:top w:val="none" w:sz="0" w:space="0" w:color="auto"/>
        <w:left w:val="none" w:sz="0" w:space="0" w:color="auto"/>
        <w:bottom w:val="none" w:sz="0" w:space="0" w:color="auto"/>
        <w:right w:val="none" w:sz="0" w:space="0" w:color="auto"/>
      </w:divBdr>
    </w:div>
    <w:div w:id="787509581">
      <w:bodyDiv w:val="1"/>
      <w:marLeft w:val="0"/>
      <w:marRight w:val="0"/>
      <w:marTop w:val="0"/>
      <w:marBottom w:val="0"/>
      <w:divBdr>
        <w:top w:val="none" w:sz="0" w:space="0" w:color="auto"/>
        <w:left w:val="none" w:sz="0" w:space="0" w:color="auto"/>
        <w:bottom w:val="none" w:sz="0" w:space="0" w:color="auto"/>
        <w:right w:val="none" w:sz="0" w:space="0" w:color="auto"/>
      </w:divBdr>
    </w:div>
    <w:div w:id="812793097">
      <w:bodyDiv w:val="1"/>
      <w:marLeft w:val="0"/>
      <w:marRight w:val="0"/>
      <w:marTop w:val="0"/>
      <w:marBottom w:val="0"/>
      <w:divBdr>
        <w:top w:val="none" w:sz="0" w:space="0" w:color="auto"/>
        <w:left w:val="none" w:sz="0" w:space="0" w:color="auto"/>
        <w:bottom w:val="none" w:sz="0" w:space="0" w:color="auto"/>
        <w:right w:val="none" w:sz="0" w:space="0" w:color="auto"/>
      </w:divBdr>
    </w:div>
    <w:div w:id="812986012">
      <w:bodyDiv w:val="1"/>
      <w:marLeft w:val="0"/>
      <w:marRight w:val="0"/>
      <w:marTop w:val="0"/>
      <w:marBottom w:val="0"/>
      <w:divBdr>
        <w:top w:val="none" w:sz="0" w:space="0" w:color="auto"/>
        <w:left w:val="none" w:sz="0" w:space="0" w:color="auto"/>
        <w:bottom w:val="none" w:sz="0" w:space="0" w:color="auto"/>
        <w:right w:val="none" w:sz="0" w:space="0" w:color="auto"/>
      </w:divBdr>
    </w:div>
    <w:div w:id="908031190">
      <w:bodyDiv w:val="1"/>
      <w:marLeft w:val="0"/>
      <w:marRight w:val="0"/>
      <w:marTop w:val="0"/>
      <w:marBottom w:val="0"/>
      <w:divBdr>
        <w:top w:val="none" w:sz="0" w:space="0" w:color="auto"/>
        <w:left w:val="none" w:sz="0" w:space="0" w:color="auto"/>
        <w:bottom w:val="none" w:sz="0" w:space="0" w:color="auto"/>
        <w:right w:val="none" w:sz="0" w:space="0" w:color="auto"/>
      </w:divBdr>
    </w:div>
    <w:div w:id="964388594">
      <w:bodyDiv w:val="1"/>
      <w:marLeft w:val="0"/>
      <w:marRight w:val="0"/>
      <w:marTop w:val="0"/>
      <w:marBottom w:val="0"/>
      <w:divBdr>
        <w:top w:val="none" w:sz="0" w:space="0" w:color="auto"/>
        <w:left w:val="none" w:sz="0" w:space="0" w:color="auto"/>
        <w:bottom w:val="none" w:sz="0" w:space="0" w:color="auto"/>
        <w:right w:val="none" w:sz="0" w:space="0" w:color="auto"/>
      </w:divBdr>
    </w:div>
    <w:div w:id="982732513">
      <w:bodyDiv w:val="1"/>
      <w:marLeft w:val="0"/>
      <w:marRight w:val="0"/>
      <w:marTop w:val="0"/>
      <w:marBottom w:val="0"/>
      <w:divBdr>
        <w:top w:val="none" w:sz="0" w:space="0" w:color="auto"/>
        <w:left w:val="none" w:sz="0" w:space="0" w:color="auto"/>
        <w:bottom w:val="none" w:sz="0" w:space="0" w:color="auto"/>
        <w:right w:val="none" w:sz="0" w:space="0" w:color="auto"/>
      </w:divBdr>
    </w:div>
    <w:div w:id="992879550">
      <w:bodyDiv w:val="1"/>
      <w:marLeft w:val="0"/>
      <w:marRight w:val="0"/>
      <w:marTop w:val="0"/>
      <w:marBottom w:val="0"/>
      <w:divBdr>
        <w:top w:val="none" w:sz="0" w:space="0" w:color="auto"/>
        <w:left w:val="none" w:sz="0" w:space="0" w:color="auto"/>
        <w:bottom w:val="none" w:sz="0" w:space="0" w:color="auto"/>
        <w:right w:val="none" w:sz="0" w:space="0" w:color="auto"/>
      </w:divBdr>
    </w:div>
    <w:div w:id="1107772506">
      <w:bodyDiv w:val="1"/>
      <w:marLeft w:val="0"/>
      <w:marRight w:val="0"/>
      <w:marTop w:val="0"/>
      <w:marBottom w:val="0"/>
      <w:divBdr>
        <w:top w:val="none" w:sz="0" w:space="0" w:color="auto"/>
        <w:left w:val="none" w:sz="0" w:space="0" w:color="auto"/>
        <w:bottom w:val="none" w:sz="0" w:space="0" w:color="auto"/>
        <w:right w:val="none" w:sz="0" w:space="0" w:color="auto"/>
      </w:divBdr>
    </w:div>
    <w:div w:id="1118181342">
      <w:bodyDiv w:val="1"/>
      <w:marLeft w:val="0"/>
      <w:marRight w:val="0"/>
      <w:marTop w:val="0"/>
      <w:marBottom w:val="0"/>
      <w:divBdr>
        <w:top w:val="none" w:sz="0" w:space="0" w:color="auto"/>
        <w:left w:val="none" w:sz="0" w:space="0" w:color="auto"/>
        <w:bottom w:val="none" w:sz="0" w:space="0" w:color="auto"/>
        <w:right w:val="none" w:sz="0" w:space="0" w:color="auto"/>
      </w:divBdr>
    </w:div>
    <w:div w:id="1133643676">
      <w:bodyDiv w:val="1"/>
      <w:marLeft w:val="0"/>
      <w:marRight w:val="0"/>
      <w:marTop w:val="0"/>
      <w:marBottom w:val="0"/>
      <w:divBdr>
        <w:top w:val="none" w:sz="0" w:space="0" w:color="auto"/>
        <w:left w:val="none" w:sz="0" w:space="0" w:color="auto"/>
        <w:bottom w:val="none" w:sz="0" w:space="0" w:color="auto"/>
        <w:right w:val="none" w:sz="0" w:space="0" w:color="auto"/>
      </w:divBdr>
    </w:div>
    <w:div w:id="1163593699">
      <w:bodyDiv w:val="1"/>
      <w:marLeft w:val="0"/>
      <w:marRight w:val="0"/>
      <w:marTop w:val="0"/>
      <w:marBottom w:val="0"/>
      <w:divBdr>
        <w:top w:val="none" w:sz="0" w:space="0" w:color="auto"/>
        <w:left w:val="none" w:sz="0" w:space="0" w:color="auto"/>
        <w:bottom w:val="none" w:sz="0" w:space="0" w:color="auto"/>
        <w:right w:val="none" w:sz="0" w:space="0" w:color="auto"/>
      </w:divBdr>
    </w:div>
    <w:div w:id="1211577213">
      <w:bodyDiv w:val="1"/>
      <w:marLeft w:val="0"/>
      <w:marRight w:val="0"/>
      <w:marTop w:val="0"/>
      <w:marBottom w:val="0"/>
      <w:divBdr>
        <w:top w:val="none" w:sz="0" w:space="0" w:color="auto"/>
        <w:left w:val="none" w:sz="0" w:space="0" w:color="auto"/>
        <w:bottom w:val="none" w:sz="0" w:space="0" w:color="auto"/>
        <w:right w:val="none" w:sz="0" w:space="0" w:color="auto"/>
      </w:divBdr>
    </w:div>
    <w:div w:id="1230993264">
      <w:bodyDiv w:val="1"/>
      <w:marLeft w:val="0"/>
      <w:marRight w:val="0"/>
      <w:marTop w:val="0"/>
      <w:marBottom w:val="0"/>
      <w:divBdr>
        <w:top w:val="none" w:sz="0" w:space="0" w:color="auto"/>
        <w:left w:val="none" w:sz="0" w:space="0" w:color="auto"/>
        <w:bottom w:val="none" w:sz="0" w:space="0" w:color="auto"/>
        <w:right w:val="none" w:sz="0" w:space="0" w:color="auto"/>
      </w:divBdr>
    </w:div>
    <w:div w:id="1256862921">
      <w:bodyDiv w:val="1"/>
      <w:marLeft w:val="0"/>
      <w:marRight w:val="0"/>
      <w:marTop w:val="0"/>
      <w:marBottom w:val="0"/>
      <w:divBdr>
        <w:top w:val="none" w:sz="0" w:space="0" w:color="auto"/>
        <w:left w:val="none" w:sz="0" w:space="0" w:color="auto"/>
        <w:bottom w:val="none" w:sz="0" w:space="0" w:color="auto"/>
        <w:right w:val="none" w:sz="0" w:space="0" w:color="auto"/>
      </w:divBdr>
    </w:div>
    <w:div w:id="1275211161">
      <w:bodyDiv w:val="1"/>
      <w:marLeft w:val="0"/>
      <w:marRight w:val="0"/>
      <w:marTop w:val="0"/>
      <w:marBottom w:val="0"/>
      <w:divBdr>
        <w:top w:val="none" w:sz="0" w:space="0" w:color="auto"/>
        <w:left w:val="none" w:sz="0" w:space="0" w:color="auto"/>
        <w:bottom w:val="none" w:sz="0" w:space="0" w:color="auto"/>
        <w:right w:val="none" w:sz="0" w:space="0" w:color="auto"/>
      </w:divBdr>
    </w:div>
    <w:div w:id="1298799241">
      <w:bodyDiv w:val="1"/>
      <w:marLeft w:val="0"/>
      <w:marRight w:val="0"/>
      <w:marTop w:val="0"/>
      <w:marBottom w:val="0"/>
      <w:divBdr>
        <w:top w:val="none" w:sz="0" w:space="0" w:color="auto"/>
        <w:left w:val="none" w:sz="0" w:space="0" w:color="auto"/>
        <w:bottom w:val="none" w:sz="0" w:space="0" w:color="auto"/>
        <w:right w:val="none" w:sz="0" w:space="0" w:color="auto"/>
      </w:divBdr>
    </w:div>
    <w:div w:id="1316913066">
      <w:bodyDiv w:val="1"/>
      <w:marLeft w:val="0"/>
      <w:marRight w:val="0"/>
      <w:marTop w:val="0"/>
      <w:marBottom w:val="0"/>
      <w:divBdr>
        <w:top w:val="none" w:sz="0" w:space="0" w:color="auto"/>
        <w:left w:val="none" w:sz="0" w:space="0" w:color="auto"/>
        <w:bottom w:val="none" w:sz="0" w:space="0" w:color="auto"/>
        <w:right w:val="none" w:sz="0" w:space="0" w:color="auto"/>
      </w:divBdr>
    </w:div>
    <w:div w:id="1450926902">
      <w:bodyDiv w:val="1"/>
      <w:marLeft w:val="0"/>
      <w:marRight w:val="0"/>
      <w:marTop w:val="0"/>
      <w:marBottom w:val="0"/>
      <w:divBdr>
        <w:top w:val="none" w:sz="0" w:space="0" w:color="auto"/>
        <w:left w:val="none" w:sz="0" w:space="0" w:color="auto"/>
        <w:bottom w:val="none" w:sz="0" w:space="0" w:color="auto"/>
        <w:right w:val="none" w:sz="0" w:space="0" w:color="auto"/>
      </w:divBdr>
    </w:div>
    <w:div w:id="1529639975">
      <w:bodyDiv w:val="1"/>
      <w:marLeft w:val="0"/>
      <w:marRight w:val="0"/>
      <w:marTop w:val="0"/>
      <w:marBottom w:val="0"/>
      <w:divBdr>
        <w:top w:val="none" w:sz="0" w:space="0" w:color="auto"/>
        <w:left w:val="none" w:sz="0" w:space="0" w:color="auto"/>
        <w:bottom w:val="none" w:sz="0" w:space="0" w:color="auto"/>
        <w:right w:val="none" w:sz="0" w:space="0" w:color="auto"/>
      </w:divBdr>
    </w:div>
    <w:div w:id="1545482199">
      <w:bodyDiv w:val="1"/>
      <w:marLeft w:val="0"/>
      <w:marRight w:val="0"/>
      <w:marTop w:val="0"/>
      <w:marBottom w:val="0"/>
      <w:divBdr>
        <w:top w:val="none" w:sz="0" w:space="0" w:color="auto"/>
        <w:left w:val="none" w:sz="0" w:space="0" w:color="auto"/>
        <w:bottom w:val="none" w:sz="0" w:space="0" w:color="auto"/>
        <w:right w:val="none" w:sz="0" w:space="0" w:color="auto"/>
      </w:divBdr>
    </w:div>
    <w:div w:id="1549101718">
      <w:bodyDiv w:val="1"/>
      <w:marLeft w:val="0"/>
      <w:marRight w:val="0"/>
      <w:marTop w:val="0"/>
      <w:marBottom w:val="0"/>
      <w:divBdr>
        <w:top w:val="none" w:sz="0" w:space="0" w:color="auto"/>
        <w:left w:val="none" w:sz="0" w:space="0" w:color="auto"/>
        <w:bottom w:val="none" w:sz="0" w:space="0" w:color="auto"/>
        <w:right w:val="none" w:sz="0" w:space="0" w:color="auto"/>
      </w:divBdr>
    </w:div>
    <w:div w:id="1549411820">
      <w:bodyDiv w:val="1"/>
      <w:marLeft w:val="0"/>
      <w:marRight w:val="0"/>
      <w:marTop w:val="0"/>
      <w:marBottom w:val="0"/>
      <w:divBdr>
        <w:top w:val="none" w:sz="0" w:space="0" w:color="auto"/>
        <w:left w:val="none" w:sz="0" w:space="0" w:color="auto"/>
        <w:bottom w:val="none" w:sz="0" w:space="0" w:color="auto"/>
        <w:right w:val="none" w:sz="0" w:space="0" w:color="auto"/>
      </w:divBdr>
    </w:div>
    <w:div w:id="1566909655">
      <w:bodyDiv w:val="1"/>
      <w:marLeft w:val="0"/>
      <w:marRight w:val="0"/>
      <w:marTop w:val="0"/>
      <w:marBottom w:val="0"/>
      <w:divBdr>
        <w:top w:val="none" w:sz="0" w:space="0" w:color="auto"/>
        <w:left w:val="none" w:sz="0" w:space="0" w:color="auto"/>
        <w:bottom w:val="none" w:sz="0" w:space="0" w:color="auto"/>
        <w:right w:val="none" w:sz="0" w:space="0" w:color="auto"/>
      </w:divBdr>
    </w:div>
    <w:div w:id="1618828993">
      <w:bodyDiv w:val="1"/>
      <w:marLeft w:val="0"/>
      <w:marRight w:val="0"/>
      <w:marTop w:val="0"/>
      <w:marBottom w:val="0"/>
      <w:divBdr>
        <w:top w:val="none" w:sz="0" w:space="0" w:color="auto"/>
        <w:left w:val="none" w:sz="0" w:space="0" w:color="auto"/>
        <w:bottom w:val="none" w:sz="0" w:space="0" w:color="auto"/>
        <w:right w:val="none" w:sz="0" w:space="0" w:color="auto"/>
      </w:divBdr>
    </w:div>
    <w:div w:id="1625161950">
      <w:bodyDiv w:val="1"/>
      <w:marLeft w:val="0"/>
      <w:marRight w:val="0"/>
      <w:marTop w:val="0"/>
      <w:marBottom w:val="0"/>
      <w:divBdr>
        <w:top w:val="none" w:sz="0" w:space="0" w:color="auto"/>
        <w:left w:val="none" w:sz="0" w:space="0" w:color="auto"/>
        <w:bottom w:val="none" w:sz="0" w:space="0" w:color="auto"/>
        <w:right w:val="none" w:sz="0" w:space="0" w:color="auto"/>
      </w:divBdr>
    </w:div>
    <w:div w:id="1638339923">
      <w:bodyDiv w:val="1"/>
      <w:marLeft w:val="0"/>
      <w:marRight w:val="0"/>
      <w:marTop w:val="0"/>
      <w:marBottom w:val="0"/>
      <w:divBdr>
        <w:top w:val="none" w:sz="0" w:space="0" w:color="auto"/>
        <w:left w:val="none" w:sz="0" w:space="0" w:color="auto"/>
        <w:bottom w:val="none" w:sz="0" w:space="0" w:color="auto"/>
        <w:right w:val="none" w:sz="0" w:space="0" w:color="auto"/>
      </w:divBdr>
    </w:div>
    <w:div w:id="1656109245">
      <w:bodyDiv w:val="1"/>
      <w:marLeft w:val="0"/>
      <w:marRight w:val="0"/>
      <w:marTop w:val="0"/>
      <w:marBottom w:val="0"/>
      <w:divBdr>
        <w:top w:val="none" w:sz="0" w:space="0" w:color="auto"/>
        <w:left w:val="none" w:sz="0" w:space="0" w:color="auto"/>
        <w:bottom w:val="none" w:sz="0" w:space="0" w:color="auto"/>
        <w:right w:val="none" w:sz="0" w:space="0" w:color="auto"/>
      </w:divBdr>
    </w:div>
    <w:div w:id="1727296169">
      <w:bodyDiv w:val="1"/>
      <w:marLeft w:val="0"/>
      <w:marRight w:val="0"/>
      <w:marTop w:val="0"/>
      <w:marBottom w:val="0"/>
      <w:divBdr>
        <w:top w:val="none" w:sz="0" w:space="0" w:color="auto"/>
        <w:left w:val="none" w:sz="0" w:space="0" w:color="auto"/>
        <w:bottom w:val="none" w:sz="0" w:space="0" w:color="auto"/>
        <w:right w:val="none" w:sz="0" w:space="0" w:color="auto"/>
      </w:divBdr>
    </w:div>
    <w:div w:id="1746880346">
      <w:bodyDiv w:val="1"/>
      <w:marLeft w:val="0"/>
      <w:marRight w:val="0"/>
      <w:marTop w:val="0"/>
      <w:marBottom w:val="0"/>
      <w:divBdr>
        <w:top w:val="none" w:sz="0" w:space="0" w:color="auto"/>
        <w:left w:val="none" w:sz="0" w:space="0" w:color="auto"/>
        <w:bottom w:val="none" w:sz="0" w:space="0" w:color="auto"/>
        <w:right w:val="none" w:sz="0" w:space="0" w:color="auto"/>
      </w:divBdr>
    </w:div>
    <w:div w:id="1823811378">
      <w:bodyDiv w:val="1"/>
      <w:marLeft w:val="0"/>
      <w:marRight w:val="0"/>
      <w:marTop w:val="0"/>
      <w:marBottom w:val="0"/>
      <w:divBdr>
        <w:top w:val="none" w:sz="0" w:space="0" w:color="auto"/>
        <w:left w:val="none" w:sz="0" w:space="0" w:color="auto"/>
        <w:bottom w:val="none" w:sz="0" w:space="0" w:color="auto"/>
        <w:right w:val="none" w:sz="0" w:space="0" w:color="auto"/>
      </w:divBdr>
    </w:div>
    <w:div w:id="1861778908">
      <w:bodyDiv w:val="1"/>
      <w:marLeft w:val="0"/>
      <w:marRight w:val="0"/>
      <w:marTop w:val="0"/>
      <w:marBottom w:val="0"/>
      <w:divBdr>
        <w:top w:val="none" w:sz="0" w:space="0" w:color="auto"/>
        <w:left w:val="none" w:sz="0" w:space="0" w:color="auto"/>
        <w:bottom w:val="none" w:sz="0" w:space="0" w:color="auto"/>
        <w:right w:val="none" w:sz="0" w:space="0" w:color="auto"/>
      </w:divBdr>
    </w:div>
    <w:div w:id="1933123092">
      <w:bodyDiv w:val="1"/>
      <w:marLeft w:val="0"/>
      <w:marRight w:val="0"/>
      <w:marTop w:val="0"/>
      <w:marBottom w:val="0"/>
      <w:divBdr>
        <w:top w:val="none" w:sz="0" w:space="0" w:color="auto"/>
        <w:left w:val="none" w:sz="0" w:space="0" w:color="auto"/>
        <w:bottom w:val="none" w:sz="0" w:space="0" w:color="auto"/>
        <w:right w:val="none" w:sz="0" w:space="0" w:color="auto"/>
      </w:divBdr>
    </w:div>
    <w:div w:id="2044791448">
      <w:bodyDiv w:val="1"/>
      <w:marLeft w:val="0"/>
      <w:marRight w:val="0"/>
      <w:marTop w:val="0"/>
      <w:marBottom w:val="0"/>
      <w:divBdr>
        <w:top w:val="none" w:sz="0" w:space="0" w:color="auto"/>
        <w:left w:val="none" w:sz="0" w:space="0" w:color="auto"/>
        <w:bottom w:val="none" w:sz="0" w:space="0" w:color="auto"/>
        <w:right w:val="none" w:sz="0" w:space="0" w:color="auto"/>
      </w:divBdr>
    </w:div>
    <w:div w:id="2065568554">
      <w:bodyDiv w:val="1"/>
      <w:marLeft w:val="0"/>
      <w:marRight w:val="0"/>
      <w:marTop w:val="0"/>
      <w:marBottom w:val="0"/>
      <w:divBdr>
        <w:top w:val="none" w:sz="0" w:space="0" w:color="auto"/>
        <w:left w:val="none" w:sz="0" w:space="0" w:color="auto"/>
        <w:bottom w:val="none" w:sz="0" w:space="0" w:color="auto"/>
        <w:right w:val="none" w:sz="0" w:space="0" w:color="auto"/>
      </w:divBdr>
      <w:divsChild>
        <w:div w:id="1538928371">
          <w:marLeft w:val="0"/>
          <w:marRight w:val="0"/>
          <w:marTop w:val="0"/>
          <w:marBottom w:val="0"/>
          <w:divBdr>
            <w:top w:val="none" w:sz="0" w:space="0" w:color="auto"/>
            <w:left w:val="none" w:sz="0" w:space="0" w:color="auto"/>
            <w:bottom w:val="none" w:sz="0" w:space="0" w:color="auto"/>
            <w:right w:val="none" w:sz="0" w:space="0" w:color="auto"/>
          </w:divBdr>
          <w:divsChild>
            <w:div w:id="1839996749">
              <w:marLeft w:val="0"/>
              <w:marRight w:val="0"/>
              <w:marTop w:val="0"/>
              <w:marBottom w:val="0"/>
              <w:divBdr>
                <w:top w:val="none" w:sz="0" w:space="0" w:color="auto"/>
                <w:left w:val="none" w:sz="0" w:space="0" w:color="auto"/>
                <w:bottom w:val="none" w:sz="0" w:space="0" w:color="auto"/>
                <w:right w:val="none" w:sz="0" w:space="0" w:color="auto"/>
              </w:divBdr>
            </w:div>
          </w:divsChild>
        </w:div>
        <w:div w:id="2000226302">
          <w:marLeft w:val="0"/>
          <w:marRight w:val="0"/>
          <w:marTop w:val="0"/>
          <w:marBottom w:val="0"/>
          <w:divBdr>
            <w:top w:val="none" w:sz="0" w:space="0" w:color="auto"/>
            <w:left w:val="none" w:sz="0" w:space="0" w:color="auto"/>
            <w:bottom w:val="none" w:sz="0" w:space="0" w:color="auto"/>
            <w:right w:val="none" w:sz="0" w:space="0" w:color="auto"/>
          </w:divBdr>
          <w:divsChild>
            <w:div w:id="1231307393">
              <w:marLeft w:val="0"/>
              <w:marRight w:val="0"/>
              <w:marTop w:val="120"/>
              <w:marBottom w:val="0"/>
              <w:divBdr>
                <w:top w:val="none" w:sz="0" w:space="0" w:color="auto"/>
                <w:left w:val="none" w:sz="0" w:space="0" w:color="auto"/>
                <w:bottom w:val="none" w:sz="0" w:space="0" w:color="auto"/>
                <w:right w:val="none" w:sz="0" w:space="0" w:color="auto"/>
              </w:divBdr>
            </w:div>
            <w:div w:id="1818374974">
              <w:marLeft w:val="0"/>
              <w:marRight w:val="0"/>
              <w:marTop w:val="0"/>
              <w:marBottom w:val="0"/>
              <w:divBdr>
                <w:top w:val="none" w:sz="0" w:space="0" w:color="auto"/>
                <w:left w:val="none" w:sz="0" w:space="0" w:color="auto"/>
                <w:bottom w:val="none" w:sz="0" w:space="0" w:color="auto"/>
                <w:right w:val="none" w:sz="0" w:space="0" w:color="auto"/>
              </w:divBdr>
            </w:div>
          </w:divsChild>
        </w:div>
        <w:div w:id="1791243380">
          <w:marLeft w:val="0"/>
          <w:marRight w:val="0"/>
          <w:marTop w:val="0"/>
          <w:marBottom w:val="0"/>
          <w:divBdr>
            <w:top w:val="none" w:sz="0" w:space="0" w:color="auto"/>
            <w:left w:val="none" w:sz="0" w:space="0" w:color="auto"/>
            <w:bottom w:val="none" w:sz="0" w:space="0" w:color="auto"/>
            <w:right w:val="none" w:sz="0" w:space="0" w:color="auto"/>
          </w:divBdr>
          <w:divsChild>
            <w:div w:id="772670850">
              <w:marLeft w:val="0"/>
              <w:marRight w:val="0"/>
              <w:marTop w:val="120"/>
              <w:marBottom w:val="0"/>
              <w:divBdr>
                <w:top w:val="none" w:sz="0" w:space="0" w:color="auto"/>
                <w:left w:val="none" w:sz="0" w:space="0" w:color="auto"/>
                <w:bottom w:val="none" w:sz="0" w:space="0" w:color="auto"/>
                <w:right w:val="none" w:sz="0" w:space="0" w:color="auto"/>
              </w:divBdr>
            </w:div>
            <w:div w:id="1612662548">
              <w:marLeft w:val="0"/>
              <w:marRight w:val="0"/>
              <w:marTop w:val="0"/>
              <w:marBottom w:val="0"/>
              <w:divBdr>
                <w:top w:val="none" w:sz="0" w:space="0" w:color="auto"/>
                <w:left w:val="none" w:sz="0" w:space="0" w:color="auto"/>
                <w:bottom w:val="none" w:sz="0" w:space="0" w:color="auto"/>
                <w:right w:val="none" w:sz="0" w:space="0" w:color="auto"/>
              </w:divBdr>
            </w:div>
          </w:divsChild>
        </w:div>
        <w:div w:id="1306012953">
          <w:marLeft w:val="0"/>
          <w:marRight w:val="0"/>
          <w:marTop w:val="0"/>
          <w:marBottom w:val="0"/>
          <w:divBdr>
            <w:top w:val="none" w:sz="0" w:space="0" w:color="auto"/>
            <w:left w:val="none" w:sz="0" w:space="0" w:color="auto"/>
            <w:bottom w:val="none" w:sz="0" w:space="0" w:color="auto"/>
            <w:right w:val="none" w:sz="0" w:space="0" w:color="auto"/>
          </w:divBdr>
          <w:divsChild>
            <w:div w:id="1837039836">
              <w:marLeft w:val="0"/>
              <w:marRight w:val="0"/>
              <w:marTop w:val="120"/>
              <w:marBottom w:val="0"/>
              <w:divBdr>
                <w:top w:val="none" w:sz="0" w:space="0" w:color="auto"/>
                <w:left w:val="none" w:sz="0" w:space="0" w:color="auto"/>
                <w:bottom w:val="none" w:sz="0" w:space="0" w:color="auto"/>
                <w:right w:val="none" w:sz="0" w:space="0" w:color="auto"/>
              </w:divBdr>
            </w:div>
            <w:div w:id="1911036788">
              <w:marLeft w:val="0"/>
              <w:marRight w:val="0"/>
              <w:marTop w:val="0"/>
              <w:marBottom w:val="0"/>
              <w:divBdr>
                <w:top w:val="none" w:sz="0" w:space="0" w:color="auto"/>
                <w:left w:val="none" w:sz="0" w:space="0" w:color="auto"/>
                <w:bottom w:val="none" w:sz="0" w:space="0" w:color="auto"/>
                <w:right w:val="none" w:sz="0" w:space="0" w:color="auto"/>
              </w:divBdr>
            </w:div>
          </w:divsChild>
        </w:div>
        <w:div w:id="1559172884">
          <w:marLeft w:val="0"/>
          <w:marRight w:val="0"/>
          <w:marTop w:val="0"/>
          <w:marBottom w:val="0"/>
          <w:divBdr>
            <w:top w:val="none" w:sz="0" w:space="0" w:color="auto"/>
            <w:left w:val="none" w:sz="0" w:space="0" w:color="auto"/>
            <w:bottom w:val="none" w:sz="0" w:space="0" w:color="auto"/>
            <w:right w:val="none" w:sz="0" w:space="0" w:color="auto"/>
          </w:divBdr>
          <w:divsChild>
            <w:div w:id="459765601">
              <w:marLeft w:val="0"/>
              <w:marRight w:val="0"/>
              <w:marTop w:val="0"/>
              <w:marBottom w:val="0"/>
              <w:divBdr>
                <w:top w:val="none" w:sz="0" w:space="0" w:color="auto"/>
                <w:left w:val="none" w:sz="0" w:space="0" w:color="auto"/>
                <w:bottom w:val="none" w:sz="0" w:space="0" w:color="auto"/>
                <w:right w:val="none" w:sz="0" w:space="0" w:color="auto"/>
              </w:divBdr>
            </w:div>
          </w:divsChild>
        </w:div>
        <w:div w:id="1924340257">
          <w:marLeft w:val="0"/>
          <w:marRight w:val="0"/>
          <w:marTop w:val="0"/>
          <w:marBottom w:val="0"/>
          <w:divBdr>
            <w:top w:val="none" w:sz="0" w:space="0" w:color="auto"/>
            <w:left w:val="none" w:sz="0" w:space="0" w:color="auto"/>
            <w:bottom w:val="none" w:sz="0" w:space="0" w:color="auto"/>
            <w:right w:val="none" w:sz="0" w:space="0" w:color="auto"/>
          </w:divBdr>
          <w:divsChild>
            <w:div w:id="167525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290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ec.europa.eu/info/sites/info/files/file_import/better-regulation-toolbox-47_en_0.pdf"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E9A4D9-5510-4FDF-98BC-7089ED21E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51</Pages>
  <Words>14297</Words>
  <Characters>81495</Characters>
  <Application>Microsoft Office Word</Application>
  <DocSecurity>0</DocSecurity>
  <Lines>679</Lines>
  <Paragraphs>191</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95601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str-1</dc:creator>
  <cp:lastModifiedBy>Evgeniya Cherkezova</cp:lastModifiedBy>
  <cp:revision>23</cp:revision>
  <cp:lastPrinted>2023-07-06T18:27:00Z</cp:lastPrinted>
  <dcterms:created xsi:type="dcterms:W3CDTF">2024-03-05T10:54:00Z</dcterms:created>
  <dcterms:modified xsi:type="dcterms:W3CDTF">2024-03-06T13:04:00Z</dcterms:modified>
</cp:coreProperties>
</file>