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C7" w:rsidRPr="000B1A4A" w:rsidRDefault="00CB32C7" w:rsidP="008D7C20">
      <w:pPr>
        <w:tabs>
          <w:tab w:val="left" w:pos="2082"/>
          <w:tab w:val="center" w:pos="4535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0B1A4A">
        <w:rPr>
          <w:rFonts w:ascii="Times New Roman" w:hAnsi="Times New Roman" w:cs="Times New Roman"/>
          <w:b/>
          <w:sz w:val="32"/>
          <w:szCs w:val="32"/>
          <w:lang w:val="bg-BG"/>
        </w:rPr>
        <w:t>ПРОГРАМА ЗА МОРСКО ДЕЛО, РИБАРСТВО И АКВАКУЛТУРИ 2021-2027 г.</w:t>
      </w:r>
    </w:p>
    <w:p w:rsidR="00CB32C7" w:rsidRPr="000B1A4A" w:rsidRDefault="00F84FF2" w:rsidP="008D7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КРИТЕРИИ И МЕТОДОЛОГИЯ ЗА ПОДБОР</w:t>
      </w:r>
      <w:r w:rsidR="00CB32C7" w:rsidRPr="000B1A4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ПРОЕКТНИ ПРЕДЛОЖЕНИЯ</w:t>
      </w:r>
    </w:p>
    <w:p w:rsidR="00CB32C7" w:rsidRPr="000B1A4A" w:rsidRDefault="00CB32C7" w:rsidP="008D7C2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1A4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Приоритет 3 </w:t>
      </w:r>
      <w:r w:rsidRPr="000B1A4A">
        <w:rPr>
          <w:rFonts w:ascii="Times New Roman" w:hAnsi="Times New Roman" w:cs="Times New Roman"/>
          <w:sz w:val="24"/>
          <w:szCs w:val="24"/>
          <w:lang w:val="bg-BG"/>
        </w:rPr>
        <w:t>Осигуряване на условия за устойчива синя икономика в крайбрежните, островните и вътрешните райони и насърчаване на развитието на общностите, занимаващи се с рибарство и аквакултури.</w:t>
      </w:r>
    </w:p>
    <w:p w:rsidR="00CB32C7" w:rsidRDefault="00CB32C7" w:rsidP="008D7C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1A4A">
        <w:rPr>
          <w:rFonts w:ascii="Times New Roman" w:hAnsi="Times New Roman" w:cs="Times New Roman"/>
          <w:b/>
          <w:sz w:val="24"/>
          <w:szCs w:val="32"/>
          <w:lang w:val="bg-BG"/>
        </w:rPr>
        <w:t xml:space="preserve">Специфична цел: </w:t>
      </w:r>
      <w:r w:rsidRPr="000B1A4A">
        <w:rPr>
          <w:rFonts w:ascii="Times New Roman" w:eastAsia="TimesNewRomanPSMT" w:hAnsi="Times New Roman" w:cs="Times New Roman"/>
          <w:sz w:val="24"/>
          <w:szCs w:val="24"/>
          <w:lang w:val="bg-BG"/>
        </w:rPr>
        <w:t xml:space="preserve">3.1 </w:t>
      </w:r>
      <w:r w:rsidRPr="000B1A4A">
        <w:rPr>
          <w:rFonts w:ascii="Times New Roman" w:hAnsi="Times New Roman" w:cs="Times New Roman"/>
          <w:sz w:val="24"/>
          <w:szCs w:val="24"/>
          <w:lang w:val="bg-BG"/>
        </w:rPr>
        <w:t>Осигуряване на условия за устойчива синя икономика в крайбрежните, островните и вътрешните райони и за насърчаването на устойчивото развитие на общностите, занимаващи се с рибарство и аквакултури.</w:t>
      </w:r>
    </w:p>
    <w:p w:rsidR="005240A8" w:rsidRPr="000B1A4A" w:rsidRDefault="005240A8" w:rsidP="008D7C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1908"/>
        <w:gridCol w:w="7714"/>
      </w:tblGrid>
      <w:tr w:rsidR="00CB32C7" w:rsidRPr="00003557" w:rsidTr="00CB32C7">
        <w:tc>
          <w:tcPr>
            <w:tcW w:w="1908" w:type="dxa"/>
          </w:tcPr>
          <w:p w:rsidR="00CB32C7" w:rsidRPr="000B1A4A" w:rsidRDefault="00CB32C7" w:rsidP="008D7C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B1A4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Вид дейност</w:t>
            </w:r>
          </w:p>
        </w:tc>
        <w:tc>
          <w:tcPr>
            <w:tcW w:w="7714" w:type="dxa"/>
          </w:tcPr>
          <w:p w:rsidR="00CB32C7" w:rsidRPr="000B1A4A" w:rsidRDefault="00CB32C7" w:rsidP="008D7C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B1A4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Изпълнение на стратегии за ВОМР</w:t>
            </w:r>
          </w:p>
        </w:tc>
      </w:tr>
      <w:tr w:rsidR="00CB32C7" w:rsidRPr="00003557" w:rsidTr="00CB32C7">
        <w:tc>
          <w:tcPr>
            <w:tcW w:w="1908" w:type="dxa"/>
            <w:hideMark/>
          </w:tcPr>
          <w:p w:rsidR="00CB32C7" w:rsidRPr="000B1A4A" w:rsidRDefault="00CB32C7" w:rsidP="008D7C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B1A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Правно основание</w:t>
            </w:r>
          </w:p>
          <w:p w:rsidR="00CB32C7" w:rsidRPr="000B1A4A" w:rsidRDefault="00CB32C7" w:rsidP="008D7C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714" w:type="dxa"/>
            <w:hideMark/>
          </w:tcPr>
          <w:p w:rsidR="00CB32C7" w:rsidRPr="000B1A4A" w:rsidRDefault="00CB32C7" w:rsidP="008D7C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B1A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Член 31 от Регламент (ЕС) 2021/1060</w:t>
            </w:r>
          </w:p>
          <w:p w:rsidR="00CB32C7" w:rsidRPr="000B1A4A" w:rsidRDefault="00CB32C7" w:rsidP="008D7C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B1A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Член 30 от Регламент (ЕС) 2021/1139</w:t>
            </w:r>
          </w:p>
        </w:tc>
      </w:tr>
      <w:tr w:rsidR="00CB32C7" w:rsidRPr="00003557" w:rsidTr="00CB32C7">
        <w:tc>
          <w:tcPr>
            <w:tcW w:w="1908" w:type="dxa"/>
          </w:tcPr>
          <w:p w:rsidR="00CB32C7" w:rsidRPr="00554CB1" w:rsidRDefault="00CB32C7" w:rsidP="008D7C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B1A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714" w:type="dxa"/>
          </w:tcPr>
          <w:p w:rsidR="00CB32C7" w:rsidRPr="000B1A4A" w:rsidRDefault="00CB32C7" w:rsidP="008D7C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B1A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 100%.</w:t>
            </w:r>
          </w:p>
          <w:p w:rsidR="00CB32C7" w:rsidRPr="000B1A4A" w:rsidRDefault="00CB32C7" w:rsidP="008D7C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B1A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Максимален бюджет за </w:t>
            </w:r>
            <w:r w:rsidR="00101473" w:rsidRPr="0003083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еднофондова</w:t>
            </w:r>
            <w:r w:rsidR="00101473" w:rsidRPr="000B1A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B1A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стратегия, прилагана от Местна инициативна група по Програмата за морско дело, рибарство и аквакултури 2021-2027 г.</w:t>
            </w:r>
            <w:r w:rsidR="00554CB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(Местна инициативна рибарска група, МИРГ)</w:t>
            </w:r>
            <w:r w:rsidRPr="000B1A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финансирана единствено със средства от Европейския фонд за морско дело, рибарство и аквакултури, както следва: </w:t>
            </w:r>
          </w:p>
          <w:p w:rsidR="00554CB1" w:rsidRDefault="00554CB1" w:rsidP="008D7C2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54CB1">
              <w:rPr>
                <w:rFonts w:ascii="Times New Roman" w:eastAsiaTheme="minorHAnsi" w:hAnsi="Times New Roman" w:cs="Times New Roman"/>
                <w:sz w:val="24"/>
                <w:szCs w:val="24"/>
              </w:rPr>
              <w:t>За МИРГ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съставен от две общини –  </w:t>
            </w:r>
            <w:r w:rsidR="00136145">
              <w:rPr>
                <w:rFonts w:ascii="Times New Roman" w:eastAsiaTheme="minorHAnsi" w:hAnsi="Times New Roman" w:cs="Times New Roman"/>
                <w:sz w:val="24"/>
                <w:szCs w:val="24"/>
              </w:rPr>
              <w:t>до 1 500 000 евро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БФП</w:t>
            </w:r>
          </w:p>
          <w:p w:rsidR="00554CB1" w:rsidRDefault="00554CB1" w:rsidP="008D7C2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54CB1">
              <w:rPr>
                <w:rFonts w:ascii="Times New Roman" w:eastAsiaTheme="minorHAnsi" w:hAnsi="Times New Roman" w:cs="Times New Roman"/>
                <w:sz w:val="24"/>
                <w:szCs w:val="24"/>
              </w:rPr>
              <w:t>За МИРГ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съставен от три и повече общини – </w:t>
            </w:r>
            <w:r w:rsidR="00136145">
              <w:rPr>
                <w:rFonts w:ascii="Times New Roman" w:eastAsiaTheme="minorHAnsi" w:hAnsi="Times New Roman" w:cs="Times New Roman"/>
                <w:sz w:val="24"/>
                <w:szCs w:val="24"/>
              </w:rPr>
              <w:t>до 2 000 000 евро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БФП</w:t>
            </w:r>
          </w:p>
          <w:p w:rsidR="00C46B72" w:rsidRPr="00554CB1" w:rsidRDefault="00C46B72" w:rsidP="008D7C20">
            <w:pPr>
              <w:pStyle w:val="ListParagraph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81B31" w:rsidRPr="00857D33" w:rsidTr="00F765AA">
        <w:tc>
          <w:tcPr>
            <w:tcW w:w="1908" w:type="dxa"/>
          </w:tcPr>
          <w:p w:rsidR="00781B31" w:rsidRPr="000B1A4A" w:rsidRDefault="00781B31" w:rsidP="008D7C20">
            <w:pPr>
              <w:spacing w:line="276" w:lineRule="auto"/>
              <w:rPr>
                <w:lang w:val="bg-BG"/>
              </w:rPr>
            </w:pPr>
            <w:r w:rsidRPr="000B1A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714" w:type="dxa"/>
          </w:tcPr>
          <w:p w:rsidR="00781B31" w:rsidRPr="00ED32DE" w:rsidRDefault="00781B31" w:rsidP="008D7C20">
            <w:pPr>
              <w:numPr>
                <w:ilvl w:val="0"/>
                <w:numId w:val="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Географски район обхванат от стратегията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във връзка с </w:t>
            </w:r>
            <w:r w:rsidRPr="00D403B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Национална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Pr="00D403B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програма за развитие БЪЛГАРИЯ 2030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:rsidR="00781B31" w:rsidRPr="00D403B2" w:rsidRDefault="00781B31" w:rsidP="008D7C20">
            <w:pPr>
              <w:pStyle w:val="ListParagraph"/>
              <w:numPr>
                <w:ilvl w:val="0"/>
                <w:numId w:val="19"/>
              </w:numPr>
              <w:spacing w:line="276" w:lineRule="auto"/>
              <w:ind w:right="-6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0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Северозападен район - </w:t>
            </w:r>
            <w:r w:rsidRPr="00A50601">
              <w:rPr>
                <w:rFonts w:ascii="Times New Roman" w:hAnsi="Times New Roman" w:cs="Times New Roman"/>
                <w:b/>
                <w:sz w:val="24"/>
                <w:szCs w:val="24"/>
              </w:rPr>
              <w:t>8 точки</w:t>
            </w:r>
          </w:p>
          <w:p w:rsidR="00781B31" w:rsidRPr="00D403B2" w:rsidRDefault="00781B31" w:rsidP="008D7C20">
            <w:pPr>
              <w:pStyle w:val="ListParagraph"/>
              <w:numPr>
                <w:ilvl w:val="0"/>
                <w:numId w:val="19"/>
              </w:numPr>
              <w:spacing w:line="276" w:lineRule="auto"/>
              <w:ind w:right="-6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0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Северен централен район - </w:t>
            </w:r>
            <w:r w:rsidRPr="00A50601">
              <w:rPr>
                <w:rFonts w:ascii="Times New Roman" w:hAnsi="Times New Roman" w:cs="Times New Roman"/>
                <w:b/>
                <w:sz w:val="24"/>
                <w:szCs w:val="24"/>
              </w:rPr>
              <w:t>7 точки</w:t>
            </w:r>
          </w:p>
          <w:p w:rsidR="00781B31" w:rsidRPr="00D403B2" w:rsidRDefault="00781B31" w:rsidP="008D7C20">
            <w:pPr>
              <w:pStyle w:val="ListParagraph"/>
              <w:numPr>
                <w:ilvl w:val="0"/>
                <w:numId w:val="19"/>
              </w:numPr>
              <w:spacing w:line="276" w:lineRule="auto"/>
              <w:ind w:right="-6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0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Южен централен район - </w:t>
            </w:r>
            <w:r w:rsidRPr="00A50601">
              <w:rPr>
                <w:rFonts w:ascii="Times New Roman" w:hAnsi="Times New Roman" w:cs="Times New Roman"/>
                <w:b/>
                <w:sz w:val="24"/>
                <w:szCs w:val="24"/>
              </w:rPr>
              <w:t>6 точки</w:t>
            </w:r>
          </w:p>
          <w:p w:rsidR="00781B31" w:rsidRPr="00D403B2" w:rsidRDefault="00781B31" w:rsidP="008D7C20">
            <w:pPr>
              <w:pStyle w:val="ListParagraph"/>
              <w:numPr>
                <w:ilvl w:val="0"/>
                <w:numId w:val="19"/>
              </w:numPr>
              <w:spacing w:line="276" w:lineRule="auto"/>
              <w:ind w:right="-6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03B2">
              <w:rPr>
                <w:rFonts w:ascii="Times New Roman" w:eastAsia="Times New Roman" w:hAnsi="Times New Roman" w:cs="Times New Roman"/>
                <w:sz w:val="24"/>
                <w:szCs w:val="24"/>
              </w:rPr>
              <w:t>Югоиз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0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очен район - </w:t>
            </w:r>
            <w:r w:rsidRPr="00A50601">
              <w:rPr>
                <w:rFonts w:ascii="Times New Roman" w:hAnsi="Times New Roman" w:cs="Times New Roman"/>
                <w:b/>
                <w:sz w:val="24"/>
                <w:szCs w:val="24"/>
              </w:rPr>
              <w:t>5 точки</w:t>
            </w:r>
          </w:p>
          <w:p w:rsidR="00781B31" w:rsidRPr="00D403B2" w:rsidRDefault="00781B31" w:rsidP="008D7C20">
            <w:pPr>
              <w:pStyle w:val="ListParagraph"/>
              <w:numPr>
                <w:ilvl w:val="0"/>
                <w:numId w:val="19"/>
              </w:numPr>
              <w:spacing w:line="276" w:lineRule="auto"/>
              <w:ind w:right="-6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0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Североизточен район - </w:t>
            </w:r>
            <w:r w:rsidRPr="00A5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50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точки</w:t>
            </w:r>
          </w:p>
          <w:p w:rsidR="00781B31" w:rsidRPr="00D403B2" w:rsidRDefault="00781B31" w:rsidP="008D7C20">
            <w:pPr>
              <w:pStyle w:val="ListParagraph"/>
              <w:numPr>
                <w:ilvl w:val="0"/>
                <w:numId w:val="19"/>
              </w:numPr>
              <w:spacing w:line="276" w:lineRule="auto"/>
              <w:ind w:right="-6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0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Югозападен район - </w:t>
            </w:r>
            <w:r w:rsidRPr="00A50601">
              <w:rPr>
                <w:rFonts w:ascii="Times New Roman" w:hAnsi="Times New Roman" w:cs="Times New Roman"/>
                <w:b/>
                <w:sz w:val="24"/>
                <w:szCs w:val="24"/>
              </w:rPr>
              <w:t>3 точки</w:t>
            </w:r>
          </w:p>
          <w:p w:rsidR="00781B31" w:rsidRPr="00ED32DE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Когато територията на МИРГ попада в повече от един район, се присъждат по- високия брой точки. </w:t>
            </w:r>
            <w:r w:rsidRPr="00A50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Максимален брой точки – 8.</w:t>
            </w:r>
          </w:p>
          <w:p w:rsidR="00781B31" w:rsidRPr="00ED32DE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81B31" w:rsidRPr="00ED32DE" w:rsidRDefault="00781B31" w:rsidP="008D7C20">
            <w:pPr>
              <w:numPr>
                <w:ilvl w:val="0"/>
                <w:numId w:val="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Оценка на рибарската територия за допустимост за прилагане на 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подхо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ВОМР:</w:t>
            </w:r>
          </w:p>
          <w:p w:rsidR="00781B31" w:rsidRPr="00ED32DE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2.1 Наличие на традиции в рибарството</w:t>
            </w:r>
            <w:r w:rsidR="00247911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footnoteReference w:id="1"/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A50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(само едно твърдение е вярно)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781B31" w:rsidRPr="00D403B2" w:rsidRDefault="00781B31" w:rsidP="008D7C20">
            <w:pPr>
              <w:pStyle w:val="ListParagraph"/>
              <w:numPr>
                <w:ilvl w:val="0"/>
                <w:numId w:val="20"/>
              </w:numPr>
              <w:spacing w:line="276" w:lineRule="auto"/>
              <w:ind w:right="-6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03B2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територията на всички общини, част от местното партньорство са налични доказателства за традиционен поминък рибарство през последните 20</w:t>
            </w:r>
            <w:r w:rsidR="0085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повече</w:t>
            </w:r>
            <w:r w:rsidRPr="00D40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години (доказва се в стратегията чрез икономически и исторически официални данни, че населението на територията на всяка община е пряко ангажирано в годините с рибарство) - </w:t>
            </w:r>
            <w:r w:rsidR="000238D2" w:rsidRPr="00D03B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0238D2" w:rsidRPr="00A50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0601">
              <w:rPr>
                <w:rFonts w:ascii="Times New Roman" w:hAnsi="Times New Roman" w:cs="Times New Roman"/>
                <w:b/>
                <w:sz w:val="24"/>
                <w:szCs w:val="24"/>
              </w:rPr>
              <w:t>точки</w:t>
            </w:r>
            <w:r w:rsidRPr="00A5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781B31" w:rsidRPr="00A50601" w:rsidRDefault="00781B31" w:rsidP="008D7C20">
            <w:pPr>
              <w:pStyle w:val="ListParagraph"/>
              <w:numPr>
                <w:ilvl w:val="0"/>
                <w:numId w:val="20"/>
              </w:numPr>
              <w:spacing w:line="276" w:lineRule="auto"/>
              <w:ind w:right="-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територията на поне една община, част от местното партньорство са налични доказателства за традиционен поминък рибарство през последните 20 </w:t>
            </w:r>
            <w:r w:rsidR="00857D33">
              <w:rPr>
                <w:rFonts w:ascii="Times New Roman" w:eastAsia="Times New Roman" w:hAnsi="Times New Roman" w:cs="Times New Roman"/>
                <w:sz w:val="24"/>
                <w:szCs w:val="24"/>
              </w:rPr>
              <w:t>и повече</w:t>
            </w:r>
            <w:r w:rsidR="00857D33" w:rsidRPr="00D40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0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години (доказва се в стратегията чрез икономически и исторически официални данни, че населението на територията на всяка община е пряко ангажирано в годините с рибарство) </w:t>
            </w:r>
            <w:r w:rsidR="000238D2" w:rsidRPr="00D03B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238D2" w:rsidRPr="00A50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0601">
              <w:rPr>
                <w:rFonts w:ascii="Times New Roman" w:hAnsi="Times New Roman" w:cs="Times New Roman"/>
                <w:b/>
                <w:sz w:val="24"/>
                <w:szCs w:val="24"/>
              </w:rPr>
              <w:t>точки</w:t>
            </w:r>
            <w:r w:rsidRPr="00A5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81B31" w:rsidRPr="00ED32DE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2.2 На територията на МИРГ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изпълняват дейности 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сектори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устойчивата 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синя икономика</w:t>
            </w:r>
            <w:r w:rsidRPr="00ED32DE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footnoteReference w:id="2"/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A50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(само едно твърдение е вярно)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781B31" w:rsidRPr="00A50601" w:rsidRDefault="00781B31" w:rsidP="008D7C20">
            <w:pPr>
              <w:pStyle w:val="ListParagraph"/>
              <w:numPr>
                <w:ilvl w:val="0"/>
                <w:numId w:val="21"/>
              </w:numPr>
              <w:spacing w:line="276" w:lineRule="auto"/>
              <w:ind w:right="-6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5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територията на всяка община, партньор в МИРГ се изпълнява поне една дейност - </w:t>
            </w:r>
            <w:r w:rsidR="000238D2" w:rsidRPr="00D03B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0238D2" w:rsidRPr="00A50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0601">
              <w:rPr>
                <w:rFonts w:ascii="Times New Roman" w:hAnsi="Times New Roman" w:cs="Times New Roman"/>
                <w:b/>
                <w:sz w:val="24"/>
                <w:szCs w:val="24"/>
              </w:rPr>
              <w:t>точки</w:t>
            </w:r>
            <w:r w:rsidRPr="00A5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781B31" w:rsidRPr="00A50601" w:rsidRDefault="00781B31" w:rsidP="008D7C20">
            <w:pPr>
              <w:pStyle w:val="ListParagraph"/>
              <w:numPr>
                <w:ilvl w:val="0"/>
                <w:numId w:val="21"/>
              </w:numPr>
              <w:spacing w:line="276" w:lineRule="auto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A5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територията поне една община, партньор в МИРГ, но не на всяка община изпълнява поне една дейност </w:t>
            </w:r>
            <w:r w:rsidRPr="00A5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238D2" w:rsidRPr="00D03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0238D2" w:rsidRPr="00A50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0601">
              <w:rPr>
                <w:rFonts w:ascii="Times New Roman" w:hAnsi="Times New Roman" w:cs="Times New Roman"/>
                <w:b/>
                <w:sz w:val="24"/>
                <w:szCs w:val="24"/>
              </w:rPr>
              <w:t>точки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1B31" w:rsidRPr="00D93EF1" w:rsidRDefault="00781B31" w:rsidP="008D7C20">
            <w:pPr>
              <w:pStyle w:val="ListParagraph"/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8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B31" w:rsidRDefault="00781B31" w:rsidP="008D7C20">
            <w:pPr>
              <w:numPr>
                <w:ilvl w:val="0"/>
                <w:numId w:val="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Качество на SWOT-анализа</w:t>
            </w:r>
          </w:p>
          <w:p w:rsidR="00781B31" w:rsidRPr="00D93EF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3.1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Качество на SWOT-анализа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(само едно твърдение е вярно):</w:t>
            </w:r>
          </w:p>
          <w:p w:rsidR="00781B31" w:rsidRPr="00D93EF1" w:rsidRDefault="00781B31" w:rsidP="008D7C20">
            <w:pPr>
              <w:pStyle w:val="ListParagraph"/>
              <w:numPr>
                <w:ilvl w:val="0"/>
                <w:numId w:val="22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SWOT-анализът е ясно построен, на базата на изведените в стратегията за ВОМР на територията предизвикателства, научени уроци и предприети до настоящия момент мерки. От него са изведени ясни, логични и специфични за територията потребности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7C4805" w:rsidRPr="00810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C4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7C4805" w:rsidRPr="00810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0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точки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1B31" w:rsidRPr="00ED32DE" w:rsidRDefault="00781B31" w:rsidP="008D7C20">
            <w:pPr>
              <w:pStyle w:val="ListParagraph"/>
              <w:numPr>
                <w:ilvl w:val="0"/>
                <w:numId w:val="22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</w:rPr>
              <w:t>SWOT-анализът е ясно построен, на базата на изведените в стратегията за ВОМР на територията предизвикателства, научени уроци и предприети до настоящия момент мерки, но и не извежда ясни, логични и специфични за рибарската територия потребности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810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точки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1B31" w:rsidRPr="00D93EF1" w:rsidRDefault="00781B31" w:rsidP="008D7C20">
            <w:pPr>
              <w:pStyle w:val="ListParagraph"/>
              <w:numPr>
                <w:ilvl w:val="0"/>
                <w:numId w:val="22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>SWOT-анализът извежда ясни, логични и специфични за рибарската територия потребности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</w:rPr>
              <w:t>, но не е ясно построен, на базата на изведените в стратегията за ВОМР на територията предизвикателства, научени уроци и предприети до настоящия момент мерки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810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точки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1B31" w:rsidRPr="00D93EF1" w:rsidRDefault="00781B31" w:rsidP="008D7C20">
            <w:pPr>
              <w:pStyle w:val="ListParagraph"/>
              <w:numPr>
                <w:ilvl w:val="0"/>
                <w:numId w:val="22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>SWOT-анализът не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ясно построен, на базата на изведените в стратегията за ВОМР на територията предизвикателства, научени уроци и предприети до настоящия момент мерки и не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извежда ясни, логични и специфични за рибарската територия потребности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810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се присъждат точки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81B31" w:rsidRDefault="00781B31" w:rsidP="00E563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3.2 Изведените нужди са в синергия с нуждите, изведени в ПМДРА за прилагането на подхода ВОМР в програмен период 2021-2027 г. </w:t>
            </w:r>
          </w:p>
          <w:p w:rsidR="00FD0E94" w:rsidRDefault="00FD0E94" w:rsidP="00E563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Минимално изпълнение на критерия – </w:t>
            </w:r>
            <w:r w:rsidRPr="00E5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 точки</w:t>
            </w:r>
          </w:p>
          <w:p w:rsidR="00FD0E94" w:rsidRPr="00E56376" w:rsidRDefault="00FD0E94" w:rsidP="00E563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Средно изпълнение на критерия </w:t>
            </w:r>
            <w:r w:rsidRPr="00E563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="007637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синергия с поне половината от нуждите)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 w:rsidRPr="00E5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 точки</w:t>
            </w:r>
          </w:p>
          <w:p w:rsidR="00FD0E94" w:rsidRPr="00FD0E94" w:rsidRDefault="00FD0E94" w:rsidP="00E563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Максимално изпълнение на критерия – </w:t>
            </w:r>
            <w:r w:rsidRPr="00E5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15 точки</w:t>
            </w: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81B31" w:rsidRDefault="00781B31" w:rsidP="00E563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3.3 Изведените нужди са обосновани на база на анализите в стратегията. Изведени са взаимовръзки между нуждите и спец</w:t>
            </w:r>
            <w:r w:rsidR="003A0D1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ификата на рибарската територия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FD0E94" w:rsidRPr="00FD0E94" w:rsidRDefault="00FD0E94" w:rsidP="00FD0E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D0E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Минимално изпълнение на критерия – </w:t>
            </w:r>
            <w:r w:rsidRPr="00E5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 точки</w:t>
            </w:r>
          </w:p>
          <w:p w:rsidR="00FD0E94" w:rsidRPr="00E56376" w:rsidRDefault="00FD0E94" w:rsidP="00FD0E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D0E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Средно изпълнение на критерия (</w:t>
            </w:r>
            <w:r w:rsidR="007637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поне </w:t>
            </w:r>
            <w:r w:rsidRPr="00FD0E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половина</w:t>
            </w:r>
            <w:r w:rsidR="00BB41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са</w:t>
            </w:r>
            <w:r w:rsidRPr="00FD0E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обосновани) – </w:t>
            </w:r>
            <w:r w:rsidRPr="00E5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 точки</w:t>
            </w:r>
          </w:p>
          <w:p w:rsidR="00FD0E94" w:rsidRDefault="00FD0E94" w:rsidP="0076372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D0E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Максимално изпълнение на критерия – </w:t>
            </w:r>
            <w:r w:rsidRPr="00E5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15 точки</w:t>
            </w:r>
          </w:p>
          <w:p w:rsidR="00781B31" w:rsidRPr="00ED32DE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81B31" w:rsidRDefault="00781B31" w:rsidP="008D7C20">
            <w:pPr>
              <w:numPr>
                <w:ilvl w:val="0"/>
                <w:numId w:val="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Публично и прозрачно формиране на местното партньорство в рибарската територия:</w:t>
            </w:r>
          </w:p>
          <w:p w:rsidR="00781B31" w:rsidRPr="00ED32DE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81B31" w:rsidRPr="00ED32DE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4.1 На рибарската територия е проведена консултация за изготвянето на стратегията за ВОМР с</w:t>
            </w:r>
            <w:r w:rsidR="003A0D1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ъс </w:t>
            </w:r>
            <w:r w:rsidR="00C37C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заинтересованите страни</w:t>
            </w:r>
            <w:r w:rsidR="00857D3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Налична е ясна аргументация </w:t>
            </w:r>
            <w:r w:rsidR="00FD0E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съгласно анализа на заинтересованите страни, част от </w:t>
            </w:r>
            <w:r w:rsidR="00FD0E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стратегията за ВОМР</w:t>
            </w:r>
            <w:r w:rsidR="003A0D1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781B31" w:rsidRPr="00AC7267" w:rsidRDefault="00781B31" w:rsidP="008D7C20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социални, </w:t>
            </w:r>
          </w:p>
          <w:p w:rsidR="00781B31" w:rsidRPr="00D93EF1" w:rsidRDefault="00781B31" w:rsidP="008D7C20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културни, </w:t>
            </w:r>
          </w:p>
          <w:p w:rsidR="00781B31" w:rsidRPr="00D93EF1" w:rsidRDefault="00781B31" w:rsidP="008D7C20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екологични, </w:t>
            </w:r>
          </w:p>
          <w:p w:rsidR="00781B31" w:rsidRPr="00ED32DE" w:rsidRDefault="00781B31" w:rsidP="008D7C20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представители на местния бизнес, </w:t>
            </w:r>
          </w:p>
          <w:p w:rsidR="00781B31" w:rsidRPr="00ED32DE" w:rsidRDefault="00781B31" w:rsidP="008D7C20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на риболовния туризъм,</w:t>
            </w:r>
          </w:p>
          <w:p w:rsidR="00781B31" w:rsidRPr="00D93EF1" w:rsidRDefault="00781B31" w:rsidP="008D7C20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на любителския риболов</w:t>
            </w:r>
            <w:r w:rsidR="006D1583" w:rsidRPr="00D03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6D15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 лица</w:t>
            </w:r>
            <w:r w:rsidR="006D1583" w:rsidRPr="00D03B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1B31" w:rsidRPr="00ED32DE" w:rsidRDefault="00781B31" w:rsidP="008D7C20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на местната власт,</w:t>
            </w:r>
          </w:p>
          <w:p w:rsidR="00781B31" w:rsidRDefault="00781B31" w:rsidP="008D7C20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>рибарски сдружения</w:t>
            </w:r>
            <w:r w:rsidR="006D1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ловно-рибарски сдружения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D52A2" w:rsidRDefault="006D52A2" w:rsidP="006D52A2">
            <w:pPr>
              <w:pStyle w:val="ListParagraph"/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8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F84" w:rsidRPr="00032BC4" w:rsidRDefault="009F7F84" w:rsidP="009F7F84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Един представител може да представлява само една от изброените групи.</w:t>
            </w:r>
          </w:p>
          <w:p w:rsidR="009F7F84" w:rsidRPr="00810E10" w:rsidRDefault="009F7F84" w:rsidP="009F7F8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наличие на поне един представител от изброените групи, за всяка представена група се присъждат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A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точки</w:t>
            </w:r>
            <w:r w:rsidRPr="00810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, максимум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24</w:t>
            </w:r>
            <w:r w:rsidRPr="00810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точки</w:t>
            </w:r>
            <w:r w:rsidR="00D5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</w:t>
            </w:r>
            <w:r w:rsidR="00D5225B" w:rsidRPr="00E563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Точки се присъждат единствено, когато някоя от изброените групи е определена в стратегията с налична обосновка.</w:t>
            </w:r>
          </w:p>
          <w:p w:rsidR="00781B31" w:rsidRDefault="00781B31" w:rsidP="008D7C2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781B31" w:rsidRPr="00ED32DE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Участие на представители на следните </w:t>
            </w:r>
            <w:r w:rsidRPr="00810E1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заинтересовани страни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във </w:t>
            </w:r>
            <w:r w:rsidR="00857D3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процеса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формиране на </w:t>
            </w:r>
            <w:r w:rsidR="007637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общото събрание</w:t>
            </w:r>
            <w:r w:rsidR="00857D3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Налична е ясна аргументация как посочените групи са обвързани с рибарството и идентичността на МИРГ</w:t>
            </w:r>
            <w:r w:rsidR="007637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съгласно анализа на заинтересованите страни, част от стратегията за ВОМР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781B31" w:rsidRPr="00ED32DE" w:rsidRDefault="00781B31" w:rsidP="008D7C20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социални, </w:t>
            </w:r>
          </w:p>
          <w:p w:rsidR="00781B31" w:rsidRPr="00D93EF1" w:rsidRDefault="00781B31" w:rsidP="008D7C20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културни, </w:t>
            </w:r>
          </w:p>
          <w:p w:rsidR="00781B31" w:rsidRPr="00D93EF1" w:rsidRDefault="00781B31" w:rsidP="008D7C20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екологични, </w:t>
            </w:r>
          </w:p>
          <w:p w:rsidR="00781B31" w:rsidRPr="00ED32DE" w:rsidRDefault="00781B31" w:rsidP="008D7C20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представители на местния бизнес, </w:t>
            </w:r>
          </w:p>
          <w:p w:rsidR="00781B31" w:rsidRPr="00ED32DE" w:rsidRDefault="00781B31" w:rsidP="008D7C20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на риболовния туризъм,</w:t>
            </w:r>
          </w:p>
          <w:p w:rsidR="00781B31" w:rsidRPr="00D93EF1" w:rsidRDefault="00781B31" w:rsidP="008D7C20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на любителския риболов</w:t>
            </w:r>
            <w:r w:rsidR="006D1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1583" w:rsidRPr="00C45FF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D15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 лица</w:t>
            </w:r>
            <w:r w:rsidR="006D1583" w:rsidRPr="00C45F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1B31" w:rsidRPr="00ED32DE" w:rsidRDefault="00781B31" w:rsidP="008D7C20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на местната власт,</w:t>
            </w:r>
          </w:p>
          <w:p w:rsidR="00781B31" w:rsidRDefault="00781B31" w:rsidP="008D7C20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>рибарски сдружения</w:t>
            </w:r>
            <w:r w:rsidR="006D1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ловно-рибарски сдружения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D52A2" w:rsidRDefault="006D52A2" w:rsidP="009F7F84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9F7F84" w:rsidRDefault="009F7F84" w:rsidP="009F7F84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Един представител може да представлява само една от изброените групи.</w:t>
            </w:r>
          </w:p>
          <w:p w:rsidR="006D52A2" w:rsidRPr="00032BC4" w:rsidRDefault="006D52A2" w:rsidP="009F7F84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9F7F84" w:rsidRPr="00810E10" w:rsidRDefault="009F7F84" w:rsidP="009F7F8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наличие на поне един представител от изброените групи, за всяка представена група се присъждат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A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точки</w:t>
            </w:r>
            <w:r w:rsidRPr="00810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, максимум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24</w:t>
            </w:r>
            <w:r w:rsidRPr="00810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точки</w:t>
            </w:r>
            <w:r w:rsidR="00D5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</w:t>
            </w:r>
            <w:r w:rsidR="00D5225B" w:rsidRPr="00FF0A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Точки се присъждат единствено, когато някоя от изброените групи е определена в стратегията с налична обосновка.</w:t>
            </w:r>
          </w:p>
          <w:p w:rsidR="00781B31" w:rsidRDefault="00781B31" w:rsidP="008D7C2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57D33" w:rsidRPr="00ED32DE" w:rsidRDefault="00857D33" w:rsidP="00857D33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4.3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Наличие на представители на следните </w:t>
            </w:r>
            <w:r w:rsidRPr="00810E1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заинтересовани страни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във </w:t>
            </w:r>
            <w:r w:rsidR="00254E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общо</w:t>
            </w:r>
            <w:r w:rsidR="002C33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="00254E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Налична е ясна аргументация как посочените групи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са обвързани с рибарството и идентичността на МИРГ</w:t>
            </w:r>
            <w:r w:rsidR="007637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съгласно анализа на заинтересованите страни, част от стратегията за ВОМР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857D33" w:rsidRPr="00ED32DE" w:rsidRDefault="00857D33" w:rsidP="00857D33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социални, </w:t>
            </w:r>
          </w:p>
          <w:p w:rsidR="00857D33" w:rsidRPr="00D93EF1" w:rsidRDefault="00857D33" w:rsidP="00857D33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културни, </w:t>
            </w:r>
          </w:p>
          <w:p w:rsidR="00857D33" w:rsidRPr="00D93EF1" w:rsidRDefault="00857D33" w:rsidP="00857D33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екологични, </w:t>
            </w:r>
          </w:p>
          <w:p w:rsidR="00857D33" w:rsidRPr="00ED32DE" w:rsidRDefault="00857D33" w:rsidP="00857D33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представители на местния бизнес, </w:t>
            </w:r>
          </w:p>
          <w:p w:rsidR="00857D33" w:rsidRPr="00ED32DE" w:rsidRDefault="00857D33" w:rsidP="00857D33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на риболовния туризъм,</w:t>
            </w:r>
          </w:p>
          <w:p w:rsidR="00857D33" w:rsidRPr="006D1583" w:rsidRDefault="00857D33" w:rsidP="006D1583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на любителския риболов</w:t>
            </w:r>
            <w:r w:rsidR="006D1583" w:rsidRPr="00DF5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6D1583" w:rsidRPr="006D15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 лица)</w:t>
            </w:r>
          </w:p>
          <w:p w:rsidR="00857D33" w:rsidRPr="00ED32DE" w:rsidRDefault="00857D33" w:rsidP="00857D33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на местната власт,</w:t>
            </w:r>
          </w:p>
          <w:p w:rsidR="00857D33" w:rsidRDefault="00857D33" w:rsidP="00857D33">
            <w:pPr>
              <w:pStyle w:val="ListParagraph"/>
              <w:numPr>
                <w:ilvl w:val="0"/>
                <w:numId w:val="1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>рибарски сдружения</w:t>
            </w:r>
            <w:r w:rsidR="006D1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ловно-рибарски сдружения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D52A2" w:rsidRDefault="006D52A2" w:rsidP="00D03BEC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9F7F84" w:rsidRPr="00D03BEC" w:rsidRDefault="009F7F84" w:rsidP="00D03BEC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Един представител може да представлява само една от изброените групи.</w:t>
            </w:r>
          </w:p>
          <w:p w:rsidR="00857D33" w:rsidRPr="00810E10" w:rsidRDefault="009F7F84" w:rsidP="00857D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наличие на поне един представител от изброените групи, за всяка представена група се присъждат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A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точки</w:t>
            </w:r>
            <w:r w:rsidR="00857D33" w:rsidRPr="00810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, максимум </w:t>
            </w:r>
            <w:r w:rsidR="00122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24</w:t>
            </w:r>
            <w:r w:rsidR="00857D33" w:rsidRPr="00810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точки</w:t>
            </w:r>
            <w:r w:rsidR="00D5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</w:t>
            </w:r>
            <w:r w:rsidR="00D5225B" w:rsidRPr="00FF0A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Точки се присъждат единствено, когато някоя от изброените групи е определена в стратегията с налична обосновка.</w:t>
            </w:r>
          </w:p>
          <w:p w:rsidR="00857D33" w:rsidRDefault="00857D33" w:rsidP="008D7C2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57D33" w:rsidRPr="00810E10" w:rsidRDefault="00857D33" w:rsidP="008D7C2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</w:t>
            </w:r>
            <w:r w:rsidR="00857D3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Наличие на представители на рибарския сектор </w:t>
            </w:r>
            <w:r w:rsidR="00254E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управителния съвет на МИРГ</w:t>
            </w:r>
            <w:r w:rsidR="007637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съгласно анализа на заинтересованите страни, част от стратегията за ВОМР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="00857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857D33" w:rsidRPr="00A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0 </w:t>
            </w:r>
            <w:r w:rsidRPr="00A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точки</w:t>
            </w:r>
          </w:p>
          <w:p w:rsidR="00781B31" w:rsidRDefault="00781B31" w:rsidP="003E18A8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Точки се присъждат единствено, когато са налични представители на рибарския сектор.</w:t>
            </w:r>
          </w:p>
          <w:p w:rsidR="00781B31" w:rsidRPr="003E18A8" w:rsidRDefault="00781B31" w:rsidP="003E18A8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</w:t>
            </w:r>
            <w:r w:rsidR="00857D3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="00857D33"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Участие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(1) 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жени,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(2) 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жители на територията под </w:t>
            </w:r>
            <w:r w:rsidR="00DF54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</w:t>
            </w:r>
            <w:r w:rsidR="00DF54E3"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години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(3)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представители на уязвими социални групи (физически лица) във формираното </w:t>
            </w:r>
            <w:r w:rsidR="00254E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общо събрание</w:t>
            </w:r>
            <w:r w:rsidR="007637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съгласно анализа на заинтересованите страни, част от стратегията за ВОМР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При наличие на поне един представител от изброените групи, за всяка представена група се присъждат </w:t>
            </w:r>
            <w:r w:rsidRPr="00A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 точки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Един представител може да представлява само една от изброените групи.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781B31" w:rsidRPr="00AC7267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Максимален брой точки </w:t>
            </w:r>
            <w:r w:rsidR="00D5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–</w:t>
            </w:r>
            <w:r w:rsidRPr="00A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15</w:t>
            </w:r>
            <w:r w:rsidR="00D5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</w:t>
            </w:r>
            <w:r w:rsidR="00D5225B" w:rsidRPr="00FF0A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Точки се присъждат единствено, когато някоя от изброените групи е определена в стратегията с налична обосновка.</w:t>
            </w:r>
          </w:p>
          <w:p w:rsidR="00781B31" w:rsidRPr="00ED32DE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81B31" w:rsidRDefault="00781B31" w:rsidP="008D7C20">
            <w:pPr>
              <w:numPr>
                <w:ilvl w:val="0"/>
                <w:numId w:val="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C726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Измеримо, резултатно и изпълнимо дефиниране на видовете дейности по стратегията 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местно развитие, качество на стратегията</w:t>
            </w:r>
          </w:p>
          <w:p w:rsidR="00781B31" w:rsidRPr="00AC7267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C726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5.1 Съответствие на видовете дейности в стратегията: </w:t>
            </w:r>
          </w:p>
          <w:p w:rsidR="00781B31" w:rsidRDefault="00781B31" w:rsidP="008D7C20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 съответствие на предложените видове дейности в стратегията едновременно спрямо изведените нужди в SWOT-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анализа </w:t>
            </w:r>
            <w:r w:rsidRPr="00D93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и хоризонталните стратегии и политики на ЕС за програмен период 2021-2027 г.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7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 точки</w:t>
            </w:r>
          </w:p>
          <w:p w:rsidR="00781B31" w:rsidRPr="00AC7267" w:rsidRDefault="00781B31" w:rsidP="008D7C20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AC7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на съответствие на предложените видове дейности в стратегията спрямо изведените нужди в SWOT-анализа </w:t>
            </w:r>
            <w:r w:rsidRPr="00A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или хоризонталните стратегии и политики на ЕС за програмен период 2021-2027 г.</w:t>
            </w:r>
            <w:r w:rsidRPr="00AC7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AC7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точки</w:t>
            </w:r>
          </w:p>
          <w:p w:rsidR="00781B31" w:rsidRPr="002E1A1E" w:rsidRDefault="00781B31" w:rsidP="008D7C20">
            <w:pPr>
              <w:spacing w:line="276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C726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Точки се присъждат, когато всички видове дейности съответстват на посочените критерии. Когато това изискване не е изпълнено в цялост, не се присъждат точки по този критерий.</w:t>
            </w:r>
          </w:p>
          <w:p w:rsidR="00781B31" w:rsidRPr="00ED32DE" w:rsidRDefault="00781B31" w:rsidP="008D7C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  <w:lang w:val="bg-BG" w:eastAsia="en-GB"/>
              </w:rPr>
            </w:pPr>
          </w:p>
          <w:p w:rsidR="00781B31" w:rsidRPr="00ED32DE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.2 Предложените видове дейности са насочени в подкрепа на инвестиции от частни оператори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които ще привлекат инвестиции на територията на МИРГ чрез частното съфинансиране на проекти по планираните видове дейности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:rsidR="00761DF3" w:rsidRDefault="00781B31" w:rsidP="00E56376">
            <w:pPr>
              <w:spacing w:line="276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761DF3"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привлича</w:t>
            </w:r>
            <w:r w:rsidR="00761D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под 15% </w:t>
            </w:r>
            <w:r w:rsidR="00761DF3"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бюджета на стратегията</w:t>
            </w:r>
            <w:r w:rsidR="00761D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(бюджета в БФП) </w:t>
            </w:r>
            <w:r w:rsidR="0079615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="00761D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9615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не се присъждат</w:t>
            </w:r>
            <w:r w:rsidR="00761DF3" w:rsidRPr="003F287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точки</w:t>
            </w:r>
          </w:p>
          <w:p w:rsidR="00781B31" w:rsidRDefault="00761DF3" w:rsidP="00E56376">
            <w:pPr>
              <w:spacing w:line="276" w:lineRule="auto"/>
              <w:ind w:left="79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781B31"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привлича</w:t>
            </w:r>
            <w:r w:rsidR="00781B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15% </w:t>
            </w:r>
            <w:r w:rsidR="00781B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</w:t>
            </w:r>
            <w:r w:rsidR="00781B31"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81B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 w:rsidR="00781B31"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0% от бюджета на стратегията</w:t>
            </w:r>
            <w:r w:rsidR="00781B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(бюджета в БФП) - </w:t>
            </w:r>
            <w:r w:rsidR="00781B31" w:rsidRPr="003F287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10 точки</w:t>
            </w:r>
          </w:p>
          <w:p w:rsidR="00781B31" w:rsidRDefault="00781B31" w:rsidP="00E56376">
            <w:pPr>
              <w:spacing w:line="276" w:lineRule="auto"/>
              <w:ind w:left="79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Ако привлича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21% до 3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0% от бюджета на стратегията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(бюджета в БФП) - </w:t>
            </w:r>
            <w:r w:rsidRPr="003F287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15 точки</w:t>
            </w:r>
          </w:p>
          <w:p w:rsidR="00781B31" w:rsidRPr="008D7C20" w:rsidRDefault="00781B31" w:rsidP="00E56376">
            <w:pPr>
              <w:spacing w:line="276" w:lineRule="auto"/>
              <w:ind w:left="79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Ако привлича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31% и повече 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бюджета на стратегията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(бюджета в БФП)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Pr="003F287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20 точки</w:t>
            </w: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Процентното съотношение се приравнява в цели числа за целта на измерването на индикатора.</w:t>
            </w:r>
          </w:p>
          <w:p w:rsidR="00781B31" w:rsidRPr="00ED32DE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5.3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Екологична насоченост на  видовете дейности в стратегията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781B31" w:rsidRPr="003F2874" w:rsidRDefault="00781B31" w:rsidP="008D7C20">
            <w:pPr>
              <w:pStyle w:val="ListParagraph"/>
              <w:numPr>
                <w:ilvl w:val="0"/>
                <w:numId w:val="16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>0% от бюджета на стратегията е предвиден за постигането на екологични цели, съблюдаващи принципите на отговорно управление на ресурсите, опазване и защита на екосистемите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3F2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точки. </w:t>
            </w:r>
          </w:p>
          <w:p w:rsidR="00781B31" w:rsidRPr="003F2874" w:rsidRDefault="00781B31" w:rsidP="008D7C20">
            <w:pPr>
              <w:pStyle w:val="ListParagraph"/>
              <w:numPr>
                <w:ilvl w:val="0"/>
                <w:numId w:val="16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повече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5135">
              <w:rPr>
                <w:rFonts w:ascii="Times New Roman" w:eastAsia="Times New Roman" w:hAnsi="Times New Roman" w:cs="Times New Roman"/>
                <w:sz w:val="24"/>
                <w:szCs w:val="24"/>
              </w:rPr>
              <w:t>от бюджета на стратегията е предвиден за постигането на екологични цели, съблюдаващи принципите на отговорно управление на ресурсите, опазване и защита на екосистемите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3F2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точки. </w:t>
            </w:r>
          </w:p>
          <w:p w:rsidR="006D52A2" w:rsidRDefault="006D52A2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Когато това бюджетно съотношение е под </w:t>
            </w:r>
            <w:r w:rsidR="00254E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%, не се присъждат точки.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Процентното съотношение се закръгля до цяло число по аритметичен способ.</w:t>
            </w:r>
          </w:p>
          <w:p w:rsidR="00781B31" w:rsidRPr="00D93EF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5.4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Наличие на 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видове дейности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със социален ефект спрямо лица от уязвимите социални групи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стратегията – </w:t>
            </w:r>
            <w:r w:rsidRPr="005C5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 точки.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Точки се присъждат, когато повече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% от бюджета на стратегията е предвиден за извършването на дейности със социална насоченост. Когато това бюджетно съотношение е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%, не се присъждат точки.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781B31" w:rsidRPr="00ED32DE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</w:pP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5.5 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Наличие на видове дейности в стратегията за осъществяване на връзки и сътрудничество между сектори и структури в рибарската територия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781B31" w:rsidRDefault="00781B31" w:rsidP="008D7C20">
            <w:pPr>
              <w:pStyle w:val="ListParagraph"/>
              <w:numPr>
                <w:ilvl w:val="0"/>
                <w:numId w:val="16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C5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="00254E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C513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4E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4E1E"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r w:rsidRPr="009C5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бюджета на стратегията е предвиден за 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</w:rPr>
              <w:t>осъществяване на връзки и сътрудничество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C5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точки</w:t>
            </w:r>
            <w:r w:rsidRPr="009C5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81B31" w:rsidRPr="00BA1796" w:rsidRDefault="00781B31" w:rsidP="008D7C20">
            <w:pPr>
              <w:pStyle w:val="ListParagraph"/>
              <w:numPr>
                <w:ilvl w:val="0"/>
                <w:numId w:val="16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 </w:t>
            </w:r>
            <w:r w:rsidR="00254E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r w:rsidRPr="009C5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бюджета на стратегията е предвиден за </w:t>
            </w:r>
            <w:r w:rsidR="00857D33" w:rsidRPr="00ED32DE">
              <w:rPr>
                <w:rFonts w:ascii="Times New Roman" w:eastAsia="Times New Roman" w:hAnsi="Times New Roman" w:cs="Times New Roman"/>
                <w:sz w:val="24"/>
                <w:szCs w:val="24"/>
              </w:rPr>
              <w:t>осъществяване на връзки и сътрудничество</w:t>
            </w:r>
            <w:r w:rsidR="0085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5C5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точки</w:t>
            </w:r>
            <w:r w:rsidRPr="00BA1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Когато това бюджетно съотношение е под </w:t>
            </w:r>
            <w:r w:rsidR="00254E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%, не се присъждат точки. </w:t>
            </w:r>
            <w:r w:rsidRPr="00BA17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Процентното съотношение се закръгля до цяло число по аритметичен способ.</w:t>
            </w: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81B31" w:rsidRDefault="00781B31" w:rsidP="005C53B8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-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5.6 </w:t>
            </w:r>
            <w:r w:rsidR="00FD0E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Наличие в стратегията на дейности </w:t>
            </w:r>
            <w:r w:rsidR="006A5D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подготовка и </w:t>
            </w:r>
            <w:r w:rsidR="00FD0E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сътрудничество с други МИРГ, МИГ, както и подобен тип структури, прилагащи подходи за </w:t>
            </w:r>
            <w:r w:rsidR="007151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териториално </w:t>
            </w:r>
            <w:r w:rsidR="00FD0E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развитие от България, ЕС или трети стран</w:t>
            </w:r>
            <w:r w:rsidR="00FD0E94" w:rsidRPr="00E563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E563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781B31" w:rsidRDefault="00781B31" w:rsidP="005C53B8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882" w:hanging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C5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="00123A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C513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7B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r w:rsidRPr="009C5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бюджета на стратегията е предвиден за 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</w:rPr>
              <w:t>осъществяване на връзки и сътрудничество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C5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точки</w:t>
            </w:r>
            <w:r w:rsidRPr="009C5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81B31" w:rsidRPr="00BA1796" w:rsidRDefault="00781B31" w:rsidP="00DF54E3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 </w:t>
            </w:r>
            <w:r w:rsidR="002D7B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r w:rsidRPr="009C5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бюджета на стратегията е предвиден за </w:t>
            </w:r>
            <w:r w:rsidR="00DF54E3" w:rsidRPr="00DF5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осъществяване на връзки и сътрудничество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5C5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точки</w:t>
            </w:r>
            <w:r w:rsidRPr="00BA1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81B31" w:rsidRDefault="00781B31" w:rsidP="005C53B8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-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Когато това бюджетно съотношение е под </w:t>
            </w:r>
            <w:r w:rsidR="002D7B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%, не се присъждат точки. </w:t>
            </w:r>
            <w:r w:rsidRPr="00BA17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Процентното съотношение се закръгля до цяло число по аритметичен способ.</w:t>
            </w: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5.7 Наличие на сътрудничество по критерии 5.5 и 5.6 едновременно</w:t>
            </w:r>
            <w:r w:rsidR="004B7670" w:rsidRPr="00010D3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B767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присъдени 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Pr="005C5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 точки</w:t>
            </w:r>
          </w:p>
          <w:p w:rsidR="00781B31" w:rsidRPr="00BA1796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5.8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 Бюджетът за всеки вид дейност е логически обоснован и е в съответствие на целите на стратегията (Бюджетът има ясна разбивка по позиции и е обвързан с финансовия план)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 – </w:t>
            </w:r>
            <w:r w:rsidRPr="00F87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fr-FR"/>
              </w:rPr>
              <w:t>10 точки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. </w:t>
            </w:r>
          </w:p>
          <w:p w:rsidR="00781B31" w:rsidRPr="00ED32DE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5.9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 </w:t>
            </w:r>
            <w:r w:rsidR="006A5DB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Налична е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 синергия и допълняемост с други стратегически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дейности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, изпълняващи се на рибарската територия</w:t>
            </w:r>
            <w:r w:rsidR="00DF54E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 (оценява се наличната информация, посочена от кандидата в стратегията за ВОМР)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 - </w:t>
            </w:r>
            <w:r w:rsidRPr="00F87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fr-FR"/>
              </w:rPr>
              <w:t>10 точки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.</w:t>
            </w:r>
          </w:p>
          <w:p w:rsidR="00BB41A3" w:rsidRPr="00ED32DE" w:rsidRDefault="00BB41A3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5.10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 Наличие на специфични за територията индикатори за резултат, които адекватно измерват ефекта </w:t>
            </w:r>
            <w:r w:rsidRPr="00D93EF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на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 стратегията във връзка с 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характерните особености на територията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- </w:t>
            </w:r>
            <w:r w:rsidRPr="00F87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fr-FR"/>
              </w:rPr>
              <w:t>10 точки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.</w:t>
            </w: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5.11 Наличие в стратегията на план за мониторинг и оценка на стратегията</w:t>
            </w:r>
            <w:r w:rsidR="008C3CC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, който да съдържа планирани дейности,  времеви график на планираните дейности, обосновка за избора им и техните етапи на изпълнение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- </w:t>
            </w:r>
            <w:r w:rsidRPr="00F87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fr-FR"/>
              </w:rPr>
              <w:t>10 точки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fr-FR"/>
              </w:rPr>
              <w:t>.</w:t>
            </w: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5.12 Стратегията е така изградена, че с изпълнението </w:t>
            </w:r>
            <w:r w:rsidR="002D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се постигат целите на ПМДРА и на правото на общността за прилагането на подхода ВОМР в програмен период 2021-2027 г. - </w:t>
            </w:r>
            <w:r w:rsidRPr="00F87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fr-FR"/>
              </w:rPr>
              <w:t>10 точки</w:t>
            </w: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Точки се присъждат само когато чрез стратегията се постигат целите, описани в ПМДРА и европейската нормативна база.</w:t>
            </w: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</w:p>
          <w:p w:rsidR="00781B31" w:rsidRPr="00ED32DE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5.13 Заявена готовност от страна на членовете на МИРГ за предоставянето на нефинансов принос към развитието на дейността на групата (напр. безвъзмезден труд, помещения, оборудване и пр.)</w:t>
            </w:r>
            <w:r w:rsidR="00DF54E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 Оценява се наличната информация, посочена от кандидата в стратегията за ВОМР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 - </w:t>
            </w:r>
            <w:r w:rsidRPr="00F87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fr-FR"/>
              </w:rPr>
              <w:t>10 точки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fr-FR"/>
              </w:rPr>
              <w:t>.</w:t>
            </w:r>
          </w:p>
          <w:p w:rsidR="00781B31" w:rsidRPr="00ED32DE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fr-FR"/>
              </w:rPr>
            </w:pPr>
          </w:p>
          <w:p w:rsidR="00781B31" w:rsidRDefault="00781B31" w:rsidP="008D7C20">
            <w:pPr>
              <w:numPr>
                <w:ilvl w:val="0"/>
                <w:numId w:val="1"/>
              </w:num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Принос към хоризонтални стратегии и политики</w:t>
            </w:r>
          </w:p>
          <w:p w:rsidR="003B4DF5" w:rsidRPr="00ED32DE" w:rsidRDefault="003B4DF5" w:rsidP="00266DB1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6.1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С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тратегията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 допринася за целите на 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интелигентната специализация на 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- </w:t>
            </w:r>
            <w:r w:rsidRPr="00F87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fr-FR"/>
              </w:rPr>
              <w:t>10 точки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fr-FR"/>
              </w:rPr>
              <w:t>.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 </w:t>
            </w: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Точки се присъждат само при наличието на </w:t>
            </w:r>
            <w:r w:rsidR="002D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 xml:space="preserve">ясна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  <w:t>обосновка в стратегията.</w:t>
            </w:r>
          </w:p>
          <w:p w:rsidR="00781B31" w:rsidRPr="00ED32DE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fr-FR"/>
              </w:rPr>
            </w:pP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6.2 Наличие на дейности за насърчаване на </w:t>
            </w:r>
            <w:r w:rsidR="00596DC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устойчивата 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синя икономика чрез  иновации и растеж в специфичните сектори в рибарската общност, обект на стратегията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- </w:t>
            </w:r>
            <w:r w:rsidRPr="00F87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fr-FR"/>
              </w:rPr>
              <w:t>10 точки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:rsidR="003A0D1D" w:rsidRPr="00ED32DE" w:rsidRDefault="003A0D1D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81B31" w:rsidRPr="00ED32DE" w:rsidRDefault="00781B31" w:rsidP="003E18A8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ind w:left="72" w:firstLine="4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D32D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Принос към </w:t>
            </w:r>
            <w:r w:rsidR="00E712B0">
              <w:rPr>
                <w:rFonts w:ascii="Times New Roman" w:hAnsi="Times New Roman"/>
                <w:sz w:val="24"/>
                <w:szCs w:val="24"/>
                <w:lang w:val="bg-BG"/>
              </w:rPr>
              <w:t>специфични</w:t>
            </w:r>
            <w:r w:rsidR="00E712B0" w:rsidRPr="00E712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политики и хоризонтални приоритети</w:t>
            </w:r>
            <w:r w:rsidR="00E712B0" w:rsidRPr="00E712B0" w:rsidDel="00E712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ED32DE">
              <w:rPr>
                <w:rFonts w:ascii="Times New Roman" w:hAnsi="Times New Roman"/>
                <w:sz w:val="24"/>
                <w:szCs w:val="24"/>
                <w:lang w:val="bg-BG"/>
              </w:rPr>
              <w:t>на ниво ЕС. Точки се присъждат при доказан принос на стратегията по описани</w:t>
            </w:r>
            <w:r w:rsidR="003B4DF5">
              <w:rPr>
                <w:rFonts w:ascii="Times New Roman" w:hAnsi="Times New Roman"/>
                <w:sz w:val="24"/>
                <w:szCs w:val="24"/>
                <w:lang w:val="bg-BG"/>
              </w:rPr>
              <w:t>те</w:t>
            </w:r>
            <w:r w:rsidRPr="00ED32D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във формуляра на стратегията </w:t>
            </w:r>
            <w:r w:rsidR="00E712B0">
              <w:rPr>
                <w:rFonts w:ascii="Times New Roman" w:hAnsi="Times New Roman"/>
                <w:sz w:val="24"/>
                <w:szCs w:val="24"/>
                <w:lang w:val="bg-BG"/>
              </w:rPr>
              <w:t>политики и приоритети</w:t>
            </w:r>
            <w:r w:rsidRPr="00ED32DE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781B31" w:rsidRPr="00ED32DE" w:rsidRDefault="00781B31" w:rsidP="00E56376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hAnsi="Times New Roman"/>
                <w:sz w:val="24"/>
                <w:szCs w:val="24"/>
                <w:lang w:val="bg-BG"/>
              </w:rPr>
              <w:t>- Възстановяване и устойчивост</w:t>
            </w:r>
          </w:p>
          <w:p w:rsidR="00781B31" w:rsidRPr="00ED32DE" w:rsidRDefault="00781B31" w:rsidP="00E56376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hAnsi="Times New Roman"/>
                <w:sz w:val="24"/>
                <w:szCs w:val="24"/>
                <w:lang w:val="bg-BG"/>
              </w:rPr>
              <w:t>- Зелен преход</w:t>
            </w:r>
          </w:p>
          <w:p w:rsidR="00781B31" w:rsidRPr="00ED32DE" w:rsidRDefault="00781B31" w:rsidP="00E56376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hAnsi="Times New Roman"/>
                <w:sz w:val="24"/>
                <w:szCs w:val="24"/>
                <w:lang w:val="bg-BG"/>
              </w:rPr>
              <w:t>- Цифров преход</w:t>
            </w:r>
          </w:p>
          <w:p w:rsidR="00781B31" w:rsidRPr="00ED32DE" w:rsidRDefault="00781B31" w:rsidP="00E56376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hAnsi="Times New Roman"/>
                <w:sz w:val="24"/>
                <w:szCs w:val="24"/>
                <w:lang w:val="bg-BG"/>
              </w:rPr>
              <w:t>- Засилване на иновации за конкурентоспособност и устойчивост</w:t>
            </w:r>
          </w:p>
          <w:p w:rsidR="00781B31" w:rsidRPr="00ED32DE" w:rsidRDefault="00781B31" w:rsidP="00E56376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hAnsi="Times New Roman"/>
                <w:sz w:val="24"/>
                <w:szCs w:val="24"/>
                <w:lang w:val="bg-BG"/>
              </w:rPr>
              <w:t>- Оптимална добавена стойност и прилагане на механизми за привличане на публична подкрепа</w:t>
            </w:r>
          </w:p>
          <w:p w:rsidR="00781B31" w:rsidRPr="00ED32DE" w:rsidRDefault="00781B31" w:rsidP="00E56376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hAnsi="Times New Roman"/>
                <w:sz w:val="24"/>
                <w:szCs w:val="24"/>
                <w:lang w:val="bg-BG"/>
              </w:rPr>
              <w:t>- Декарбонизация</w:t>
            </w:r>
          </w:p>
          <w:p w:rsidR="00E712B0" w:rsidRDefault="00781B31" w:rsidP="00E56376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hAnsi="Times New Roman"/>
                <w:sz w:val="24"/>
                <w:szCs w:val="24"/>
                <w:lang w:val="bg-BG"/>
              </w:rPr>
              <w:t>- Инвестиции в синя икономика</w:t>
            </w:r>
          </w:p>
          <w:p w:rsidR="00E712B0" w:rsidRDefault="00E712B0" w:rsidP="00E56376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- Обща политика в областта на рибарството</w:t>
            </w:r>
          </w:p>
          <w:p w:rsidR="00E712B0" w:rsidRPr="00F71A6C" w:rsidRDefault="00F71A6C" w:rsidP="00E56376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E18A8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3E18A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стойчив </w:t>
            </w:r>
            <w:r w:rsidRPr="00F71A6C">
              <w:rPr>
                <w:rFonts w:ascii="Times New Roman" w:hAnsi="Times New Roman"/>
                <w:sz w:val="24"/>
                <w:szCs w:val="24"/>
                <w:lang w:val="bg-BG"/>
              </w:rPr>
              <w:t>и конкурентоспособен сектор на аквакултур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E18A8">
              <w:rPr>
                <w:rFonts w:ascii="Times New Roman" w:hAnsi="Times New Roman"/>
                <w:sz w:val="24"/>
                <w:szCs w:val="24"/>
                <w:lang w:val="bg-BG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Присъждат се по </w:t>
            </w:r>
            <w:r w:rsidRPr="00F8756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 точки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всяка </w:t>
            </w:r>
            <w:r w:rsidR="00F71A6C">
              <w:rPr>
                <w:rFonts w:ascii="Times New Roman" w:hAnsi="Times New Roman"/>
                <w:sz w:val="24"/>
                <w:szCs w:val="24"/>
                <w:lang w:val="bg-BG"/>
              </w:rPr>
              <w:t>политика или приоритет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При обоснован принос по всички цели се присъждат допълнително </w:t>
            </w:r>
            <w:r w:rsidR="00F71A6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  <w:r w:rsidR="00F71A6C" w:rsidRPr="00F8756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Pr="00F8756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точки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781B31" w:rsidRPr="00F87560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8756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Максимален брой точки </w:t>
            </w:r>
            <w:r w:rsidR="00F71A6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30</w:t>
            </w:r>
            <w:r w:rsidRPr="00F8756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  <w:p w:rsidR="00781B31" w:rsidRPr="00ED32DE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" w:firstLine="4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781B31" w:rsidRPr="00ED32DE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D32D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7.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Популяризация на стратегията на МИРГ чрез в</w:t>
            </w:r>
            <w:r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идимост, прозрачност и комуникация</w:t>
            </w:r>
            <w:r w:rsidR="007C48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описани в стратегията за ВОМР</w:t>
            </w:r>
          </w:p>
          <w:p w:rsidR="00781B31" w:rsidRPr="00ED32DE" w:rsidRDefault="0082768F" w:rsidP="00E5637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6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</w:t>
            </w:r>
            <w:r w:rsidR="00781B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Създаване</w:t>
            </w:r>
            <w:r w:rsidR="00DF54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поддръжка</w:t>
            </w:r>
            <w:r w:rsidR="00781B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r w:rsidR="006E71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информационен </w:t>
            </w:r>
            <w:r w:rsidR="00781B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сайт - </w:t>
            </w:r>
            <w:r w:rsidR="0078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fr-FR"/>
              </w:rPr>
              <w:t>5</w:t>
            </w:r>
            <w:r w:rsidR="00781B31" w:rsidRPr="00F87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fr-FR"/>
              </w:rPr>
              <w:t xml:space="preserve"> точки</w:t>
            </w:r>
          </w:p>
          <w:p w:rsidR="00781B31" w:rsidRPr="00ED32DE" w:rsidRDefault="0082768F" w:rsidP="00E5637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6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</w:t>
            </w:r>
            <w:r w:rsidR="00781B31"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Създаване </w:t>
            </w:r>
            <w:r w:rsidR="00DF54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поддръжка </w:t>
            </w:r>
            <w:r w:rsidR="00781B31"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781B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страница</w:t>
            </w:r>
            <w:r w:rsidR="005A40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/канал</w:t>
            </w:r>
            <w:r w:rsidR="00DF54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социалните мрежи</w:t>
            </w:r>
            <w:r w:rsidR="00781B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- </w:t>
            </w:r>
            <w:r w:rsidR="0078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fr-FR"/>
              </w:rPr>
              <w:t>5</w:t>
            </w:r>
            <w:r w:rsidR="00781B31" w:rsidRPr="00F87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fr-FR"/>
              </w:rPr>
              <w:t xml:space="preserve"> точки</w:t>
            </w:r>
          </w:p>
          <w:p w:rsidR="00781B31" w:rsidRDefault="0082768F" w:rsidP="00E5637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6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</w:t>
            </w:r>
            <w:r w:rsidR="00781B31"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Организиране на събития</w:t>
            </w:r>
            <w:r w:rsidR="006E71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изпълнението на дейностите на подхода</w:t>
            </w:r>
            <w:r w:rsidR="00781B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- </w:t>
            </w:r>
            <w:r w:rsidR="0078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fr-FR"/>
              </w:rPr>
              <w:t>5</w:t>
            </w:r>
            <w:r w:rsidR="00781B31" w:rsidRPr="00F87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fr-FR"/>
              </w:rPr>
              <w:t xml:space="preserve"> точки</w:t>
            </w:r>
            <w:r w:rsidR="00781B31" w:rsidRPr="00ED32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781B31" w:rsidRPr="005825E3" w:rsidRDefault="00781B31" w:rsidP="00781B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25E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Максимум 15 точки</w:t>
            </w:r>
          </w:p>
          <w:p w:rsidR="00781B31" w:rsidRDefault="00781B31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E81907" w:rsidRPr="001B63EF" w:rsidRDefault="00E81907" w:rsidP="008D7C20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8. Устойчиво изпълнение на подхода ВОМР през програмен период 2014-2020</w:t>
            </w:r>
            <w:r w:rsidR="0012273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  <w:r w:rsidR="001B63EF" w:rsidRPr="001B63E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A5D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Оценява се изпълнението на </w:t>
            </w:r>
            <w:r w:rsidR="002B1C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последната прилагана стратегия, финансирана от ЕФМДР или ЕФР.</w:t>
            </w:r>
          </w:p>
          <w:p w:rsidR="0012273F" w:rsidRDefault="0012273F" w:rsidP="00E56376">
            <w:pPr>
              <w:tabs>
                <w:tab w:val="left" w:pos="162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61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На територията на МИРГ е изпълняван подхода ВОМР през посочения период със стойност </w:t>
            </w:r>
            <w:r w:rsidR="008822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изпълнените проекти</w:t>
            </w:r>
            <w:r w:rsidR="002D7BD3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стратегията (без текущи разходи и анимация) </w:t>
            </w:r>
            <w:r w:rsidR="008822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над </w:t>
            </w:r>
            <w:r w:rsidR="008822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% от предвидените в бюджета на стратегията – </w:t>
            </w:r>
            <w:r w:rsidR="007C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</w:t>
            </w:r>
            <w:r w:rsidR="007C4805" w:rsidRPr="003E1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0 </w:t>
            </w:r>
            <w:r w:rsidRPr="003E1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точки</w:t>
            </w:r>
          </w:p>
          <w:p w:rsidR="00882266" w:rsidRDefault="00882266" w:rsidP="00E56376">
            <w:pPr>
              <w:tabs>
                <w:tab w:val="left" w:pos="162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6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На територията на МИРГ е изпълняван подхода ВОМР през посочения период със стойност на изпълнените проекти по стратегията (без текущи разходи и анимация) с </w:t>
            </w:r>
            <w:r w:rsidR="00B00A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-89% от предвидените в бюджета на стратегията –</w:t>
            </w:r>
            <w:r w:rsidR="007C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35</w:t>
            </w:r>
            <w:r w:rsidRPr="0049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точки</w:t>
            </w:r>
          </w:p>
          <w:p w:rsidR="00882266" w:rsidRDefault="00882266" w:rsidP="00E56376">
            <w:pPr>
              <w:tabs>
                <w:tab w:val="left" w:pos="162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6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На територията на МИРГ е изпълняван подхода ВОМР през посочения период със стойност на изпълнените проекти по стратегията (без текущи разходи и анимация) с 60-79% от предвидените в бюджета на стратегията – </w:t>
            </w:r>
            <w:r w:rsidR="007C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7C4805" w:rsidRPr="0049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0 </w:t>
            </w:r>
            <w:r w:rsidRPr="0049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точки</w:t>
            </w:r>
          </w:p>
          <w:p w:rsidR="0012273F" w:rsidRDefault="0012273F" w:rsidP="00E56376">
            <w:pPr>
              <w:tabs>
                <w:tab w:val="left" w:pos="162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61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На територията на МИРГ е изпълняван подхода ВОМР през посочения период със стойност </w:t>
            </w:r>
            <w:r w:rsidR="007C48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изпълнените проекти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стратегията (без текущи разходи и анимация) под 60% от предвидените в бюджета на стратегията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 се присъждат точки</w:t>
            </w:r>
          </w:p>
          <w:p w:rsidR="00882266" w:rsidRDefault="00882266" w:rsidP="0012273F">
            <w:pPr>
              <w:tabs>
                <w:tab w:val="left" w:pos="-6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Процентното съотношение се закръгля до цели числа</w:t>
            </w:r>
          </w:p>
          <w:p w:rsidR="0012273F" w:rsidRPr="005825E3" w:rsidRDefault="0012273F" w:rsidP="001227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25E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Максимум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50</w:t>
            </w:r>
            <w:r w:rsidRPr="005825E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точки</w:t>
            </w:r>
          </w:p>
          <w:p w:rsidR="00781B31" w:rsidRPr="009B6AD1" w:rsidRDefault="00781B31" w:rsidP="00781B3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81B31" w:rsidRPr="00003557" w:rsidTr="00F765AA">
        <w:tc>
          <w:tcPr>
            <w:tcW w:w="1908" w:type="dxa"/>
          </w:tcPr>
          <w:p w:rsidR="00781B31" w:rsidRPr="000B1A4A" w:rsidRDefault="00781B31" w:rsidP="008D7C2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714" w:type="dxa"/>
          </w:tcPr>
          <w:p w:rsidR="00781B31" w:rsidRPr="002A4AF4" w:rsidRDefault="00781B31" w:rsidP="00781B3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fr-FR"/>
              </w:rPr>
            </w:pPr>
            <w:r w:rsidRPr="00E62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fr-FR"/>
              </w:rPr>
              <w:t xml:space="preserve">Максимален брой точки: </w:t>
            </w:r>
            <w:r w:rsidR="00CA0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fr-FR"/>
              </w:rPr>
              <w:t>475</w:t>
            </w:r>
          </w:p>
          <w:p w:rsidR="00781B31" w:rsidRPr="00ED32DE" w:rsidRDefault="00781B31" w:rsidP="00CA05E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62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fr-FR"/>
              </w:rPr>
              <w:t xml:space="preserve">Минимален брой точки: </w:t>
            </w:r>
            <w:r w:rsidR="00CA0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fr-FR"/>
              </w:rPr>
              <w:t>290</w:t>
            </w:r>
          </w:p>
        </w:tc>
      </w:tr>
    </w:tbl>
    <w:p w:rsidR="00AB2B0F" w:rsidRPr="000B1A4A" w:rsidRDefault="00AB2B0F" w:rsidP="00851E49">
      <w:pPr>
        <w:spacing w:after="0"/>
        <w:rPr>
          <w:lang w:val="bg-BG"/>
        </w:rPr>
      </w:pPr>
    </w:p>
    <w:sectPr w:rsidR="00AB2B0F" w:rsidRPr="000B1A4A" w:rsidSect="009F5987">
      <w:pgSz w:w="12240" w:h="15840"/>
      <w:pgMar w:top="108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57F" w:rsidRDefault="007C257F" w:rsidP="009E6EA9">
      <w:pPr>
        <w:spacing w:after="0" w:line="240" w:lineRule="auto"/>
      </w:pPr>
      <w:r>
        <w:separator/>
      </w:r>
    </w:p>
  </w:endnote>
  <w:endnote w:type="continuationSeparator" w:id="0">
    <w:p w:rsidR="007C257F" w:rsidRDefault="007C257F" w:rsidP="009E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57F" w:rsidRDefault="007C257F" w:rsidP="009E6EA9">
      <w:pPr>
        <w:spacing w:after="0" w:line="240" w:lineRule="auto"/>
      </w:pPr>
      <w:r>
        <w:separator/>
      </w:r>
    </w:p>
  </w:footnote>
  <w:footnote w:type="continuationSeparator" w:id="0">
    <w:p w:rsidR="007C257F" w:rsidRDefault="007C257F" w:rsidP="009E6EA9">
      <w:pPr>
        <w:spacing w:after="0" w:line="240" w:lineRule="auto"/>
      </w:pPr>
      <w:r>
        <w:continuationSeparator/>
      </w:r>
    </w:p>
  </w:footnote>
  <w:footnote w:id="1">
    <w:p w:rsidR="00247911" w:rsidRPr="00D03BEC" w:rsidRDefault="00247911">
      <w:pPr>
        <w:pStyle w:val="FootnoteText"/>
        <w:rPr>
          <w:rFonts w:ascii="Times New Roman" w:hAnsi="Times New Roman" w:cs="Times New Roman"/>
          <w:sz w:val="22"/>
          <w:szCs w:val="22"/>
          <w:lang w:val="bg-BG"/>
        </w:rPr>
      </w:pPr>
      <w:r w:rsidRPr="00D03BEC">
        <w:rPr>
          <w:rFonts w:ascii="Times New Roman" w:hAnsi="Times New Roman" w:cs="Times New Roman"/>
          <w:sz w:val="22"/>
          <w:szCs w:val="22"/>
        </w:rPr>
        <w:footnoteRef/>
      </w:r>
      <w:r w:rsidRPr="00D03BEC">
        <w:rPr>
          <w:rFonts w:ascii="Times New Roman" w:hAnsi="Times New Roman" w:cs="Times New Roman"/>
          <w:sz w:val="22"/>
          <w:szCs w:val="22"/>
          <w:lang w:val="bg-BG"/>
        </w:rPr>
        <w:t xml:space="preserve"> Под „Рибарство“ се разбира тази част от икономиката и земеделието на Република България, която обхваща дейности в стопанския риболов, аквакултурите, преработка на риба и други водни организми</w:t>
      </w:r>
      <w:r w:rsidR="00575C52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247911" w:rsidRPr="00D03BEC" w:rsidRDefault="00247911">
      <w:pPr>
        <w:pStyle w:val="FootnoteText"/>
        <w:rPr>
          <w:lang w:val="bg-BG"/>
        </w:rPr>
      </w:pPr>
    </w:p>
  </w:footnote>
  <w:footnote w:id="2">
    <w:p w:rsidR="00781B31" w:rsidRPr="00247911" w:rsidRDefault="00781B31" w:rsidP="00D93EF1">
      <w:pPr>
        <w:spacing w:after="0" w:line="240" w:lineRule="auto"/>
        <w:ind w:right="-63"/>
        <w:rPr>
          <w:rFonts w:ascii="Times New Roman" w:hAnsi="Times New Roman" w:cs="Times New Roman"/>
          <w:lang w:val="bg-BG"/>
        </w:rPr>
      </w:pPr>
      <w:r w:rsidRPr="00D03BEC">
        <w:rPr>
          <w:rStyle w:val="FootnoteReference"/>
          <w:lang w:val="bg-BG"/>
        </w:rPr>
        <w:footnoteRef/>
      </w:r>
      <w:r w:rsidRPr="00D03BEC">
        <w:rPr>
          <w:lang w:val="bg-BG"/>
        </w:rPr>
        <w:t xml:space="preserve"> </w:t>
      </w:r>
      <w:r w:rsidRPr="00247911">
        <w:rPr>
          <w:rFonts w:ascii="Times New Roman" w:hAnsi="Times New Roman" w:cs="Times New Roman"/>
          <w:lang w:val="bg-BG"/>
        </w:rPr>
        <w:t>Сектори, които са включени в „</w:t>
      </w:r>
      <w:r w:rsidR="002E1A1E" w:rsidRPr="00247911">
        <w:rPr>
          <w:rFonts w:ascii="Times New Roman" w:hAnsi="Times New Roman" w:cs="Times New Roman"/>
          <w:lang w:val="bg-BG"/>
        </w:rPr>
        <w:t xml:space="preserve">устойчивата </w:t>
      </w:r>
      <w:r w:rsidRPr="00247911">
        <w:rPr>
          <w:rFonts w:ascii="Times New Roman" w:hAnsi="Times New Roman" w:cs="Times New Roman"/>
          <w:lang w:val="bg-BG"/>
        </w:rPr>
        <w:t>синя икономика“:</w:t>
      </w:r>
    </w:p>
    <w:p w:rsidR="00781B31" w:rsidRPr="00D93EF1" w:rsidRDefault="00781B31" w:rsidP="00D93EF1">
      <w:pPr>
        <w:pStyle w:val="ListParagraph"/>
        <w:numPr>
          <w:ilvl w:val="0"/>
          <w:numId w:val="15"/>
        </w:numPr>
        <w:spacing w:after="0" w:line="240" w:lineRule="auto"/>
        <w:ind w:right="-63"/>
        <w:rPr>
          <w:rFonts w:ascii="Times New Roman" w:hAnsi="Times New Roman" w:cs="Times New Roman"/>
        </w:rPr>
      </w:pPr>
      <w:r w:rsidRPr="00D93EF1">
        <w:rPr>
          <w:rFonts w:ascii="Times New Roman" w:hAnsi="Times New Roman" w:cs="Times New Roman"/>
        </w:rPr>
        <w:t xml:space="preserve">Аквакултури: </w:t>
      </w:r>
      <w:r w:rsidR="00C268D2">
        <w:rPr>
          <w:rFonts w:ascii="Times New Roman" w:hAnsi="Times New Roman" w:cs="Times New Roman"/>
        </w:rPr>
        <w:t xml:space="preserve">развъждане и </w:t>
      </w:r>
      <w:r w:rsidRPr="00D93EF1">
        <w:rPr>
          <w:rFonts w:ascii="Times New Roman" w:hAnsi="Times New Roman" w:cs="Times New Roman"/>
        </w:rPr>
        <w:t>отглеждане на риба</w:t>
      </w:r>
      <w:r w:rsidR="00C268D2">
        <w:rPr>
          <w:rFonts w:ascii="Times New Roman" w:hAnsi="Times New Roman" w:cs="Times New Roman"/>
        </w:rPr>
        <w:t xml:space="preserve"> и други водни организми</w:t>
      </w:r>
      <w:r w:rsidR="00575C52">
        <w:rPr>
          <w:rFonts w:ascii="Times New Roman" w:hAnsi="Times New Roman" w:cs="Times New Roman"/>
        </w:rPr>
        <w:t>;</w:t>
      </w:r>
    </w:p>
    <w:p w:rsidR="00781B31" w:rsidRPr="00D93EF1" w:rsidRDefault="00C268D2" w:rsidP="00D93EF1">
      <w:pPr>
        <w:pStyle w:val="ListParagraph"/>
        <w:numPr>
          <w:ilvl w:val="0"/>
          <w:numId w:val="15"/>
        </w:numPr>
        <w:spacing w:after="0" w:line="240" w:lineRule="auto"/>
        <w:ind w:right="-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Стопански р</w:t>
      </w:r>
      <w:r w:rsidR="00781B31" w:rsidRPr="00D93EF1">
        <w:rPr>
          <w:rFonts w:ascii="Times New Roman" w:hAnsi="Times New Roman" w:cs="Times New Roman"/>
        </w:rPr>
        <w:t>иболов</w:t>
      </w:r>
      <w:r w:rsidR="00575C52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781B31" w:rsidRPr="00254E1E" w:rsidRDefault="00254E1E" w:rsidP="00E56376">
      <w:pPr>
        <w:pStyle w:val="ListParagraph"/>
        <w:numPr>
          <w:ilvl w:val="0"/>
          <w:numId w:val="15"/>
        </w:numPr>
        <w:spacing w:after="0" w:line="240" w:lineRule="auto"/>
        <w:ind w:right="-63"/>
        <w:jc w:val="both"/>
        <w:rPr>
          <w:rFonts w:ascii="Times New Roman" w:hAnsi="Times New Roman" w:cs="Times New Roman"/>
        </w:rPr>
      </w:pPr>
      <w:r w:rsidRPr="00254E1E">
        <w:rPr>
          <w:rFonts w:ascii="Times New Roman" w:hAnsi="Times New Roman" w:cs="Times New Roman"/>
        </w:rPr>
        <w:t>Синя в</w:t>
      </w:r>
      <w:r w:rsidR="00781B31" w:rsidRPr="00254E1E">
        <w:rPr>
          <w:rFonts w:ascii="Times New Roman" w:hAnsi="Times New Roman" w:cs="Times New Roman"/>
        </w:rPr>
        <w:t>ъзобновяема енергия</w:t>
      </w:r>
      <w:r w:rsidRPr="00254E1E">
        <w:rPr>
          <w:rFonts w:ascii="Times New Roman" w:hAnsi="Times New Roman" w:cs="Times New Roman"/>
        </w:rPr>
        <w:t xml:space="preserve"> съгласно Съобщение на Комисията до Европейския парламент, Съвета, Европейския икономически и социален комитет и Комитета на регионите синя енергия необходими действия за оползотворяване на енергийния потенциал на европейските морета и океани до 2020 г. и след това /* COM/2014/08 </w:t>
      </w:r>
      <w:proofErr w:type="spellStart"/>
      <w:r w:rsidRPr="00254E1E">
        <w:rPr>
          <w:rFonts w:ascii="Times New Roman" w:hAnsi="Times New Roman" w:cs="Times New Roman"/>
        </w:rPr>
        <w:t>final</w:t>
      </w:r>
      <w:proofErr w:type="spellEnd"/>
      <w:r w:rsidRPr="00254E1E">
        <w:rPr>
          <w:rFonts w:ascii="Times New Roman" w:hAnsi="Times New Roman" w:cs="Times New Roman"/>
        </w:rPr>
        <w:t xml:space="preserve"> */</w:t>
      </w:r>
      <w:r w:rsidR="00575C52">
        <w:rPr>
          <w:rFonts w:ascii="Times New Roman" w:hAnsi="Times New Roman" w:cs="Times New Roman"/>
        </w:rPr>
        <w:t>;</w:t>
      </w:r>
    </w:p>
    <w:p w:rsidR="00781B31" w:rsidRPr="00D93EF1" w:rsidRDefault="00781B31" w:rsidP="00D93EF1">
      <w:pPr>
        <w:pStyle w:val="ListParagraph"/>
        <w:numPr>
          <w:ilvl w:val="0"/>
          <w:numId w:val="15"/>
        </w:numPr>
        <w:spacing w:after="0" w:line="240" w:lineRule="auto"/>
        <w:ind w:right="-63"/>
        <w:rPr>
          <w:rFonts w:ascii="Times New Roman" w:hAnsi="Times New Roman" w:cs="Times New Roman"/>
        </w:rPr>
      </w:pPr>
      <w:r w:rsidRPr="00D93EF1">
        <w:rPr>
          <w:rFonts w:ascii="Times New Roman" w:hAnsi="Times New Roman" w:cs="Times New Roman"/>
        </w:rPr>
        <w:t>Пристанищна дейност</w:t>
      </w:r>
      <w:r w:rsidR="00575C52">
        <w:rPr>
          <w:rFonts w:ascii="Times New Roman" w:hAnsi="Times New Roman" w:cs="Times New Roman"/>
        </w:rPr>
        <w:t>;</w:t>
      </w:r>
    </w:p>
    <w:p w:rsidR="00781B31" w:rsidRPr="00D93EF1" w:rsidRDefault="00781B31" w:rsidP="00D93EF1">
      <w:pPr>
        <w:pStyle w:val="ListParagraph"/>
        <w:numPr>
          <w:ilvl w:val="0"/>
          <w:numId w:val="15"/>
        </w:numPr>
        <w:spacing w:after="0" w:line="240" w:lineRule="auto"/>
        <w:ind w:right="-63"/>
        <w:rPr>
          <w:rFonts w:ascii="Times New Roman" w:hAnsi="Times New Roman" w:cs="Times New Roman"/>
        </w:rPr>
      </w:pPr>
      <w:r w:rsidRPr="00D93EF1">
        <w:rPr>
          <w:rFonts w:ascii="Times New Roman" w:hAnsi="Times New Roman" w:cs="Times New Roman"/>
        </w:rPr>
        <w:t>Дейности за опазване на морските екосистеми (с постоянен характер)</w:t>
      </w:r>
      <w:r w:rsidR="00575C52">
        <w:rPr>
          <w:rFonts w:ascii="Times New Roman" w:hAnsi="Times New Roman" w:cs="Times New Roman"/>
        </w:rPr>
        <w:t>;</w:t>
      </w:r>
    </w:p>
    <w:p w:rsidR="00781B31" w:rsidRPr="00D93EF1" w:rsidRDefault="00781B31" w:rsidP="00D93EF1">
      <w:pPr>
        <w:pStyle w:val="ListParagraph"/>
        <w:numPr>
          <w:ilvl w:val="0"/>
          <w:numId w:val="15"/>
        </w:numPr>
        <w:spacing w:after="0" w:line="240" w:lineRule="auto"/>
        <w:ind w:right="-63"/>
        <w:rPr>
          <w:rFonts w:ascii="Times New Roman" w:hAnsi="Times New Roman" w:cs="Times New Roman"/>
        </w:rPr>
      </w:pPr>
      <w:r w:rsidRPr="00D93EF1">
        <w:rPr>
          <w:rFonts w:ascii="Times New Roman" w:hAnsi="Times New Roman" w:cs="Times New Roman"/>
        </w:rPr>
        <w:t>Морска биотехнология, изследвания и развитие (с постоянен характер)</w:t>
      </w:r>
      <w:r w:rsidR="00575C52">
        <w:rPr>
          <w:rFonts w:ascii="Times New Roman" w:hAnsi="Times New Roman" w:cs="Times New Roman"/>
        </w:rPr>
        <w:t>;</w:t>
      </w:r>
    </w:p>
    <w:p w:rsidR="00781B31" w:rsidRPr="00D93EF1" w:rsidRDefault="00781B31" w:rsidP="00E56376">
      <w:pPr>
        <w:pStyle w:val="ListParagraph"/>
        <w:numPr>
          <w:ilvl w:val="0"/>
          <w:numId w:val="15"/>
        </w:numPr>
        <w:spacing w:after="0" w:line="240" w:lineRule="auto"/>
        <w:ind w:right="-63"/>
        <w:jc w:val="both"/>
        <w:rPr>
          <w:rFonts w:ascii="Times New Roman" w:hAnsi="Times New Roman" w:cs="Times New Roman"/>
        </w:rPr>
      </w:pPr>
      <w:proofErr w:type="spellStart"/>
      <w:r w:rsidRPr="00D93EF1">
        <w:rPr>
          <w:rFonts w:ascii="Times New Roman" w:hAnsi="Times New Roman" w:cs="Times New Roman"/>
        </w:rPr>
        <w:t>Биопроспекция</w:t>
      </w:r>
      <w:proofErr w:type="spellEnd"/>
      <w:r w:rsidRPr="00D93EF1">
        <w:rPr>
          <w:rFonts w:ascii="Times New Roman" w:hAnsi="Times New Roman" w:cs="Times New Roman"/>
        </w:rPr>
        <w:t xml:space="preserve">: систематично и организирано търсене на полезни продукти, получени от </w:t>
      </w:r>
      <w:proofErr w:type="spellStart"/>
      <w:r w:rsidRPr="00D93EF1">
        <w:rPr>
          <w:rFonts w:ascii="Times New Roman" w:hAnsi="Times New Roman" w:cs="Times New Roman"/>
        </w:rPr>
        <w:t>биоресурси</w:t>
      </w:r>
      <w:proofErr w:type="spellEnd"/>
      <w:r w:rsidRPr="00D93EF1">
        <w:rPr>
          <w:rFonts w:ascii="Times New Roman" w:hAnsi="Times New Roman" w:cs="Times New Roman"/>
        </w:rPr>
        <w:t>, включително растения, микроорганизми, животни и т.н., които могат да бъдат доразвити за комерсиализация и общи ползи за обществото</w:t>
      </w:r>
      <w:r w:rsidR="00575C52">
        <w:rPr>
          <w:rFonts w:ascii="Times New Roman" w:hAnsi="Times New Roman" w:cs="Times New Roman"/>
        </w:rPr>
        <w:t>;</w:t>
      </w:r>
    </w:p>
    <w:p w:rsidR="00781B31" w:rsidRPr="00D93EF1" w:rsidRDefault="00781B31" w:rsidP="00D93EF1">
      <w:pPr>
        <w:pStyle w:val="ListParagraph"/>
        <w:numPr>
          <w:ilvl w:val="0"/>
          <w:numId w:val="15"/>
        </w:numPr>
        <w:spacing w:after="0" w:line="240" w:lineRule="auto"/>
        <w:ind w:right="-63"/>
        <w:rPr>
          <w:rFonts w:ascii="Times New Roman" w:hAnsi="Times New Roman" w:cs="Times New Roman"/>
        </w:rPr>
      </w:pPr>
      <w:r w:rsidRPr="00D93EF1">
        <w:rPr>
          <w:rFonts w:ascii="Times New Roman" w:hAnsi="Times New Roman" w:cs="Times New Roman"/>
        </w:rPr>
        <w:t>Морски превоз</w:t>
      </w:r>
      <w:r w:rsidR="00575C52">
        <w:rPr>
          <w:rFonts w:ascii="Times New Roman" w:hAnsi="Times New Roman" w:cs="Times New Roman"/>
        </w:rPr>
        <w:t>;</w:t>
      </w:r>
    </w:p>
    <w:p w:rsidR="00781B31" w:rsidRPr="008B4944" w:rsidRDefault="00781B31" w:rsidP="00D93EF1">
      <w:pPr>
        <w:pStyle w:val="ListParagraph"/>
        <w:numPr>
          <w:ilvl w:val="0"/>
          <w:numId w:val="15"/>
        </w:numPr>
        <w:spacing w:after="0" w:line="240" w:lineRule="auto"/>
        <w:ind w:right="-63"/>
        <w:rPr>
          <w:rFonts w:ascii="Times New Roman" w:hAnsi="Times New Roman" w:cs="Times New Roman"/>
          <w:sz w:val="24"/>
          <w:szCs w:val="24"/>
        </w:rPr>
      </w:pPr>
      <w:r w:rsidRPr="00D93EF1">
        <w:rPr>
          <w:rFonts w:ascii="Times New Roman" w:hAnsi="Times New Roman" w:cs="Times New Roman"/>
        </w:rPr>
        <w:t>Туризъм (крайбрежен, морски</w:t>
      </w:r>
      <w:r w:rsidRPr="00D93EF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3EF1">
        <w:rPr>
          <w:rFonts w:ascii="Times New Roman" w:hAnsi="Times New Roman" w:cs="Times New Roman"/>
          <w:lang w:val="en-US"/>
        </w:rPr>
        <w:t>туризъм</w:t>
      </w:r>
      <w:proofErr w:type="spellEnd"/>
      <w:r w:rsidRPr="00D93EF1">
        <w:rPr>
          <w:rFonts w:ascii="Times New Roman" w:hAnsi="Times New Roman" w:cs="Times New Roman"/>
        </w:rPr>
        <w:t>)</w:t>
      </w:r>
      <w:r w:rsidR="00575C52">
        <w:rPr>
          <w:rFonts w:ascii="Times New Roman" w:hAnsi="Times New Roman" w:cs="Times New Roman"/>
        </w:rPr>
        <w:t>.</w:t>
      </w:r>
    </w:p>
    <w:p w:rsidR="00781B31" w:rsidRPr="00D93EF1" w:rsidRDefault="00781B31">
      <w:pPr>
        <w:pStyle w:val="FootnoteText"/>
        <w:rPr>
          <w:lang w:val="bg-BG"/>
        </w:rPr>
      </w:pPr>
    </w:p>
  </w:footnote>
  <w:footnote w:id="3">
    <w:p w:rsidR="002D7BD3" w:rsidRPr="002D7BD3" w:rsidRDefault="002D7BD3">
      <w:pPr>
        <w:pStyle w:val="FootnoteText"/>
        <w:rPr>
          <w:rFonts w:ascii="Times New Roman" w:hAnsi="Times New Roman" w:cs="Times New Roman"/>
          <w:lang w:val="bg-BG"/>
        </w:rPr>
      </w:pPr>
      <w:r w:rsidRPr="002D7BD3">
        <w:rPr>
          <w:rStyle w:val="FootnoteReference"/>
          <w:rFonts w:ascii="Times New Roman" w:hAnsi="Times New Roman" w:cs="Times New Roman"/>
        </w:rPr>
        <w:footnoteRef/>
      </w:r>
      <w:r w:rsidRPr="002D7BD3">
        <w:rPr>
          <w:rFonts w:ascii="Times New Roman" w:hAnsi="Times New Roman" w:cs="Times New Roman"/>
          <w:lang w:val="bg-BG"/>
        </w:rPr>
        <w:t xml:space="preserve"> Под „изпълнени проекти“ се разбира договори с одобрено окончателно плащане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6D8"/>
    <w:multiLevelType w:val="hybridMultilevel"/>
    <w:tmpl w:val="90408264"/>
    <w:lvl w:ilvl="0" w:tplc="6E540A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1C09"/>
    <w:multiLevelType w:val="multilevel"/>
    <w:tmpl w:val="9B268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2" w:hanging="1800"/>
      </w:pPr>
      <w:rPr>
        <w:rFonts w:hint="default"/>
      </w:rPr>
    </w:lvl>
  </w:abstractNum>
  <w:abstractNum w:abstractNumId="2" w15:restartNumberingAfterBreak="0">
    <w:nsid w:val="0A7677B1"/>
    <w:multiLevelType w:val="hybridMultilevel"/>
    <w:tmpl w:val="3AC626D0"/>
    <w:lvl w:ilvl="0" w:tplc="6E540A1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C466A1"/>
    <w:multiLevelType w:val="multilevel"/>
    <w:tmpl w:val="8A94E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4" w15:restartNumberingAfterBreak="0">
    <w:nsid w:val="0E5046CC"/>
    <w:multiLevelType w:val="hybridMultilevel"/>
    <w:tmpl w:val="1476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2521B"/>
    <w:multiLevelType w:val="hybridMultilevel"/>
    <w:tmpl w:val="43546762"/>
    <w:lvl w:ilvl="0" w:tplc="CB58A394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 w15:restartNumberingAfterBreak="0">
    <w:nsid w:val="17862E7D"/>
    <w:multiLevelType w:val="hybridMultilevel"/>
    <w:tmpl w:val="693A2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B5A32"/>
    <w:multiLevelType w:val="hybridMultilevel"/>
    <w:tmpl w:val="190AFDE2"/>
    <w:lvl w:ilvl="0" w:tplc="6E540A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B27F9"/>
    <w:multiLevelType w:val="multilevel"/>
    <w:tmpl w:val="8144A830"/>
    <w:lvl w:ilvl="0">
      <w:start w:val="1"/>
      <w:numFmt w:val="decimal"/>
      <w:lvlText w:val="%1"/>
      <w:lvlJc w:val="left"/>
      <w:pPr>
        <w:ind w:left="384" w:hanging="384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498" w:hanging="384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712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9" w15:restartNumberingAfterBreak="0">
    <w:nsid w:val="42160638"/>
    <w:multiLevelType w:val="hybridMultilevel"/>
    <w:tmpl w:val="86BC4FD4"/>
    <w:lvl w:ilvl="0" w:tplc="6E540A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67590"/>
    <w:multiLevelType w:val="hybridMultilevel"/>
    <w:tmpl w:val="BA0866E8"/>
    <w:lvl w:ilvl="0" w:tplc="CB58A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61640"/>
    <w:multiLevelType w:val="hybridMultilevel"/>
    <w:tmpl w:val="D4F2D26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6E3EF4"/>
    <w:multiLevelType w:val="multilevel"/>
    <w:tmpl w:val="AA32C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1B0134"/>
    <w:multiLevelType w:val="hybridMultilevel"/>
    <w:tmpl w:val="B594889A"/>
    <w:lvl w:ilvl="0" w:tplc="CB58A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16A48"/>
    <w:multiLevelType w:val="hybridMultilevel"/>
    <w:tmpl w:val="11C29EAE"/>
    <w:lvl w:ilvl="0" w:tplc="CB58A394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42F1D"/>
    <w:multiLevelType w:val="hybridMultilevel"/>
    <w:tmpl w:val="6FC8D8EC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C141C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EA85F3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022B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214A552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FDCDDB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B29EEF0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6A1E713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C06DDD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3D6529D"/>
    <w:multiLevelType w:val="hybridMultilevel"/>
    <w:tmpl w:val="132CCF80"/>
    <w:lvl w:ilvl="0" w:tplc="5924395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D27D6"/>
    <w:multiLevelType w:val="multilevel"/>
    <w:tmpl w:val="0CEC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18" w15:restartNumberingAfterBreak="0">
    <w:nsid w:val="768A5134"/>
    <w:multiLevelType w:val="hybridMultilevel"/>
    <w:tmpl w:val="F6385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94783"/>
    <w:multiLevelType w:val="hybridMultilevel"/>
    <w:tmpl w:val="48EAB47E"/>
    <w:lvl w:ilvl="0" w:tplc="CB58A394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0" w15:restartNumberingAfterBreak="0">
    <w:nsid w:val="7FED0CDE"/>
    <w:multiLevelType w:val="hybridMultilevel"/>
    <w:tmpl w:val="93C206C8"/>
    <w:lvl w:ilvl="0" w:tplc="CB58A394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6"/>
  </w:num>
  <w:num w:numId="5">
    <w:abstractNumId w:val="17"/>
  </w:num>
  <w:num w:numId="6">
    <w:abstractNumId w:val="3"/>
  </w:num>
  <w:num w:numId="7">
    <w:abstractNumId w:val="8"/>
  </w:num>
  <w:num w:numId="8">
    <w:abstractNumId w:val="18"/>
  </w:num>
  <w:num w:numId="9">
    <w:abstractNumId w:val="15"/>
  </w:num>
  <w:num w:numId="10">
    <w:abstractNumId w:val="11"/>
  </w:num>
  <w:num w:numId="11">
    <w:abstractNumId w:val="14"/>
  </w:num>
  <w:num w:numId="12">
    <w:abstractNumId w:val="19"/>
  </w:num>
  <w:num w:numId="13">
    <w:abstractNumId w:val="20"/>
  </w:num>
  <w:num w:numId="14">
    <w:abstractNumId w:val="13"/>
  </w:num>
  <w:num w:numId="15">
    <w:abstractNumId w:val="4"/>
  </w:num>
  <w:num w:numId="16">
    <w:abstractNumId w:val="5"/>
  </w:num>
  <w:num w:numId="17">
    <w:abstractNumId w:val="10"/>
  </w:num>
  <w:num w:numId="18">
    <w:abstractNumId w:val="1"/>
  </w:num>
  <w:num w:numId="19">
    <w:abstractNumId w:val="7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C7"/>
    <w:rsid w:val="00003557"/>
    <w:rsid w:val="00010D3F"/>
    <w:rsid w:val="00011B2C"/>
    <w:rsid w:val="000238D2"/>
    <w:rsid w:val="00030837"/>
    <w:rsid w:val="00031ADF"/>
    <w:rsid w:val="00061251"/>
    <w:rsid w:val="0006519F"/>
    <w:rsid w:val="00067B52"/>
    <w:rsid w:val="00074EFC"/>
    <w:rsid w:val="0007671C"/>
    <w:rsid w:val="000A157B"/>
    <w:rsid w:val="000B1A4A"/>
    <w:rsid w:val="000C5AD6"/>
    <w:rsid w:val="000D6590"/>
    <w:rsid w:val="00101473"/>
    <w:rsid w:val="0012273F"/>
    <w:rsid w:val="00123A03"/>
    <w:rsid w:val="00136145"/>
    <w:rsid w:val="00144CDD"/>
    <w:rsid w:val="00186C3C"/>
    <w:rsid w:val="001870D6"/>
    <w:rsid w:val="00190EE9"/>
    <w:rsid w:val="00197F22"/>
    <w:rsid w:val="001A1B07"/>
    <w:rsid w:val="001A3324"/>
    <w:rsid w:val="001B219D"/>
    <w:rsid w:val="001B63EF"/>
    <w:rsid w:val="001D2AC3"/>
    <w:rsid w:val="00202413"/>
    <w:rsid w:val="00230736"/>
    <w:rsid w:val="00246857"/>
    <w:rsid w:val="00247911"/>
    <w:rsid w:val="00254E1E"/>
    <w:rsid w:val="00266DB1"/>
    <w:rsid w:val="00273276"/>
    <w:rsid w:val="00281CC2"/>
    <w:rsid w:val="002A4AF4"/>
    <w:rsid w:val="002B1C87"/>
    <w:rsid w:val="002C33C7"/>
    <w:rsid w:val="002D158D"/>
    <w:rsid w:val="002D7BD3"/>
    <w:rsid w:val="002E1A1E"/>
    <w:rsid w:val="00311FDC"/>
    <w:rsid w:val="0035672C"/>
    <w:rsid w:val="00362105"/>
    <w:rsid w:val="003678A6"/>
    <w:rsid w:val="003841CC"/>
    <w:rsid w:val="003964DD"/>
    <w:rsid w:val="003A0D1D"/>
    <w:rsid w:val="003B2E51"/>
    <w:rsid w:val="003B3C86"/>
    <w:rsid w:val="003B4DF5"/>
    <w:rsid w:val="003C362D"/>
    <w:rsid w:val="003E18A8"/>
    <w:rsid w:val="003F2874"/>
    <w:rsid w:val="004050B9"/>
    <w:rsid w:val="00411797"/>
    <w:rsid w:val="00464DE5"/>
    <w:rsid w:val="0049266D"/>
    <w:rsid w:val="004A58E6"/>
    <w:rsid w:val="004B1F46"/>
    <w:rsid w:val="004B7670"/>
    <w:rsid w:val="004C16F1"/>
    <w:rsid w:val="004D49EF"/>
    <w:rsid w:val="00520B8F"/>
    <w:rsid w:val="005240A8"/>
    <w:rsid w:val="00554CB1"/>
    <w:rsid w:val="0057180E"/>
    <w:rsid w:val="00575C52"/>
    <w:rsid w:val="00580CDC"/>
    <w:rsid w:val="005825E3"/>
    <w:rsid w:val="00596DC3"/>
    <w:rsid w:val="005A409D"/>
    <w:rsid w:val="005C53B8"/>
    <w:rsid w:val="00616A62"/>
    <w:rsid w:val="00630D47"/>
    <w:rsid w:val="00660E17"/>
    <w:rsid w:val="00686F97"/>
    <w:rsid w:val="00697933"/>
    <w:rsid w:val="006A5DBE"/>
    <w:rsid w:val="006D1583"/>
    <w:rsid w:val="006D2C1D"/>
    <w:rsid w:val="006D52A2"/>
    <w:rsid w:val="006E718D"/>
    <w:rsid w:val="0071516F"/>
    <w:rsid w:val="00724A6E"/>
    <w:rsid w:val="00761DF3"/>
    <w:rsid w:val="0076372D"/>
    <w:rsid w:val="00781B31"/>
    <w:rsid w:val="0079615D"/>
    <w:rsid w:val="007B08E0"/>
    <w:rsid w:val="007B3AEF"/>
    <w:rsid w:val="007B5E74"/>
    <w:rsid w:val="007C0082"/>
    <w:rsid w:val="007C257F"/>
    <w:rsid w:val="007C4805"/>
    <w:rsid w:val="007D6D75"/>
    <w:rsid w:val="007E72C1"/>
    <w:rsid w:val="00810E10"/>
    <w:rsid w:val="0082768F"/>
    <w:rsid w:val="00850AD2"/>
    <w:rsid w:val="00851E49"/>
    <w:rsid w:val="008547CD"/>
    <w:rsid w:val="00857D33"/>
    <w:rsid w:val="00870172"/>
    <w:rsid w:val="008730BC"/>
    <w:rsid w:val="00882266"/>
    <w:rsid w:val="0089225F"/>
    <w:rsid w:val="008B4944"/>
    <w:rsid w:val="008C3CC4"/>
    <w:rsid w:val="008D7C20"/>
    <w:rsid w:val="00914D34"/>
    <w:rsid w:val="00952D16"/>
    <w:rsid w:val="009B3749"/>
    <w:rsid w:val="009B6AD1"/>
    <w:rsid w:val="009D1716"/>
    <w:rsid w:val="009D28EA"/>
    <w:rsid w:val="009D575E"/>
    <w:rsid w:val="009E6EA9"/>
    <w:rsid w:val="009F5987"/>
    <w:rsid w:val="009F7F84"/>
    <w:rsid w:val="00A22AAF"/>
    <w:rsid w:val="00A27545"/>
    <w:rsid w:val="00A35D39"/>
    <w:rsid w:val="00A50601"/>
    <w:rsid w:val="00A527D5"/>
    <w:rsid w:val="00A77CFB"/>
    <w:rsid w:val="00A9536D"/>
    <w:rsid w:val="00AB2B0F"/>
    <w:rsid w:val="00AC7267"/>
    <w:rsid w:val="00AD133E"/>
    <w:rsid w:val="00AF2C58"/>
    <w:rsid w:val="00AF6788"/>
    <w:rsid w:val="00B00A71"/>
    <w:rsid w:val="00B73123"/>
    <w:rsid w:val="00BA1796"/>
    <w:rsid w:val="00BB41A3"/>
    <w:rsid w:val="00C1154F"/>
    <w:rsid w:val="00C26786"/>
    <w:rsid w:val="00C268D2"/>
    <w:rsid w:val="00C37C14"/>
    <w:rsid w:val="00C404A0"/>
    <w:rsid w:val="00C46B72"/>
    <w:rsid w:val="00C60021"/>
    <w:rsid w:val="00C91A90"/>
    <w:rsid w:val="00CA05E0"/>
    <w:rsid w:val="00CB32C7"/>
    <w:rsid w:val="00CB4081"/>
    <w:rsid w:val="00CC26FA"/>
    <w:rsid w:val="00CF06A7"/>
    <w:rsid w:val="00D01BA1"/>
    <w:rsid w:val="00D03BEC"/>
    <w:rsid w:val="00D0654D"/>
    <w:rsid w:val="00D26B0D"/>
    <w:rsid w:val="00D403B2"/>
    <w:rsid w:val="00D5225B"/>
    <w:rsid w:val="00D55F4A"/>
    <w:rsid w:val="00D8301B"/>
    <w:rsid w:val="00D93EF1"/>
    <w:rsid w:val="00DB1342"/>
    <w:rsid w:val="00DB6535"/>
    <w:rsid w:val="00DD41DA"/>
    <w:rsid w:val="00DE3465"/>
    <w:rsid w:val="00DF1C7C"/>
    <w:rsid w:val="00DF54E3"/>
    <w:rsid w:val="00DF6D7A"/>
    <w:rsid w:val="00E31EE0"/>
    <w:rsid w:val="00E4097D"/>
    <w:rsid w:val="00E41AB4"/>
    <w:rsid w:val="00E56376"/>
    <w:rsid w:val="00E625D3"/>
    <w:rsid w:val="00E712B0"/>
    <w:rsid w:val="00E81907"/>
    <w:rsid w:val="00E955BF"/>
    <w:rsid w:val="00E979DE"/>
    <w:rsid w:val="00EB7790"/>
    <w:rsid w:val="00ED2943"/>
    <w:rsid w:val="00ED32DE"/>
    <w:rsid w:val="00F075F6"/>
    <w:rsid w:val="00F13946"/>
    <w:rsid w:val="00F164F7"/>
    <w:rsid w:val="00F42947"/>
    <w:rsid w:val="00F71A6C"/>
    <w:rsid w:val="00F84FF2"/>
    <w:rsid w:val="00F87560"/>
    <w:rsid w:val="00FB3FAE"/>
    <w:rsid w:val="00FD0E94"/>
    <w:rsid w:val="00FD2786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1B929-B58C-41E7-BAB4-E18012DE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6E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6E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6E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A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B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B07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List1,Списък на абзаци,List Paragraph11"/>
    <w:basedOn w:val="Normal"/>
    <w:link w:val="ListParagraphChar"/>
    <w:uiPriority w:val="34"/>
    <w:qFormat/>
    <w:rsid w:val="00F164F7"/>
    <w:pPr>
      <w:ind w:left="720"/>
      <w:contextualSpacing/>
    </w:pPr>
    <w:rPr>
      <w:rFonts w:ascii="Calibri" w:eastAsia="Calibri" w:hAnsi="Calibri" w:cs="Calibri"/>
      <w:lang w:val="bg-BG"/>
    </w:rPr>
  </w:style>
  <w:style w:type="character" w:customStyle="1" w:styleId="ListParagraphChar">
    <w:name w:val="List Paragraph Char"/>
    <w:aliases w:val="List Paragraph1 Char,List1 Char,Списък на абзаци Char,List Paragraph11 Char"/>
    <w:link w:val="ListParagraph"/>
    <w:uiPriority w:val="34"/>
    <w:locked/>
    <w:rsid w:val="00F164F7"/>
    <w:rPr>
      <w:rFonts w:ascii="Calibri" w:eastAsia="Calibri" w:hAnsi="Calibri" w:cs="Calibri"/>
      <w:lang w:val="bg-BG"/>
    </w:rPr>
  </w:style>
  <w:style w:type="paragraph" w:styleId="Revision">
    <w:name w:val="Revision"/>
    <w:hidden/>
    <w:uiPriority w:val="99"/>
    <w:semiHidden/>
    <w:rsid w:val="00136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6F7E-A4D8-44AB-99FA-B8F50994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Vodenicharska</dc:creator>
  <cp:lastModifiedBy>Krasimira Dankova</cp:lastModifiedBy>
  <cp:revision>5</cp:revision>
  <cp:lastPrinted>2024-03-20T13:46:00Z</cp:lastPrinted>
  <dcterms:created xsi:type="dcterms:W3CDTF">2024-04-10T09:07:00Z</dcterms:created>
  <dcterms:modified xsi:type="dcterms:W3CDTF">2024-04-16T13:05:00Z</dcterms:modified>
</cp:coreProperties>
</file>