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57" w:rsidRDefault="00576B0C" w:rsidP="00DE0996">
      <w:pPr>
        <w:spacing w:line="276" w:lineRule="auto"/>
        <w:jc w:val="center"/>
        <w:rPr>
          <w:b/>
          <w:sz w:val="22"/>
          <w:szCs w:val="22"/>
          <w:lang w:val="bg-BG"/>
        </w:rPr>
      </w:pPr>
      <w:r w:rsidRPr="00BA59EC">
        <w:rPr>
          <w:b/>
          <w:sz w:val="22"/>
          <w:szCs w:val="22"/>
          <w:lang w:val="bg-BG"/>
        </w:rPr>
        <w:t xml:space="preserve">СПИСЪК НА ПРОЕКТНИТЕ ПРЕДЛОЖЕНИЯ, КОИТО НЕ СЕ ДОПУСКАТ ДО ТЕХНИЧЕСКА И ФИНАНСОВА ОЦЕНКА ПО ПРОЦЕДУРА ЗА ПРЕДОСТАВЯНЕ НА БЕЗВЪЗМЕЗДНА ФИНАНСОВА ПОМОЩ  </w:t>
      </w:r>
      <w:r w:rsidRPr="000D0065">
        <w:rPr>
          <w:b/>
          <w:sz w:val="22"/>
          <w:szCs w:val="22"/>
          <w:lang w:val="bg-BG"/>
        </w:rPr>
        <w:t xml:space="preserve">№ BG14MFOP001-5.024 „МЕРКИ ЗА ПРЕДЛАГАНЕ НА ПАЗАРА - СЕКТОР „АКВАКУЛТУРИ“, МЯРКА 5.3 „МЕРКИ ЗА ПРЕДЛАГАНЕ НА ПАЗАРА“, ЧЛ. 68, ПАРАГРАФ 3 ОТ РЕГЛАМЕНТ (ЕС) 508/2014, ИЗМЕНЕН С РЕГЛАМЕНТ (ЕС) 2022/1278 НА EВРОПЕЙСКИЯ ПАРЛАМЕНТ И НА СЪВЕТА ОТ 18 ЮЛИ 2022 ГОДИНА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ПАЗАРА, ПРИЧИНЕНО ОТ ТАЗИ АГРЕСИВНА ВОЙНА, ВЪРХУ ВЕРИГАТА НА ДОСТАВКИ НА ПРОДУКТИ ОТ РИБОЛОВ И АКВАКУЛТУРИ </w:t>
      </w:r>
    </w:p>
    <w:p w:rsidR="00DE0996" w:rsidRDefault="00576B0C" w:rsidP="00DE0996">
      <w:pPr>
        <w:spacing w:line="276" w:lineRule="auto"/>
        <w:jc w:val="center"/>
        <w:rPr>
          <w:b/>
          <w:lang w:val="bg-BG"/>
        </w:rPr>
      </w:pPr>
      <w:r w:rsidRPr="000D0065">
        <w:rPr>
          <w:b/>
          <w:sz w:val="22"/>
          <w:szCs w:val="22"/>
          <w:lang w:val="bg-BG"/>
        </w:rPr>
        <w:t xml:space="preserve">ПО </w:t>
      </w:r>
      <w:r w:rsidRPr="00BA59EC">
        <w:rPr>
          <w:b/>
          <w:sz w:val="22"/>
          <w:szCs w:val="22"/>
          <w:lang w:val="bg-BG"/>
        </w:rPr>
        <w:t>ПРОГРАМАТА ЗА МОРСКО ДЕЛО И РИБАРСТВО 2014-2020 Г.</w:t>
      </w:r>
      <w:r>
        <w:rPr>
          <w:b/>
          <w:sz w:val="22"/>
          <w:szCs w:val="22"/>
          <w:lang w:val="bg-BG"/>
        </w:rPr>
        <w:t xml:space="preserve"> </w:t>
      </w:r>
      <w:r w:rsidRPr="00AC22DB">
        <w:rPr>
          <w:b/>
          <w:lang w:val="bg-BG"/>
        </w:rPr>
        <w:t>(ПМДР)</w:t>
      </w:r>
    </w:p>
    <w:p w:rsidR="00966ABA" w:rsidRPr="00BA59EC" w:rsidRDefault="00C86FBC" w:rsidP="00B76357">
      <w:pPr>
        <w:jc w:val="center"/>
        <w:rPr>
          <w:b/>
          <w:sz w:val="22"/>
          <w:szCs w:val="22"/>
          <w:lang w:val="bg-BG"/>
        </w:rPr>
      </w:pPr>
      <w:r w:rsidRPr="00BA59EC">
        <w:rPr>
          <w:b/>
          <w:sz w:val="22"/>
          <w:szCs w:val="22"/>
          <w:lang w:val="bg-BG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116"/>
        <w:gridCol w:w="2126"/>
        <w:gridCol w:w="2410"/>
        <w:gridCol w:w="6380"/>
      </w:tblGrid>
      <w:tr w:rsidR="00091A0B" w:rsidRPr="006B2ABC" w:rsidTr="00564B30">
        <w:tc>
          <w:tcPr>
            <w:tcW w:w="678" w:type="dxa"/>
            <w:shd w:val="clear" w:color="auto" w:fill="auto"/>
          </w:tcPr>
          <w:p w:rsidR="00091A0B" w:rsidRPr="005D311A" w:rsidRDefault="00091A0B" w:rsidP="00EC01F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3116" w:type="dxa"/>
            <w:shd w:val="clear" w:color="auto" w:fill="auto"/>
          </w:tcPr>
          <w:p w:rsidR="00091A0B" w:rsidRPr="005D311A" w:rsidRDefault="004A41E4" w:rsidP="00EC01F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Рег. № на п</w:t>
            </w:r>
            <w:r w:rsidR="00091A0B" w:rsidRPr="005D311A">
              <w:rPr>
                <w:b/>
                <w:sz w:val="20"/>
                <w:szCs w:val="20"/>
                <w:lang w:val="bg-BG"/>
              </w:rPr>
              <w:t>роектно</w:t>
            </w:r>
            <w:r w:rsidRPr="005D311A">
              <w:rPr>
                <w:b/>
                <w:sz w:val="20"/>
                <w:szCs w:val="20"/>
                <w:lang w:val="bg-BG"/>
              </w:rPr>
              <w:t>то</w:t>
            </w:r>
            <w:r w:rsidR="00091A0B" w:rsidRPr="005D311A">
              <w:rPr>
                <w:b/>
                <w:sz w:val="20"/>
                <w:szCs w:val="20"/>
                <w:lang w:val="bg-BG"/>
              </w:rPr>
              <w:t xml:space="preserve"> предложение </w:t>
            </w:r>
          </w:p>
        </w:tc>
        <w:tc>
          <w:tcPr>
            <w:tcW w:w="2126" w:type="dxa"/>
            <w:shd w:val="clear" w:color="auto" w:fill="auto"/>
          </w:tcPr>
          <w:p w:rsidR="00091A0B" w:rsidRPr="005D311A" w:rsidRDefault="00992D76" w:rsidP="00EC01F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кандидата</w:t>
            </w:r>
          </w:p>
        </w:tc>
        <w:tc>
          <w:tcPr>
            <w:tcW w:w="2410" w:type="dxa"/>
            <w:shd w:val="clear" w:color="auto" w:fill="auto"/>
          </w:tcPr>
          <w:p w:rsidR="00091A0B" w:rsidRPr="005D311A" w:rsidRDefault="00992D76" w:rsidP="00EC01F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проектното предложение</w:t>
            </w:r>
          </w:p>
        </w:tc>
        <w:tc>
          <w:tcPr>
            <w:tcW w:w="6380" w:type="dxa"/>
            <w:shd w:val="clear" w:color="auto" w:fill="auto"/>
          </w:tcPr>
          <w:p w:rsidR="00091A0B" w:rsidRPr="005D311A" w:rsidRDefault="002D157D" w:rsidP="00EC01F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Основание за отхвър</w:t>
            </w:r>
            <w:r w:rsidR="00992D76" w:rsidRPr="005D311A">
              <w:rPr>
                <w:b/>
                <w:sz w:val="20"/>
                <w:szCs w:val="20"/>
                <w:lang w:val="bg-BG"/>
              </w:rPr>
              <w:t>ляне</w:t>
            </w:r>
          </w:p>
          <w:p w:rsidR="00331586" w:rsidRPr="00877A5F" w:rsidRDefault="00331586" w:rsidP="00EC01F6">
            <w:pPr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877A5F">
              <w:rPr>
                <w:b/>
                <w:i/>
                <w:sz w:val="20"/>
                <w:szCs w:val="20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091A0B" w:rsidRPr="00DE0996" w:rsidTr="00564B30">
        <w:tc>
          <w:tcPr>
            <w:tcW w:w="678" w:type="dxa"/>
            <w:shd w:val="clear" w:color="auto" w:fill="auto"/>
          </w:tcPr>
          <w:p w:rsidR="00091A0B" w:rsidRPr="00DE0996" w:rsidRDefault="00992D76" w:rsidP="00EC01F6">
            <w:pPr>
              <w:jc w:val="center"/>
              <w:rPr>
                <w:b/>
                <w:lang w:val="bg-BG"/>
              </w:rPr>
            </w:pPr>
            <w:r w:rsidRPr="00DE0996">
              <w:rPr>
                <w:b/>
                <w:lang w:val="bg-BG"/>
              </w:rPr>
              <w:t>1.</w:t>
            </w:r>
          </w:p>
        </w:tc>
        <w:tc>
          <w:tcPr>
            <w:tcW w:w="3116" w:type="dxa"/>
            <w:shd w:val="clear" w:color="auto" w:fill="auto"/>
          </w:tcPr>
          <w:p w:rsidR="00091A0B" w:rsidRPr="00DE0996" w:rsidRDefault="004C5EE7" w:rsidP="00EC01F6">
            <w:pPr>
              <w:jc w:val="center"/>
              <w:rPr>
                <w:b/>
                <w:lang w:val="en-US"/>
              </w:rPr>
            </w:pPr>
            <w:r w:rsidRPr="00DE0996">
              <w:rPr>
                <w:b/>
                <w:lang w:val="bg-BG"/>
              </w:rPr>
              <w:t>BG14MFOP001-5.024-0023</w:t>
            </w:r>
          </w:p>
        </w:tc>
        <w:tc>
          <w:tcPr>
            <w:tcW w:w="2126" w:type="dxa"/>
            <w:shd w:val="clear" w:color="auto" w:fill="auto"/>
          </w:tcPr>
          <w:p w:rsidR="00091A0B" w:rsidRPr="00DE0996" w:rsidRDefault="0020597F" w:rsidP="004C5EE7">
            <w:pPr>
              <w:jc w:val="center"/>
              <w:rPr>
                <w:b/>
                <w:lang w:val="bg-BG"/>
              </w:rPr>
            </w:pPr>
            <w:r w:rsidRPr="00DE0996">
              <w:rPr>
                <w:b/>
                <w:lang w:val="bg-BG"/>
              </w:rPr>
              <w:t>„</w:t>
            </w:r>
            <w:r w:rsidR="004C5EE7" w:rsidRPr="00DE0996">
              <w:rPr>
                <w:b/>
                <w:lang w:val="bg-BG"/>
              </w:rPr>
              <w:t>ЕСЕТРА - КОМЕРС</w:t>
            </w:r>
            <w:r w:rsidRPr="00DE0996">
              <w:rPr>
                <w:b/>
                <w:lang w:val="bg-BG"/>
              </w:rPr>
              <w:t xml:space="preserve">“ </w:t>
            </w:r>
            <w:r w:rsidR="004C5EE7" w:rsidRPr="00DE0996">
              <w:rPr>
                <w:b/>
              </w:rPr>
              <w:t xml:space="preserve"> </w:t>
            </w:r>
            <w:r w:rsidR="004C5EE7" w:rsidRPr="00DE0996">
              <w:rPr>
                <w:b/>
                <w:lang w:val="bg-BG"/>
              </w:rPr>
              <w:t>ЕООД</w:t>
            </w:r>
          </w:p>
        </w:tc>
        <w:tc>
          <w:tcPr>
            <w:tcW w:w="2410" w:type="dxa"/>
            <w:shd w:val="clear" w:color="auto" w:fill="auto"/>
          </w:tcPr>
          <w:p w:rsidR="00091A0B" w:rsidRPr="00DE0996" w:rsidRDefault="004C5EE7" w:rsidP="004C5EE7">
            <w:pPr>
              <w:jc w:val="center"/>
              <w:rPr>
                <w:b/>
                <w:lang w:val="bg-BG"/>
              </w:rPr>
            </w:pPr>
            <w:r w:rsidRPr="00DE0996">
              <w:rPr>
                <w:b/>
                <w:lang w:val="bg-BG"/>
              </w:rPr>
              <w:t>Смекчаване на последиците от агресивната война на Русия срещу Украйна върху дейността на „Есетра Комерс“ ЕООД</w:t>
            </w:r>
          </w:p>
        </w:tc>
        <w:tc>
          <w:tcPr>
            <w:tcW w:w="6380" w:type="dxa"/>
            <w:shd w:val="clear" w:color="auto" w:fill="auto"/>
          </w:tcPr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 xml:space="preserve">След извършване на оценка за административно съответствие и допустимост на проектно предложение № BG14MFOP001-5.024-0023, 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(Обн. ДВ, бр. 51 от 2022 г.), е установено следното: 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lastRenderedPageBreak/>
              <w:t>Проектното предложение не отговаря на изискванията, посочени в т. 11.1 „Критерии за допустимост на кандидатите“ от Условия за кандидатстване и изпълнение (УКИ) по процедура за подбор № BG14MFOP001-5.024 „Мерки за предлагане на пазара - сектор „Аквакултури“, Мярка 5.3 „Мерки за предлагане на пазара“, а именно: т. 4 „</w:t>
            </w:r>
            <w:r w:rsidRPr="00DE0996">
              <w:rPr>
                <w:i/>
                <w:lang w:val="bg-BG"/>
              </w:rPr>
              <w:t>Имат подадена Годишна данъчна декларация за 2023 г. пред НАП, съобразно разпоредбите на ЗКПО/ЗДДФЛ (Годишната данъчна декларация за 2023 г. е изискуем документ към момента на приключване на приема на проектни предложения по процедурата, като „нулева“ декларация няма да се счита за допустима)</w:t>
            </w:r>
            <w:r w:rsidRPr="00DE0996">
              <w:rPr>
                <w:lang w:val="bg-BG"/>
              </w:rPr>
              <w:t xml:space="preserve">“. 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 xml:space="preserve">След извършена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нередовности и определя разумен срок за тяхното отстраняване, който не може да бъде по-кратък от една седмица. Уведомлението съдържа и информация, че неотстраняването на нередовностите в срок може да доведе до прекратяване на производството по </w:t>
            </w:r>
            <w:r w:rsidRPr="00DE0996">
              <w:rPr>
                <w:lang w:val="bg-BG"/>
              </w:rPr>
              <w:lastRenderedPageBreak/>
              <w:t xml:space="preserve">отношение на кандидата. Отстраняването на нередовностите не може да води до подобряване на качеството на проектното предложение“. Във връзка с точка 24. „Списък на документите, които се подават на етап кандидатстване“ от Условия за кандидатстване, на 14.05.2024 г. чрез Модул „Комуникация“ в ИСУН 2020 е изпратено уведомление с регистрационен номер BG14MFOP001-5.024-0023-M001, с което е поискана допълнителна информация от кандидата. Указан е срок до 21.05.2024 г., в който да бъдат предоставени долуописаните липсващи документи и информация, а именно: </w:t>
            </w:r>
          </w:p>
          <w:p w:rsidR="004C5EE7" w:rsidRPr="00DE0996" w:rsidRDefault="004C5EE7" w:rsidP="004C5EE7">
            <w:pPr>
              <w:numPr>
                <w:ilvl w:val="0"/>
                <w:numId w:val="1"/>
              </w:num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Годишна данъчна декларация за 2023 г.</w:t>
            </w:r>
            <w:r w:rsidRPr="00DE0996">
              <w:rPr>
                <w:lang w:val="en-US"/>
              </w:rPr>
              <w:t xml:space="preserve"> </w:t>
            </w:r>
            <w:r w:rsidRPr="00DE0996">
              <w:rPr>
                <w:lang w:val="bg-BG"/>
              </w:rPr>
              <w:t>подадена пред НАП, съобразно разпоредбите на ЗКПО/ЗДДФЛ. Не се приема „нулева“ Годишна данъчна декларация за 2023 г.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(</w:t>
            </w:r>
            <w:r w:rsidRPr="00DE0996">
              <w:rPr>
                <w:i/>
                <w:lang w:val="bg-BG"/>
              </w:rPr>
              <w:t>документът е задължителен за всички проектни предложения</w:t>
            </w:r>
            <w:r w:rsidRPr="00DE0996">
              <w:rPr>
                <w:lang w:val="bg-BG"/>
              </w:rPr>
              <w:t>)</w:t>
            </w:r>
          </w:p>
          <w:p w:rsidR="004C5EE7" w:rsidRPr="00DE0996" w:rsidRDefault="004C5EE7" w:rsidP="004C5EE7">
            <w:pPr>
              <w:numPr>
                <w:ilvl w:val="0"/>
                <w:numId w:val="1"/>
              </w:num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 xml:space="preserve">Отчет за приходите и разходите на кандидата, част от годишния отчет за дейността за 2023 г. към Националния статистически институт (НСИ), съгласно изискванията на т. 4 на раздел 24 Списък </w:t>
            </w:r>
            <w:r w:rsidRPr="00DE0996">
              <w:rPr>
                <w:lang w:val="bg-BG"/>
              </w:rPr>
              <w:lastRenderedPageBreak/>
              <w:t>на документите, които се подават на етап кандидатстване от УКИ. След извършена служебна справка е установено, че няма подаден отчет на „ЕСЕТРА КОМЕРС“ ЕООД</w:t>
            </w:r>
            <w:r w:rsidRPr="00DE0996">
              <w:rPr>
                <w:lang w:val="en-US"/>
              </w:rPr>
              <w:t xml:space="preserve"> </w:t>
            </w:r>
            <w:r w:rsidRPr="00DE0996">
              <w:rPr>
                <w:lang w:val="bg-BG"/>
              </w:rPr>
              <w:t>за 2023 г., както и че липсва  КИД.</w:t>
            </w:r>
          </w:p>
          <w:p w:rsidR="004C5EE7" w:rsidRPr="00DE0996" w:rsidRDefault="004C5EE7" w:rsidP="004C5EE7">
            <w:pPr>
              <w:numPr>
                <w:ilvl w:val="0"/>
                <w:numId w:val="1"/>
              </w:num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Удостоверение от НАП за липса на задължения на кандидат;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или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Удостоверение от НАП за наличие на задължения на кандидата, от което да е видно че размерът на неплатените задължения е не повече от 1 на сто от сумата на годишния общ оборот на предприятието-кандидат за последната приключена финансова година, но не повече от 50 000 лв.;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Или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Споразумение с НАП от което да е видно, че страните са договорили тяхното отсрочване или разсрочване, заедно с погасителен план и/или с посочени дати за окончателно изплащане на дължимите задължения.</w:t>
            </w:r>
          </w:p>
          <w:p w:rsidR="004C5EE7" w:rsidRPr="00DE0996" w:rsidRDefault="004C5EE7" w:rsidP="004C5EE7">
            <w:pPr>
              <w:numPr>
                <w:ilvl w:val="0"/>
                <w:numId w:val="1"/>
              </w:num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Следва да представите Удостоверение за регистрация по реда на чл. 25 от ЗРА.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 xml:space="preserve">В случаите, когато кандидатът подава проектно </w:t>
            </w:r>
            <w:r w:rsidRPr="00DE0996">
              <w:rPr>
                <w:lang w:val="bg-BG"/>
              </w:rPr>
              <w:lastRenderedPageBreak/>
              <w:t>предложение за компенсация за повече от едно аквакултурно стопанство, то той следва да представи Удостоверение за регистрация по реда на чл. 25 от ЗРА за всеки един обект.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(</w:t>
            </w:r>
            <w:r w:rsidRPr="00DE0996">
              <w:rPr>
                <w:i/>
                <w:lang w:val="bg-BG"/>
              </w:rPr>
              <w:t>документът се проверява служебно от УО</w:t>
            </w:r>
            <w:r w:rsidRPr="00DE0996">
              <w:rPr>
                <w:lang w:val="bg-BG"/>
              </w:rPr>
              <w:t>).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Кандидатът не е отговорил на комуникацията в регламентирания срок, не е предоставил изисканите допълнително информация и документи, което прави невъзможно извършването на оценка на проектното предложение. Съгласно изискванията, посочени в Условията за кандидатстване на процедурата, раздел 24: „При непредставяне на изисканата допълнителна информация или разяснения в срок, проектното предложение може да бъде отхвърлено само и единствено на това основание или съответно да получи по-малък брой точки“.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 xml:space="preserve">В изпълнение на разпоредбата на чл. 34, ал. 2 на ЗУСЕФСУ и когато след допълнително изискване по установения ред, на задължително изискуеми по процедурата документи, и информация, същите не бъдат предоставени от кандидата или са представени, но не съгласно изискванията, посочени </w:t>
            </w:r>
            <w:r w:rsidRPr="00DE0996">
              <w:rPr>
                <w:lang w:val="bg-BG"/>
              </w:rPr>
              <w:lastRenderedPageBreak/>
              <w:t>в Условията за кандидатстване на процедурата, проектното предложение не отговаря на Условията, поради което производството по него се прекратява.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В допълнение, във връзка с раздел 24. Списък на документите, които се подават на етап кандидатстване. т. 3</w:t>
            </w:r>
            <w:r w:rsidRPr="00DE0996">
              <w:rPr>
                <w:lang w:val="en-US"/>
              </w:rPr>
              <w:t xml:space="preserve"> </w:t>
            </w:r>
            <w:r w:rsidRPr="00DE0996">
              <w:rPr>
                <w:lang w:val="bg-BG"/>
              </w:rPr>
              <w:t>„Годишна данъчна декларация за 2023 г. пред НАП, съобразно разпоредбите на ЗКПО/ЗДДФЛ. Не се приема „нулева“ Годишна данъчна декларация за 2023 г. (</w:t>
            </w:r>
            <w:r w:rsidRPr="00DE0996">
              <w:rPr>
                <w:i/>
                <w:lang w:val="bg-BG"/>
              </w:rPr>
              <w:t>документът е задължителен за всички проектни предложения</w:t>
            </w:r>
            <w:r w:rsidRPr="00DE0996">
              <w:rPr>
                <w:lang w:val="bg-BG"/>
              </w:rPr>
              <w:t xml:space="preserve">)“ с писмо № 12 -2739 от 17.04.2024 г. е изискана справка от Националната агенция по приходите от която е видно, че кандидата няма подадена Годишна данъчна декларация към датата на оценката, също така не е предоставил такава в отговор на писмото за допълнителна информация с № BG14MFOP001-5.024-0023-M001. </w:t>
            </w:r>
            <w:r w:rsidRPr="00DE0996">
              <w:rPr>
                <w:lang w:val="en-US"/>
              </w:rPr>
              <w:t xml:space="preserve"> </w:t>
            </w:r>
            <w:r w:rsidRPr="00DE0996">
              <w:rPr>
                <w:lang w:val="bg-BG"/>
              </w:rPr>
              <w:t>Не може да бъде направено заключение, че</w:t>
            </w:r>
            <w:r w:rsidRPr="00DE0996">
              <w:rPr>
                <w:lang w:val="en-US"/>
              </w:rPr>
              <w:t xml:space="preserve"> </w:t>
            </w:r>
            <w:r w:rsidRPr="00DE0996">
              <w:rPr>
                <w:lang w:val="bg-BG"/>
              </w:rPr>
              <w:t>кандидатът „Есетра Комерс“ ЕООД е допустим съгласно изискванията в т. 11.1 Критерии за допустимост на кандидатите т. 4 „</w:t>
            </w:r>
            <w:r w:rsidRPr="00DE0996">
              <w:rPr>
                <w:i/>
                <w:lang w:val="bg-BG"/>
              </w:rPr>
              <w:t xml:space="preserve">Имат подадена Годишна данъчна декларация за 2023 г. пред НАП, съобразно разпоредбите на ЗКПО/ЗДДФЛ (Годишната данъчна декларация за 2023 г. е изискуем </w:t>
            </w:r>
            <w:r w:rsidRPr="00DE0996">
              <w:rPr>
                <w:i/>
                <w:lang w:val="bg-BG"/>
              </w:rPr>
              <w:lastRenderedPageBreak/>
              <w:t>документ към момента на приключване на приема на проектни предложения по процедурата, като „нулева“ декларация няма да се счита за допустима</w:t>
            </w:r>
            <w:r w:rsidRPr="00DE0996">
              <w:rPr>
                <w:lang w:val="bg-BG"/>
              </w:rPr>
              <w:t>)“ от Условия за кандидатстване по настоящата процедура.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 xml:space="preserve">След извършена оценка на проектното предложение и направено изчисление на компенсацията за повишаването на цените на основните разходи на операторите – фуражи и гориво, съгласно Приложение № 1 Методика за изчисление на компенсациите, където за подсектор производство на аквакултури са допустими за компенсиране разходи за фураж и разходи за горива: 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Компенсацията за фураж се изчислява по следния метод: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Компенсация за фураж се изчислява както следва: БФП = (</w:t>
            </w:r>
            <w:r w:rsidRPr="00DE0996">
              <w:rPr>
                <w:lang w:val="en-US"/>
              </w:rPr>
              <w:t>X</w:t>
            </w:r>
            <w:r w:rsidRPr="00DE0996">
              <w:rPr>
                <w:lang w:val="bg-BG"/>
              </w:rPr>
              <w:t>*</w:t>
            </w:r>
            <w:r w:rsidRPr="00DE0996">
              <w:rPr>
                <w:lang w:val="en-US"/>
              </w:rPr>
              <w:t>Y</w:t>
            </w:r>
            <w:r w:rsidRPr="00DE0996">
              <w:rPr>
                <w:lang w:val="bg-BG"/>
              </w:rPr>
              <w:t>)*</w:t>
            </w:r>
            <w:r w:rsidRPr="00DE0996">
              <w:rPr>
                <w:lang w:val="en-US"/>
              </w:rPr>
              <w:t>Z</w:t>
            </w:r>
            <w:r w:rsidRPr="00DE0996">
              <w:rPr>
                <w:lang w:val="bg-BG"/>
              </w:rPr>
              <w:t>, където:</w:t>
            </w:r>
          </w:p>
          <w:p w:rsidR="004C5EE7" w:rsidRPr="00DE0996" w:rsidRDefault="004C5EE7" w:rsidP="004C5EE7">
            <w:pPr>
              <w:numPr>
                <w:ilvl w:val="0"/>
                <w:numId w:val="2"/>
              </w:numPr>
              <w:jc w:val="both"/>
              <w:rPr>
                <w:lang w:val="bg-BG"/>
              </w:rPr>
            </w:pPr>
            <w:r w:rsidRPr="00DE0996">
              <w:rPr>
                <w:lang w:val="en-US"/>
              </w:rPr>
              <w:t>X</w:t>
            </w:r>
            <w:r w:rsidRPr="00DE0996">
              <w:rPr>
                <w:lang w:val="bg-BG"/>
              </w:rPr>
              <w:t xml:space="preserve"> е 28,5% индексът на инф</w:t>
            </w:r>
            <w:r w:rsidR="005D0E0D">
              <w:rPr>
                <w:lang w:val="bg-BG"/>
              </w:rPr>
              <w:t>лация по д</w:t>
            </w:r>
            <w:r w:rsidRPr="00DE0996">
              <w:rPr>
                <w:lang w:val="bg-BG"/>
              </w:rPr>
              <w:t xml:space="preserve">анни от НСИ; </w:t>
            </w:r>
          </w:p>
          <w:p w:rsidR="004C5EE7" w:rsidRPr="00DE0996" w:rsidRDefault="004C5EE7" w:rsidP="004C5EE7">
            <w:pPr>
              <w:numPr>
                <w:ilvl w:val="0"/>
                <w:numId w:val="2"/>
              </w:numPr>
              <w:jc w:val="both"/>
              <w:rPr>
                <w:lang w:val="bg-BG"/>
              </w:rPr>
            </w:pPr>
            <w:r w:rsidRPr="00DE0996">
              <w:rPr>
                <w:lang w:val="en-US"/>
              </w:rPr>
              <w:t>Y</w:t>
            </w:r>
            <w:r w:rsidRPr="00DE0996">
              <w:rPr>
                <w:lang w:val="bg-BG"/>
              </w:rPr>
              <w:t xml:space="preserve"> е 39,72% теглови коефициент на частта на разходите за фураж, спрямо общите разходи за производството на аквакултури, изчислен, на база декларираните по реда на чл. 27 от Закона за рибарството и аквакултурите средноаритметични данни 2019 г., 2020 г. и  2021 г.;</w:t>
            </w:r>
          </w:p>
          <w:p w:rsidR="004C5EE7" w:rsidRPr="00DE0996" w:rsidRDefault="004C5EE7" w:rsidP="004C5EE7">
            <w:pPr>
              <w:numPr>
                <w:ilvl w:val="0"/>
                <w:numId w:val="2"/>
              </w:numPr>
              <w:jc w:val="both"/>
              <w:rPr>
                <w:lang w:val="bg-BG"/>
              </w:rPr>
            </w:pPr>
            <w:r w:rsidRPr="00DE0996">
              <w:rPr>
                <w:lang w:val="en-US"/>
              </w:rPr>
              <w:t>Z</w:t>
            </w:r>
            <w:r w:rsidRPr="00DE0996">
              <w:rPr>
                <w:lang w:val="bg-BG"/>
              </w:rPr>
              <w:t xml:space="preserve"> - Нетните приходи от продажби от собствено </w:t>
            </w:r>
            <w:r w:rsidRPr="00DE0996">
              <w:rPr>
                <w:lang w:val="bg-BG"/>
              </w:rPr>
              <w:lastRenderedPageBreak/>
              <w:t>производство на ред „Продукция“ (код 15110 за производители на аквакултури от приходната част на Отчета за приходи и разходи (ОПР) за 2023 г. на кандидата.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Компенсация за гориво при производство на аквакултури се изчислява по следния метод:</w:t>
            </w:r>
          </w:p>
          <w:p w:rsidR="004C5EE7" w:rsidRPr="00DE0996" w:rsidRDefault="004C5EE7" w:rsidP="004C5EE7">
            <w:pPr>
              <w:numPr>
                <w:ilvl w:val="0"/>
                <w:numId w:val="2"/>
              </w:numPr>
              <w:jc w:val="both"/>
              <w:rPr>
                <w:lang w:val="bg-BG"/>
              </w:rPr>
            </w:pPr>
            <w:r w:rsidRPr="00DE0996">
              <w:rPr>
                <w:lang w:val="en-US"/>
              </w:rPr>
              <w:t>X</w:t>
            </w:r>
            <w:r w:rsidRPr="00DE0996">
              <w:rPr>
                <w:lang w:val="bg-BG"/>
              </w:rPr>
              <w:t xml:space="preserve"> </w:t>
            </w:r>
            <w:r w:rsidRPr="00DE0996">
              <w:rPr>
                <w:lang w:val="en-US"/>
              </w:rPr>
              <w:t>e</w:t>
            </w:r>
            <w:r w:rsidRPr="00DE0996">
              <w:rPr>
                <w:lang w:val="bg-BG"/>
              </w:rPr>
              <w:t xml:space="preserve"> 36,67% осреднената стойност на инфлацията по данни от НСИ;</w:t>
            </w:r>
          </w:p>
          <w:p w:rsidR="004C5EE7" w:rsidRPr="00DE0996" w:rsidRDefault="004C5EE7" w:rsidP="004C5EE7">
            <w:pPr>
              <w:numPr>
                <w:ilvl w:val="0"/>
                <w:numId w:val="2"/>
              </w:numPr>
              <w:jc w:val="both"/>
              <w:rPr>
                <w:lang w:val="bg-BG"/>
              </w:rPr>
            </w:pPr>
            <w:r w:rsidRPr="00DE0996">
              <w:rPr>
                <w:lang w:val="en-US"/>
              </w:rPr>
              <w:t>Y</w:t>
            </w:r>
            <w:r w:rsidRPr="00DE0996">
              <w:rPr>
                <w:lang w:val="bg-BG"/>
              </w:rPr>
              <w:t xml:space="preserve"> </w:t>
            </w:r>
            <w:r w:rsidRPr="00DE0996">
              <w:rPr>
                <w:lang w:val="en-US"/>
              </w:rPr>
              <w:t>e</w:t>
            </w:r>
            <w:r w:rsidRPr="00DE0996">
              <w:rPr>
                <w:lang w:val="bg-BG"/>
              </w:rPr>
              <w:t xml:space="preserve"> 0,5% теглови коефициент на частта на разходите за гориво, спрямо общите разходи за производството на аквакултури, изчислен по статистически метод от УО на ПМДР;</w:t>
            </w:r>
          </w:p>
          <w:p w:rsidR="004C5EE7" w:rsidRPr="00DE0996" w:rsidRDefault="004C5EE7" w:rsidP="004C5EE7">
            <w:pPr>
              <w:numPr>
                <w:ilvl w:val="0"/>
                <w:numId w:val="2"/>
              </w:numPr>
              <w:jc w:val="both"/>
              <w:rPr>
                <w:lang w:val="bg-BG"/>
              </w:rPr>
            </w:pPr>
            <w:r w:rsidRPr="00DE0996">
              <w:rPr>
                <w:lang w:val="en-US"/>
              </w:rPr>
              <w:t>Z</w:t>
            </w:r>
            <w:r w:rsidRPr="00DE0996">
              <w:rPr>
                <w:lang w:val="bg-BG"/>
              </w:rPr>
              <w:t xml:space="preserve"> </w:t>
            </w:r>
            <w:r w:rsidRPr="00DE0996">
              <w:rPr>
                <w:lang w:val="en-US"/>
              </w:rPr>
              <w:t>e</w:t>
            </w:r>
            <w:r w:rsidRPr="00DE0996">
              <w:rPr>
                <w:lang w:val="bg-BG"/>
              </w:rPr>
              <w:t xml:space="preserve"> стойността на нетните приходи от продажби от собствено производство на ред „Продукция“ (код 15110) от приходната част на Отчета за приходи и разходи (ОПР) за 2023 г. на кандидата.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Обща компенсация = Компенсация за фураж + Компенсация за гориво при производство на аквакул</w:t>
            </w:r>
            <w:bookmarkStart w:id="0" w:name="_GoBack"/>
            <w:bookmarkEnd w:id="0"/>
            <w:r w:rsidRPr="00DE0996">
              <w:rPr>
                <w:lang w:val="bg-BG"/>
              </w:rPr>
              <w:t xml:space="preserve">тури, 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 xml:space="preserve">е установено, че изчислението води до резултат „0“ (нула). Това е поради факта, че следва да бъдат съпоставени </w:t>
            </w:r>
            <w:r w:rsidRPr="00DE0996">
              <w:rPr>
                <w:lang w:val="bg-BG"/>
              </w:rPr>
              <w:lastRenderedPageBreak/>
              <w:t xml:space="preserve">данните от Годишна данъчна декларация (ГДД) за 2023 г., в част „Общо Приходи (посочват се приходите по отчета за приходите и разходите / отчета за доходите) шифър 0100“ и данни съгласно Отчета за приходи и разходи </w:t>
            </w:r>
            <w:r w:rsidRPr="00DE0996">
              <w:rPr>
                <w:lang w:val="en-US"/>
              </w:rPr>
              <w:t>(</w:t>
            </w:r>
            <w:r w:rsidRPr="00DE0996">
              <w:rPr>
                <w:lang w:val="bg-BG"/>
              </w:rPr>
              <w:t>ОПР</w:t>
            </w:r>
            <w:r w:rsidRPr="00DE0996">
              <w:rPr>
                <w:lang w:val="en-US"/>
              </w:rPr>
              <w:t>)</w:t>
            </w:r>
            <w:r w:rsidRPr="00DE0996">
              <w:rPr>
                <w:lang w:val="bg-BG"/>
              </w:rPr>
              <w:t xml:space="preserve"> за 2023 г., в раздел Раздел А „Приходи“, ред „Нетни приходи от продажби“, с код на реда 15100. Тъй като липсват данни за подадена ГДД пред НАП,</w:t>
            </w:r>
            <w:r w:rsidRPr="00DE0996">
              <w:rPr>
                <w:lang w:val="en-US"/>
              </w:rPr>
              <w:t xml:space="preserve"> </w:t>
            </w:r>
            <w:r w:rsidRPr="00DE0996">
              <w:rPr>
                <w:lang w:val="bg-BG"/>
              </w:rPr>
              <w:t>не може да бъде направено категорично заключение за идентичността на данните от справка Мониторстат към проектното предложение подадени пред НСИ касаещи ОПР и КИД на кандидата.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Имайки предвид гореизложеното, при извършване на изчисленията за определяне на размера на компенсацията за гориво и компенсациите за фуражи съгласно указанията, посочени в т. 9 от УКИ и Методиката за изчисление на компенсациите, Приложение № 1 към тях, е получен резултат 0 лв.: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 xml:space="preserve">БФП (за гориво) = 36,67% x 0,5 % х 0 лв. = 0 лв. 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БФП (за фураж) = 28,5% x 39,72% х 0 лв. = 0 лв.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Обща компенсация = Компенсация за фураж (0 лв. ) + Компенсация за гориво при производство на аквакултури (0 лв.) = 0 лв.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lastRenderedPageBreak/>
              <w:t>Съгласно Приложение № 4 Критерии и методология за оценка на проектни предложения по процедура за подбор № BG14MFOP001-5.024 „Мерки за предлагане на пазара - сектор „Аквакултури“, Мярка 5.3 „Мерки за предлагане на пазара“ към Условията за кандидатстване и изпълнение, проектното предложение не отговаря на критерии № 17 „Изчисленият размер на допустимата БФП е по-голям от 0.00 лв“. В случай, че по време на оценката се установи наличие на недопустима компенсация, оценителната комисия служебно премахва/коригира съответните разходи от бюджета на проекта.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Извършените корекции на данни в бюджета не могат да водят до: увеличаване на размера на безвъзмездната финансова помощ, предвидени в подаденото проектно предложение, невъзможност за изпълнение на целите на проекта или на проектните дейности, нарушаване на принципите по чл. 29, ал. 1, т. 1 и 2 от ЗУСЕФСУ.</w:t>
            </w:r>
          </w:p>
          <w:p w:rsidR="004C5EE7" w:rsidRPr="00DE0996" w:rsidRDefault="004C5EE7" w:rsidP="004C5EE7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Съгласно Приложение № 4 към Условията за кандидатстване при несъответствие с някое от посочените изисквания проектното предложение се отхвърля.</w:t>
            </w:r>
          </w:p>
          <w:p w:rsidR="004C5EE7" w:rsidRPr="00DE0996" w:rsidRDefault="004C5EE7" w:rsidP="004C5EE7">
            <w:pPr>
              <w:jc w:val="both"/>
              <w:rPr>
                <w:lang w:val="en-US"/>
              </w:rPr>
            </w:pPr>
            <w:r w:rsidRPr="00DE0996">
              <w:rPr>
                <w:lang w:val="bg-BG"/>
              </w:rPr>
              <w:t xml:space="preserve">Поради изложените по-горе аргументи, проектно </w:t>
            </w:r>
            <w:r w:rsidRPr="00DE0996">
              <w:rPr>
                <w:lang w:val="bg-BG"/>
              </w:rPr>
              <w:lastRenderedPageBreak/>
              <w:t>предложение с рег. № BG14MFOP001-5.0</w:t>
            </w:r>
            <w:r w:rsidRPr="00DE0996">
              <w:rPr>
                <w:lang w:val="en-US"/>
              </w:rPr>
              <w:t>2</w:t>
            </w:r>
            <w:r w:rsidRPr="00DE0996">
              <w:rPr>
                <w:lang w:val="bg-BG"/>
              </w:rPr>
              <w:t>4-0023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  <w:p w:rsidR="00091A0B" w:rsidRPr="00DE0996" w:rsidRDefault="00091A0B" w:rsidP="00EC01F6">
            <w:pPr>
              <w:jc w:val="center"/>
              <w:rPr>
                <w:b/>
                <w:lang w:val="bg-BG"/>
              </w:rPr>
            </w:pPr>
          </w:p>
        </w:tc>
      </w:tr>
      <w:tr w:rsidR="00966ABA" w:rsidRPr="00DE0996" w:rsidTr="00564B30">
        <w:tc>
          <w:tcPr>
            <w:tcW w:w="678" w:type="dxa"/>
            <w:shd w:val="clear" w:color="auto" w:fill="auto"/>
          </w:tcPr>
          <w:p w:rsidR="00966ABA" w:rsidRPr="00DE0996" w:rsidRDefault="00966ABA" w:rsidP="00EC01F6">
            <w:pPr>
              <w:jc w:val="center"/>
              <w:rPr>
                <w:b/>
                <w:lang w:val="bg-BG"/>
              </w:rPr>
            </w:pPr>
            <w:r w:rsidRPr="00DE0996">
              <w:rPr>
                <w:b/>
                <w:lang w:val="bg-BG"/>
              </w:rPr>
              <w:lastRenderedPageBreak/>
              <w:t>2.</w:t>
            </w:r>
          </w:p>
        </w:tc>
        <w:tc>
          <w:tcPr>
            <w:tcW w:w="3116" w:type="dxa"/>
            <w:shd w:val="clear" w:color="auto" w:fill="auto"/>
          </w:tcPr>
          <w:p w:rsidR="00966ABA" w:rsidRPr="005771D1" w:rsidRDefault="00966ABA" w:rsidP="00EC01F6">
            <w:pPr>
              <w:jc w:val="center"/>
              <w:rPr>
                <w:b/>
                <w:lang w:val="bg-BG"/>
              </w:rPr>
            </w:pPr>
            <w:r w:rsidRPr="005771D1">
              <w:rPr>
                <w:b/>
                <w:lang w:val="bg-BG"/>
              </w:rPr>
              <w:t>BG14MFOP001-5.024-0024</w:t>
            </w:r>
          </w:p>
        </w:tc>
        <w:tc>
          <w:tcPr>
            <w:tcW w:w="2126" w:type="dxa"/>
            <w:shd w:val="clear" w:color="auto" w:fill="auto"/>
          </w:tcPr>
          <w:p w:rsidR="00966ABA" w:rsidRPr="005771D1" w:rsidRDefault="00966ABA" w:rsidP="004C5EE7">
            <w:pPr>
              <w:jc w:val="center"/>
              <w:rPr>
                <w:b/>
                <w:lang w:val="bg-BG"/>
              </w:rPr>
            </w:pPr>
            <w:r w:rsidRPr="005771D1">
              <w:rPr>
                <w:b/>
                <w:lang w:val="bg-BG"/>
              </w:rPr>
              <w:t>„</w:t>
            </w:r>
            <w:r w:rsidRPr="005771D1">
              <w:rPr>
                <w:b/>
              </w:rPr>
              <w:t>БОБИ ЛВ</w:t>
            </w:r>
            <w:r w:rsidRPr="005771D1">
              <w:rPr>
                <w:b/>
                <w:lang w:val="bg-BG"/>
              </w:rPr>
              <w:t>“</w:t>
            </w:r>
            <w:r w:rsidRPr="005771D1">
              <w:rPr>
                <w:b/>
              </w:rPr>
              <w:t xml:space="preserve"> ЕООД</w:t>
            </w:r>
          </w:p>
        </w:tc>
        <w:tc>
          <w:tcPr>
            <w:tcW w:w="2410" w:type="dxa"/>
            <w:shd w:val="clear" w:color="auto" w:fill="auto"/>
          </w:tcPr>
          <w:p w:rsidR="00966ABA" w:rsidRPr="005771D1" w:rsidRDefault="00966ABA" w:rsidP="004C5EE7">
            <w:pPr>
              <w:jc w:val="center"/>
              <w:rPr>
                <w:b/>
                <w:lang w:val="bg-BG"/>
              </w:rPr>
            </w:pPr>
            <w:r w:rsidRPr="005771D1">
              <w:rPr>
                <w:b/>
              </w:rPr>
              <w:t>Осигуряване на компенсации за понесени допълнителните разходи поради сътресението на пазара, причинено от агресивната война на Русия срещу Украйна.</w:t>
            </w:r>
          </w:p>
        </w:tc>
        <w:tc>
          <w:tcPr>
            <w:tcW w:w="6380" w:type="dxa"/>
            <w:shd w:val="clear" w:color="auto" w:fill="auto"/>
          </w:tcPr>
          <w:p w:rsidR="00966ABA" w:rsidRPr="00DE0996" w:rsidRDefault="00966ABA" w:rsidP="00966ABA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 xml:space="preserve">След извършване на оценка за административно съответствие и допустимост на проектно предложение № BG14MFOP001-5.024-0024, 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(Обн. ДВ, бр. 51 от 2022 г.), е установено следното: </w:t>
            </w:r>
          </w:p>
          <w:p w:rsidR="00966ABA" w:rsidRPr="00DE0996" w:rsidRDefault="00966ABA" w:rsidP="00966ABA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 xml:space="preserve">Дружество „БОБИ ЛВ“ ЕООД притежава рибовъдно стопанство в ПИ 2 и 3, бивш кв.16 по регулационния план на с. Пали Лула, ЕКАТТЕ 55258, общ. Бойчиновци, обл. Монтана, което е с </w:t>
            </w:r>
            <w:r w:rsidRPr="00DE0996">
              <w:rPr>
                <w:b/>
                <w:bCs/>
                <w:lang w:val="bg-BG"/>
              </w:rPr>
              <w:t xml:space="preserve">прекратен статут </w:t>
            </w:r>
            <w:r w:rsidRPr="00DE0996">
              <w:rPr>
                <w:lang w:val="bg-BG"/>
              </w:rPr>
              <w:t>считано от</w:t>
            </w:r>
            <w:r w:rsidRPr="00DE0996">
              <w:rPr>
                <w:b/>
                <w:bCs/>
                <w:lang w:val="bg-BG"/>
              </w:rPr>
              <w:t xml:space="preserve"> 21.11.2023 г., </w:t>
            </w:r>
            <w:r w:rsidRPr="00DE0996">
              <w:rPr>
                <w:lang w:val="bg-BG"/>
              </w:rPr>
              <w:t>съгласно извършена служебна проверка в Регистъра на рибовъдните стопанства към Изпълнителна агенция по рибарство и аквакултури (ИАРА).</w:t>
            </w:r>
          </w:p>
          <w:p w:rsidR="00966ABA" w:rsidRPr="00DE0996" w:rsidRDefault="00966ABA" w:rsidP="00966ABA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lastRenderedPageBreak/>
              <w:t>Съгласно изискванията в т. 11.2</w:t>
            </w:r>
            <w:r w:rsidRPr="00DE0996">
              <w:rPr>
                <w:lang w:val="en-US"/>
              </w:rPr>
              <w:t xml:space="preserve"> </w:t>
            </w:r>
            <w:r w:rsidRPr="00DE0996">
              <w:rPr>
                <w:i/>
                <w:iCs/>
                <w:lang w:val="bg-BG"/>
              </w:rPr>
              <w:t>Критерии за недопустимост на кандидатите</w:t>
            </w:r>
            <w:r w:rsidRPr="00DE0996">
              <w:rPr>
                <w:lang w:val="bg-BG"/>
              </w:rPr>
              <w:t xml:space="preserve"> от Условията за кандидатстване и изпълнение (УКИ) по процедура за подбор № BG14MFOP001-5.024 „Мерки за предлагане на пазара - сектор „Аквакултури“ по мярка 5.3 „Мерки за предлагане на пазара“, чл. 68, параграф 3 от Регламент (ЕС) № 508/2014: </w:t>
            </w:r>
            <w:r w:rsidRPr="00DE0996">
              <w:rPr>
                <w:b/>
                <w:bCs/>
                <w:i/>
                <w:iCs/>
                <w:lang w:val="bg-BG"/>
              </w:rPr>
              <w:t xml:space="preserve">„Потенциалните кандидати не могат да участват в процедурата за подбор на проекти и да получат безвъзмездна финансова помощ, в случай че са преустановили дейността си </w:t>
            </w:r>
            <w:r w:rsidRPr="00DE0996">
              <w:rPr>
                <w:i/>
                <w:iCs/>
                <w:lang w:val="bg-BG"/>
              </w:rPr>
              <w:t>(условие в подточка „д“)</w:t>
            </w:r>
            <w:r w:rsidRPr="00DE0996">
              <w:rPr>
                <w:b/>
                <w:bCs/>
                <w:i/>
                <w:iCs/>
                <w:lang w:val="bg-BG"/>
              </w:rPr>
              <w:t xml:space="preserve"> “.</w:t>
            </w:r>
            <w:r w:rsidRPr="00DE0996">
              <w:rPr>
                <w:lang w:val="bg-BG"/>
              </w:rPr>
              <w:t xml:space="preserve"> </w:t>
            </w:r>
          </w:p>
          <w:p w:rsidR="00966ABA" w:rsidRPr="00DE0996" w:rsidRDefault="00966ABA" w:rsidP="00966ABA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 xml:space="preserve">Също така, предвид указанията в УКИ, т. 11.1.1.3. </w:t>
            </w:r>
            <w:r w:rsidRPr="00DE0996">
              <w:rPr>
                <w:i/>
                <w:iCs/>
                <w:lang w:val="bg-BG"/>
              </w:rPr>
              <w:t>Критерии за допустимост на кандидатите</w:t>
            </w:r>
            <w:r w:rsidRPr="00DE0996">
              <w:rPr>
                <w:lang w:val="bg-BG"/>
              </w:rPr>
              <w:t xml:space="preserve"> допустими по настоящата процедура за подбор на проекти са само кандидати, които са регистрирани по реда на чл. 25 от Закона за рибарството и аквакултурите (ЗРА) </w:t>
            </w:r>
            <w:r w:rsidRPr="00DE0996">
              <w:rPr>
                <w:b/>
                <w:bCs/>
                <w:lang w:val="bg-BG"/>
              </w:rPr>
              <w:t xml:space="preserve">към датата на подаване </w:t>
            </w:r>
            <w:bookmarkStart w:id="1" w:name="_Hlk167636946"/>
            <w:r w:rsidRPr="00DE0996">
              <w:rPr>
                <w:b/>
                <w:bCs/>
                <w:lang w:val="bg-BG"/>
              </w:rPr>
              <w:t>на формуляра за кандидатстване</w:t>
            </w:r>
            <w:r w:rsidRPr="00DE0996">
              <w:rPr>
                <w:lang w:val="bg-BG"/>
              </w:rPr>
              <w:t xml:space="preserve"> </w:t>
            </w:r>
            <w:bookmarkEnd w:id="1"/>
            <w:r w:rsidRPr="00DE0996">
              <w:rPr>
                <w:lang w:val="bg-BG"/>
              </w:rPr>
              <w:t xml:space="preserve">и са осъществявали стопанска дейност рибовъдство или еквивалентна в областта на производството на аквакултури през календарната 2023 година в сектор Рибарство. Съгласно информационната система за управление и наблюдение на средствата от ЕС в България ИСУН 2020 </w:t>
            </w:r>
            <w:r w:rsidRPr="00DE0996">
              <w:rPr>
                <w:lang w:val="bg-BG"/>
              </w:rPr>
              <w:lastRenderedPageBreak/>
              <w:t xml:space="preserve">формуляра за кандидатстване на проектното предложение е подаден на </w:t>
            </w:r>
            <w:r w:rsidRPr="00DE0996">
              <w:rPr>
                <w:b/>
                <w:bCs/>
                <w:lang w:val="bg-BG"/>
              </w:rPr>
              <w:t xml:space="preserve">22.12.2023 г. </w:t>
            </w:r>
            <w:r w:rsidRPr="00DE0996">
              <w:rPr>
                <w:lang w:val="bg-BG"/>
              </w:rPr>
              <w:t xml:space="preserve">Рибовъдното стопанство е с прекратен статут от </w:t>
            </w:r>
            <w:r w:rsidRPr="00DE0996">
              <w:rPr>
                <w:b/>
                <w:bCs/>
                <w:lang w:val="bg-BG"/>
              </w:rPr>
              <w:t xml:space="preserve">21.11.2023 г. </w:t>
            </w:r>
            <w:r w:rsidRPr="00DE0996">
              <w:rPr>
                <w:lang w:val="bg-BG"/>
              </w:rPr>
              <w:t xml:space="preserve">Съгласно т. 11.2 </w:t>
            </w:r>
            <w:r w:rsidRPr="00DE0996">
              <w:rPr>
                <w:i/>
                <w:iCs/>
                <w:lang w:val="bg-BG"/>
              </w:rPr>
              <w:t xml:space="preserve">Критерии за недопустимост на кандидатите </w:t>
            </w:r>
            <w:r w:rsidRPr="00DE0996">
              <w:rPr>
                <w:lang w:val="bg-BG"/>
              </w:rPr>
              <w:t xml:space="preserve">от УКИ, Потенциалните кандидати </w:t>
            </w:r>
            <w:r w:rsidRPr="00DE0996">
              <w:rPr>
                <w:b/>
                <w:bCs/>
                <w:lang w:val="bg-BG"/>
              </w:rPr>
              <w:t>не могат</w:t>
            </w:r>
            <w:r w:rsidRPr="00DE0996">
              <w:rPr>
                <w:lang w:val="bg-BG"/>
              </w:rPr>
              <w:t xml:space="preserve"> да участват в процедурата за подбор на проекти и да получат безвъзмездна финансова помощ, ако не отговарят на критериите за допустимост по т. 11.1.</w:t>
            </w:r>
          </w:p>
          <w:p w:rsidR="00966ABA" w:rsidRPr="00DE0996" w:rsidRDefault="00966ABA" w:rsidP="00966ABA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>След извършената проверка на предоставените документи и съгласно чл. 34, ал. 2 от ЗУСЕФСУ: „</w:t>
            </w:r>
            <w:r w:rsidRPr="00DE0996">
              <w:rPr>
                <w:i/>
                <w:iCs/>
                <w:lang w:val="bg-BG"/>
              </w:rPr>
              <w:t>Когато при проверката по ал. 1 се установи липса на документи и/или друга нередовност, комисията изпраща на кандидата уведомление за установените нередовности и определя разумен срок за тяхното отстраняване, който не може да бъде по-кратък от една седмица. Уведомлението съдържа и информация, че неотстраняването на нередовностите в срок може да доведе до прекратяване на производството по отношение на кандидата. Отстраняването на нередовностите не може да води до подобряване на качеството на проектното предложение</w:t>
            </w:r>
            <w:r w:rsidRPr="00DE0996">
              <w:rPr>
                <w:lang w:val="bg-BG"/>
              </w:rPr>
              <w:t xml:space="preserve">“, на 14.05.2024 г., чрез Модул „Комуникация“ в ИСУН 2020, </w:t>
            </w:r>
            <w:r w:rsidRPr="00DE0996">
              <w:rPr>
                <w:lang w:val="bg-BG"/>
              </w:rPr>
              <w:lastRenderedPageBreak/>
              <w:t xml:space="preserve">е изпратено уведомление с регистрационен номер BG14MFOP001-5.024-0024-M001, с което е поискана мотивирана обосновка от кандидата за откритото несъответствие. Указан е срок до 21.05.2024 г., в който да бъде предоставена мотивирана обосновка на откритото несъответствие, а именно: </w:t>
            </w:r>
          </w:p>
          <w:p w:rsidR="00966ABA" w:rsidRPr="00DE0996" w:rsidRDefault="00966ABA" w:rsidP="00966ABA">
            <w:pPr>
              <w:jc w:val="both"/>
              <w:rPr>
                <w:i/>
                <w:iCs/>
                <w:lang w:val="bg-BG"/>
              </w:rPr>
            </w:pPr>
            <w:r w:rsidRPr="00DE0996">
              <w:rPr>
                <w:i/>
                <w:iCs/>
                <w:lang w:val="bg-BG"/>
              </w:rPr>
              <w:t xml:space="preserve">„След извършена служебна проверка в Регистъра на рибовъдните стопанства към Изпълнителна агенция по рибарство и аквакултури (ИАРА) е установено, че „Боби ЛВ“ ЕООД притежава рибовъдно стопанство в ПИ 2 и 3, бивш кв.16 по регулационния план на с. Пали Лула, ЕКАТТЕ 55258, общ. Бойчиновци, обл. Монтана, което е </w:t>
            </w:r>
            <w:r w:rsidRPr="00DE0996">
              <w:rPr>
                <w:i/>
                <w:iCs/>
                <w:u w:val="single"/>
                <w:lang w:val="bg-BG"/>
              </w:rPr>
              <w:t>с прекратен статут</w:t>
            </w:r>
            <w:r w:rsidRPr="00DE0996">
              <w:rPr>
                <w:i/>
                <w:iCs/>
                <w:lang w:val="bg-BG"/>
              </w:rPr>
              <w:t xml:space="preserve"> </w:t>
            </w:r>
            <w:r w:rsidRPr="00DE0996">
              <w:rPr>
                <w:b/>
                <w:i/>
                <w:iCs/>
                <w:lang w:val="bg-BG"/>
              </w:rPr>
              <w:t>считано от 21.11.2023 г.</w:t>
            </w:r>
            <w:r w:rsidRPr="00DE0996">
              <w:rPr>
                <w:i/>
                <w:iCs/>
                <w:lang w:val="bg-BG"/>
              </w:rPr>
              <w:t xml:space="preserve"> Представеното от Вас Удостоверение за регистрация по реда на чл. 25 от Закона за рибарството и аквакултурите (ЗРА), изх. № 1545/14.07.2022 г., се отнася до същия обект. Предвид заложеното в УКИ, т. 11.1 Критерии за допустимост на кандидатите допустими по настоящата процедура за подбор на проекти са само кандидати, които </w:t>
            </w:r>
            <w:r w:rsidRPr="00DE0996">
              <w:rPr>
                <w:i/>
                <w:iCs/>
                <w:u w:val="single"/>
                <w:lang w:val="bg-BG"/>
              </w:rPr>
              <w:t>са регистрирани по реда на чл. 25 от ЗРА към датата на подаване на формуляра за кандидатстване</w:t>
            </w:r>
            <w:r w:rsidRPr="00DE0996">
              <w:rPr>
                <w:i/>
                <w:iCs/>
                <w:lang w:val="bg-BG"/>
              </w:rPr>
              <w:t xml:space="preserve"> и са </w:t>
            </w:r>
            <w:r w:rsidRPr="00DE0996">
              <w:rPr>
                <w:i/>
                <w:iCs/>
                <w:lang w:val="bg-BG"/>
              </w:rPr>
              <w:lastRenderedPageBreak/>
              <w:t xml:space="preserve">осъществявали стопанска дейност рибовъдство или еквивалентна в областта на производството на аквакултури през календарната 2023 година в сектор Рибарство. Съгласно информационната система за управление и наблюдение на средствата от ЕС в България ИСУН 2020 формуляра за кандидатстване на проектното предложение е подаден на </w:t>
            </w:r>
            <w:r w:rsidRPr="00DE0996">
              <w:rPr>
                <w:b/>
                <w:i/>
                <w:iCs/>
                <w:lang w:val="bg-BG"/>
              </w:rPr>
              <w:t>22.12.2023 г.,</w:t>
            </w:r>
            <w:r w:rsidRPr="00DE0996">
              <w:rPr>
                <w:i/>
                <w:iCs/>
                <w:lang w:val="bg-BG"/>
              </w:rPr>
              <w:t xml:space="preserve"> а съгласно 11.2 Критерии за недопустимост на кандидатите от УКИ, Потенциалните кандидати </w:t>
            </w:r>
            <w:r w:rsidRPr="00DE0996">
              <w:rPr>
                <w:b/>
                <w:i/>
                <w:iCs/>
                <w:lang w:val="bg-BG"/>
              </w:rPr>
              <w:t>не могат</w:t>
            </w:r>
            <w:r w:rsidRPr="00DE0996">
              <w:rPr>
                <w:i/>
                <w:iCs/>
                <w:lang w:val="bg-BG"/>
              </w:rPr>
              <w:t xml:space="preserve"> да участват в процедурата за подбор на проекти и да получат безвъзмездна финансова помощ, ако не отговарят на критериите за допустимост по т. 11.1, както и в случай че са преустановили дейността си (условие в подточка „д“).</w:t>
            </w:r>
          </w:p>
          <w:p w:rsidR="00966ABA" w:rsidRPr="00DE0996" w:rsidRDefault="00966ABA" w:rsidP="00966ABA">
            <w:pPr>
              <w:jc w:val="both"/>
              <w:rPr>
                <w:i/>
                <w:iCs/>
                <w:lang w:val="bg-BG"/>
              </w:rPr>
            </w:pPr>
            <w:r w:rsidRPr="00DE0996">
              <w:rPr>
                <w:i/>
                <w:iCs/>
                <w:lang w:val="bg-BG"/>
              </w:rPr>
              <w:t>В тази връзка моля да представите мотивирана обяснителна записка на откритото несъответствие.“</w:t>
            </w:r>
          </w:p>
          <w:p w:rsidR="00966ABA" w:rsidRPr="00DE0996" w:rsidRDefault="00966ABA" w:rsidP="00966ABA">
            <w:pPr>
              <w:jc w:val="both"/>
              <w:rPr>
                <w:i/>
                <w:iCs/>
                <w:lang w:val="bg-BG"/>
              </w:rPr>
            </w:pPr>
            <w:r w:rsidRPr="00DE0996">
              <w:rPr>
                <w:lang w:val="bg-BG"/>
              </w:rPr>
              <w:t>Кандидатът е отговорил на комуникацията в регламентирания срок, като е посочил следната обосновка: „</w:t>
            </w:r>
            <w:r w:rsidRPr="00DE0996">
              <w:rPr>
                <w:i/>
                <w:iCs/>
                <w:lang w:val="bg-BG"/>
              </w:rPr>
              <w:t xml:space="preserve">Моля да вземете под внимание стандартната практика на ИАРА, когато дадено рибовъдно стопанство е в ремонт бива отразявано в регистъра като "прекратено" , </w:t>
            </w:r>
            <w:r w:rsidRPr="00DE0996">
              <w:rPr>
                <w:i/>
                <w:iCs/>
                <w:lang w:val="bg-BG"/>
              </w:rPr>
              <w:lastRenderedPageBreak/>
              <w:t>като след приключване на ремонтните дейности статута на съответното стопанство бива отново променен в "активно".</w:t>
            </w:r>
          </w:p>
          <w:p w:rsidR="00966ABA" w:rsidRPr="00DE0996" w:rsidRDefault="00966ABA" w:rsidP="00966ABA">
            <w:pPr>
              <w:jc w:val="both"/>
              <w:rPr>
                <w:i/>
                <w:iCs/>
                <w:lang w:val="bg-BG"/>
              </w:rPr>
            </w:pPr>
            <w:r w:rsidRPr="00DE0996">
              <w:rPr>
                <w:i/>
                <w:iCs/>
                <w:lang w:val="bg-BG"/>
              </w:rPr>
              <w:t>В конкретният случай рибовъдното стопанство на дружеството се намира в реконструкция целяща неговата модернизация, която трае от 21.11.2023 г. Веднага щом приключат дейностите засягащи реконструкцията му, стопанството ще бъде въведено отново в работен - рибовъден режим.“.</w:t>
            </w:r>
          </w:p>
          <w:p w:rsidR="00966ABA" w:rsidRPr="00DE0996" w:rsidRDefault="00966ABA" w:rsidP="00966ABA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 xml:space="preserve">В отговорът си, кандидатът не е предоставил относими документи, потвърждаващи твърдението за планиран ремонт, с цел модернизация (например подадена информация/заявление към ИАРА за необходимост от извършване на ремонтни дейности в рибовъдното стопанство, планиран период за извършване на модернизацията или др.) на  „БОБИ ЛВ“ ЕООД. Също така в Критериите за допустимост на кандидатите няма условие, което да допуска до оценка кандидати, в процес на ремонтни дейности към датата на подаване на формуляра за кандидатстване, дори с цел модернизиране на обекта – рибовъдно стопанство. Съгласно т. 21 </w:t>
            </w:r>
            <w:r w:rsidRPr="00DE0996">
              <w:rPr>
                <w:i/>
                <w:iCs/>
                <w:lang w:val="bg-BG"/>
              </w:rPr>
              <w:t xml:space="preserve">Ред за оценяване на </w:t>
            </w:r>
            <w:r w:rsidRPr="00DE0996">
              <w:rPr>
                <w:i/>
                <w:iCs/>
                <w:lang w:val="bg-BG"/>
              </w:rPr>
              <w:lastRenderedPageBreak/>
              <w:t xml:space="preserve">проектните предложения </w:t>
            </w:r>
            <w:r w:rsidRPr="00DE0996">
              <w:rPr>
                <w:lang w:val="bg-BG"/>
              </w:rPr>
              <w:t xml:space="preserve">от УКИ </w:t>
            </w:r>
            <w:r w:rsidRPr="00DE0996">
              <w:rPr>
                <w:b/>
                <w:bCs/>
                <w:lang w:val="bg-BG"/>
              </w:rPr>
              <w:t>Не се допуска въвеждането на допълнителни критерии за оценка или изменение на критериите по време на провеждането на процедурата по оценка</w:t>
            </w:r>
            <w:r w:rsidRPr="00DE0996">
              <w:rPr>
                <w:lang w:val="bg-BG"/>
              </w:rPr>
              <w:t xml:space="preserve"> на постъпилите проектни предложения с изключение на случаите по чл. 26, ал. 7 от ЗУСЕФСУ.  </w:t>
            </w:r>
          </w:p>
          <w:p w:rsidR="00966ABA" w:rsidRPr="00DE0996" w:rsidRDefault="00966ABA" w:rsidP="00966ABA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 xml:space="preserve">С оглед на гореизложеното и въз основа Критерии за допустимост на кандидатите (т. 11.1.1.3.) и Критерии за недопустимост на кандидатите (т. 11.2.д), </w:t>
            </w:r>
            <w:r w:rsidRPr="00DE0996">
              <w:rPr>
                <w:i/>
                <w:iCs/>
                <w:lang w:val="bg-BG"/>
              </w:rPr>
              <w:t>по процедура чрез подбор на проекти № BG14MFOP001-5.024 „Мерки за предлагане на пазара - сектор „Аквакултури“, Мярка 5.3 „Мерки за предлагане на пазара</w:t>
            </w:r>
            <w:r w:rsidRPr="00DE0996">
              <w:rPr>
                <w:lang w:val="bg-BG"/>
              </w:rPr>
              <w:t xml:space="preserve">“ към УКИ, както и въз основа на Критериите за административно съответствие и допустимост на проектните предложения, указани в Приложение № 4, </w:t>
            </w:r>
            <w:r w:rsidRPr="00DE0996">
              <w:rPr>
                <w:b/>
                <w:bCs/>
                <w:lang w:val="bg-BG"/>
              </w:rPr>
              <w:t>в случай на</w:t>
            </w:r>
            <w:r w:rsidRPr="00DE0996">
              <w:rPr>
                <w:lang w:val="bg-BG"/>
              </w:rPr>
              <w:t xml:space="preserve"> </w:t>
            </w:r>
            <w:r w:rsidRPr="00DE0996">
              <w:rPr>
                <w:b/>
                <w:bCs/>
                <w:lang w:val="bg-BG"/>
              </w:rPr>
              <w:t>установено несъответствие с изискванията по т. 10 – 14</w:t>
            </w:r>
            <w:r w:rsidRPr="00DE0996">
              <w:rPr>
                <w:lang w:val="bg-BG"/>
              </w:rPr>
              <w:t xml:space="preserve"> и т. 17 от проверките на етап АСД (т. 12.Кандидатът не попада, под което и да е от условията, изброени в т. 11.2 „Критерии за недопустимост на кандидатите“ от Условията за кандидатстване по настоящата процедура), </w:t>
            </w:r>
            <w:r w:rsidRPr="00DE0996">
              <w:rPr>
                <w:b/>
                <w:bCs/>
                <w:lang w:val="bg-BG"/>
              </w:rPr>
              <w:t xml:space="preserve">проектното предложение се отхвърля. </w:t>
            </w:r>
          </w:p>
          <w:p w:rsidR="00966ABA" w:rsidRPr="00DE0996" w:rsidRDefault="00966ABA" w:rsidP="00966ABA">
            <w:pPr>
              <w:jc w:val="both"/>
              <w:rPr>
                <w:b/>
                <w:bCs/>
                <w:lang w:val="bg-BG"/>
              </w:rPr>
            </w:pPr>
            <w:r w:rsidRPr="00DE0996">
              <w:rPr>
                <w:lang w:val="bg-BG"/>
              </w:rPr>
              <w:lastRenderedPageBreak/>
              <w:t xml:space="preserve">Един от случаите, в които </w:t>
            </w:r>
            <w:r w:rsidRPr="00DE0996">
              <w:rPr>
                <w:bCs/>
                <w:iCs/>
                <w:lang w:val="bg-BG"/>
              </w:rPr>
              <w:t>ръководителят на Управляващия орган взема мотивирано решение за отказ за предоставяне на безвъзмездна финансова помощ съгласно т. 27.1 от УКИ</w:t>
            </w:r>
            <w:r w:rsidRPr="00DE0996">
              <w:rPr>
                <w:lang w:val="bg-BG"/>
              </w:rPr>
              <w:t xml:space="preserve"> е „</w:t>
            </w:r>
            <w:r w:rsidRPr="00DE0996">
              <w:rPr>
                <w:b/>
                <w:bCs/>
                <w:i/>
                <w:iCs/>
                <w:lang w:val="bg-BG"/>
              </w:rPr>
              <w:t>за всяко проектно предложение, което не отговаря на изискванията на оценка и за което са налице основания за отхвърляне на проектно предложение</w:t>
            </w:r>
            <w:r w:rsidRPr="00DE0996">
              <w:rPr>
                <w:b/>
                <w:i/>
                <w:lang w:val="bg-BG"/>
              </w:rPr>
              <w:t>“</w:t>
            </w:r>
            <w:r w:rsidRPr="00DE0996">
              <w:rPr>
                <w:lang w:val="bg-BG"/>
              </w:rPr>
              <w:t xml:space="preserve">. В конкретният случай не е спазено и условието в т. 11.1. </w:t>
            </w:r>
            <w:r w:rsidRPr="00DE0996">
              <w:rPr>
                <w:i/>
                <w:iCs/>
                <w:lang w:val="bg-BG"/>
              </w:rPr>
              <w:t>Критерии за допустимост на кандидатите</w:t>
            </w:r>
            <w:r w:rsidRPr="00DE0996">
              <w:rPr>
                <w:lang w:val="bg-BG"/>
              </w:rPr>
              <w:t xml:space="preserve"> – </w:t>
            </w:r>
            <w:r w:rsidRPr="00DE0996">
              <w:rPr>
                <w:b/>
                <w:bCs/>
                <w:lang w:val="bg-BG"/>
              </w:rPr>
              <w:t>да са регистрирани по реда на чл. 25 от ЗРА  към датата на подаване на формуляра</w:t>
            </w:r>
            <w:r w:rsidRPr="00DE0996">
              <w:rPr>
                <w:lang w:val="bg-BG"/>
              </w:rPr>
              <w:t xml:space="preserve"> и т. 11.2. </w:t>
            </w:r>
            <w:r w:rsidRPr="00DE0996">
              <w:rPr>
                <w:i/>
                <w:iCs/>
                <w:lang w:val="bg-BG"/>
              </w:rPr>
              <w:t>Критерии за недопустимост на кандидатите</w:t>
            </w:r>
            <w:r w:rsidRPr="00DE0996">
              <w:rPr>
                <w:lang w:val="bg-BG"/>
              </w:rPr>
              <w:t xml:space="preserve"> от УКИ - </w:t>
            </w:r>
            <w:r w:rsidRPr="00DE0996">
              <w:rPr>
                <w:b/>
                <w:bCs/>
                <w:lang w:val="bg-BG"/>
              </w:rPr>
              <w:t>ако не отговарят на критериите за допустимост по т. 11.1</w:t>
            </w:r>
            <w:r w:rsidRPr="00DE0996">
              <w:rPr>
                <w:lang w:val="bg-BG"/>
              </w:rPr>
              <w:t xml:space="preserve">, както и в случай </w:t>
            </w:r>
            <w:r w:rsidRPr="00DE0996">
              <w:rPr>
                <w:b/>
                <w:bCs/>
                <w:lang w:val="bg-BG"/>
              </w:rPr>
              <w:t>че са преустановили дейността си.</w:t>
            </w:r>
          </w:p>
          <w:p w:rsidR="00966ABA" w:rsidRPr="00DE0996" w:rsidRDefault="00966ABA" w:rsidP="00966ABA">
            <w:pPr>
              <w:jc w:val="both"/>
              <w:rPr>
                <w:lang w:val="bg-BG"/>
              </w:rPr>
            </w:pPr>
            <w:r w:rsidRPr="00DE0996">
              <w:rPr>
                <w:lang w:val="bg-BG"/>
              </w:rPr>
              <w:t xml:space="preserve">Поради изложените по-горе аргументи, проектно предложение с рег. № BG14MFOP001-5.024-0024 на кандидат </w:t>
            </w:r>
            <w:bookmarkStart w:id="2" w:name="_Hlk167628288"/>
            <w:r w:rsidRPr="00DE0996">
              <w:rPr>
                <w:lang w:val="bg-BG"/>
              </w:rPr>
              <w:t>„БОБИ ЛВ“ ЕООД</w:t>
            </w:r>
            <w:bookmarkEnd w:id="2"/>
            <w:r w:rsidRPr="00DE0996">
              <w:rPr>
                <w:lang w:val="bg-BG"/>
              </w:rPr>
              <w:t xml:space="preserve">, ЕИК: 204608525 следва да бъде включено в </w:t>
            </w:r>
            <w:r w:rsidRPr="00DE0996">
              <w:rPr>
                <w:i/>
                <w:iCs/>
                <w:lang w:val="bg-BG"/>
              </w:rPr>
              <w:t>Списъка на проектните предложения, които не се допускат до етап Техническа и финансова оценка по настоящата процедура</w:t>
            </w:r>
            <w:r w:rsidRPr="00DE0996">
              <w:rPr>
                <w:lang w:val="bg-BG"/>
              </w:rPr>
              <w:t>.</w:t>
            </w:r>
          </w:p>
          <w:p w:rsidR="00966ABA" w:rsidRPr="00DE0996" w:rsidRDefault="00966ABA" w:rsidP="004C5EE7">
            <w:pPr>
              <w:jc w:val="both"/>
              <w:rPr>
                <w:lang w:val="bg-BG"/>
              </w:rPr>
            </w:pPr>
          </w:p>
        </w:tc>
      </w:tr>
    </w:tbl>
    <w:p w:rsidR="00D874BF" w:rsidRPr="00DE0996" w:rsidRDefault="00D874BF" w:rsidP="00966ABA">
      <w:pPr>
        <w:ind w:right="-314"/>
        <w:jc w:val="center"/>
        <w:rPr>
          <w:b/>
          <w:lang w:val="bg-BG"/>
        </w:rPr>
      </w:pPr>
    </w:p>
    <w:p w:rsidR="00966ABA" w:rsidRPr="00DE0996" w:rsidRDefault="00966ABA" w:rsidP="00966ABA">
      <w:pPr>
        <w:ind w:right="-314"/>
        <w:jc w:val="center"/>
        <w:rPr>
          <w:b/>
          <w:lang w:val="bg-BG"/>
        </w:rPr>
      </w:pPr>
    </w:p>
    <w:p w:rsidR="00966ABA" w:rsidRPr="00DE0996" w:rsidRDefault="00966ABA" w:rsidP="00A940B8">
      <w:pPr>
        <w:jc w:val="center"/>
        <w:rPr>
          <w:b/>
          <w:lang w:val="bg-BG"/>
        </w:rPr>
      </w:pPr>
    </w:p>
    <w:p w:rsidR="003B5A55" w:rsidRPr="00DE0996" w:rsidRDefault="00D874BF" w:rsidP="00252824">
      <w:pPr>
        <w:jc w:val="both"/>
        <w:rPr>
          <w:lang w:val="bg-BG"/>
        </w:rPr>
      </w:pPr>
      <w:r w:rsidRPr="00DE0996">
        <w:rPr>
          <w:b/>
          <w:lang w:val="bg-BG"/>
        </w:rPr>
        <w:t xml:space="preserve">ЗАБЕЛЕЖКА: </w:t>
      </w:r>
      <w:r w:rsidRPr="00DE0996">
        <w:rPr>
          <w:lang w:val="bg-BG"/>
        </w:rPr>
        <w:t>Кандидатите, чиито проектни предложения са</w:t>
      </w:r>
      <w:r w:rsidR="00685D9D" w:rsidRPr="00DE0996">
        <w:rPr>
          <w:lang w:val="bg-BG"/>
        </w:rPr>
        <w:t xml:space="preserve"> предложени за</w:t>
      </w:r>
      <w:r w:rsidRPr="00DE0996">
        <w:rPr>
          <w:lang w:val="bg-BG"/>
        </w:rPr>
        <w:t xml:space="preserve"> </w:t>
      </w:r>
      <w:r w:rsidR="00685D9D" w:rsidRPr="00DE0996">
        <w:rPr>
          <w:lang w:val="bg-BG"/>
        </w:rPr>
        <w:t xml:space="preserve">отхвърляне </w:t>
      </w:r>
      <w:r w:rsidR="00252824" w:rsidRPr="00DE0996">
        <w:rPr>
          <w:lang w:val="bg-BG"/>
        </w:rPr>
        <w:t xml:space="preserve">на етап </w:t>
      </w:r>
      <w:r w:rsidR="00252824" w:rsidRPr="00DE0996">
        <w:rPr>
          <w:iCs/>
          <w:lang w:val="bg-BG"/>
        </w:rPr>
        <w:t xml:space="preserve">оценка на административното съответствие </w:t>
      </w:r>
      <w:r w:rsidR="00775769" w:rsidRPr="00DE0996">
        <w:rPr>
          <w:iCs/>
          <w:lang w:val="bg-BG"/>
        </w:rPr>
        <w:t xml:space="preserve">и допустимостта </w:t>
      </w:r>
      <w:r w:rsidR="00252824" w:rsidRPr="00DE0996">
        <w:rPr>
          <w:iCs/>
          <w:lang w:val="bg-BG"/>
        </w:rPr>
        <w:t>по горепосочената процедура</w:t>
      </w:r>
      <w:r w:rsidRPr="00DE0996">
        <w:rPr>
          <w:lang w:val="bg-BG"/>
        </w:rPr>
        <w:t xml:space="preserve"> могат да подадат писмени възражения срещу </w:t>
      </w:r>
      <w:r w:rsidR="00685D9D" w:rsidRPr="00DE0996">
        <w:rPr>
          <w:lang w:val="bg-BG"/>
        </w:rPr>
        <w:t>предложението за отхвърлянето им пред</w:t>
      </w:r>
      <w:r w:rsidR="00704F48" w:rsidRPr="00DE0996">
        <w:rPr>
          <w:lang w:val="bg-BG"/>
        </w:rPr>
        <w:t xml:space="preserve"> </w:t>
      </w:r>
      <w:r w:rsidR="003C6C1D" w:rsidRPr="00DE0996">
        <w:rPr>
          <w:lang w:val="bg-BG"/>
        </w:rPr>
        <w:t>Р</w:t>
      </w:r>
      <w:r w:rsidRPr="00DE0996">
        <w:rPr>
          <w:lang w:val="bg-BG"/>
        </w:rPr>
        <w:t xml:space="preserve">ъководителя на </w:t>
      </w:r>
      <w:r w:rsidR="00A40AC5" w:rsidRPr="00DE0996">
        <w:rPr>
          <w:lang w:val="bg-BG"/>
        </w:rPr>
        <w:t>У</w:t>
      </w:r>
      <w:r w:rsidR="003E2D2E" w:rsidRPr="00DE0996">
        <w:rPr>
          <w:lang w:val="bg-BG"/>
        </w:rPr>
        <w:t xml:space="preserve">правляващия </w:t>
      </w:r>
      <w:r w:rsidRPr="00DE0996">
        <w:rPr>
          <w:lang w:val="bg-BG"/>
        </w:rPr>
        <w:t>орган</w:t>
      </w:r>
      <w:r w:rsidR="00D34D64" w:rsidRPr="00DE0996">
        <w:rPr>
          <w:lang w:val="bg-BG"/>
        </w:rPr>
        <w:t>,</w:t>
      </w:r>
      <w:r w:rsidRPr="00DE0996">
        <w:rPr>
          <w:lang w:val="bg-BG"/>
        </w:rPr>
        <w:t xml:space="preserve"> в </w:t>
      </w:r>
      <w:r w:rsidR="005F44E0" w:rsidRPr="00DE0996">
        <w:rPr>
          <w:lang w:val="bg-BG"/>
        </w:rPr>
        <w:t xml:space="preserve">едноседмичен </w:t>
      </w:r>
      <w:r w:rsidRPr="00DE0996">
        <w:rPr>
          <w:lang w:val="bg-BG"/>
        </w:rPr>
        <w:t xml:space="preserve">срок </w:t>
      </w:r>
      <w:r w:rsidR="005F44E0" w:rsidRPr="00DE0996">
        <w:rPr>
          <w:lang w:val="bg-BG"/>
        </w:rPr>
        <w:t>от съобщаването.</w:t>
      </w:r>
      <w:r w:rsidR="00EB135C" w:rsidRPr="00DE0996">
        <w:rPr>
          <w:lang w:val="bg-BG"/>
        </w:rPr>
        <w:t xml:space="preserve"> </w:t>
      </w:r>
    </w:p>
    <w:p w:rsidR="009A06E8" w:rsidRPr="00DE0996" w:rsidRDefault="009A06E8" w:rsidP="00252824">
      <w:pPr>
        <w:jc w:val="both"/>
        <w:rPr>
          <w:lang w:val="bg-BG"/>
        </w:rPr>
      </w:pPr>
    </w:p>
    <w:p w:rsidR="003F15B5" w:rsidRDefault="003F15B5" w:rsidP="00877A5F">
      <w:pPr>
        <w:rPr>
          <w:snapToGrid w:val="0"/>
          <w:lang w:val="bg-BG"/>
        </w:rPr>
      </w:pPr>
    </w:p>
    <w:p w:rsidR="00877A5F" w:rsidRPr="00DE0996" w:rsidRDefault="00877A5F" w:rsidP="00877A5F">
      <w:pPr>
        <w:rPr>
          <w:snapToGrid w:val="0"/>
          <w:lang w:val="bg-BG"/>
        </w:rPr>
      </w:pPr>
      <w:r w:rsidRPr="00DE0996">
        <w:rPr>
          <w:snapToGrid w:val="0"/>
          <w:lang w:val="bg-BG"/>
        </w:rPr>
        <w:t xml:space="preserve">Дата: </w:t>
      </w:r>
    </w:p>
    <w:p w:rsidR="00877A5F" w:rsidRPr="00DE0996" w:rsidRDefault="00877A5F" w:rsidP="00877A5F">
      <w:pPr>
        <w:rPr>
          <w:snapToGrid w:val="0"/>
          <w:lang w:val="bg-BG"/>
        </w:rPr>
      </w:pPr>
    </w:p>
    <w:p w:rsidR="00877A5F" w:rsidRPr="00DE0996" w:rsidRDefault="00877A5F" w:rsidP="00877A5F">
      <w:pPr>
        <w:rPr>
          <w:snapToGrid w:val="0"/>
          <w:lang w:val="bg-BG"/>
        </w:rPr>
      </w:pPr>
      <w:r w:rsidRPr="00DE0996">
        <w:rPr>
          <w:snapToGrid w:val="0"/>
          <w:lang w:val="bg-BG"/>
        </w:rPr>
        <w:t xml:space="preserve">Подпис: </w:t>
      </w:r>
    </w:p>
    <w:p w:rsidR="00877A5F" w:rsidRPr="00DE0996" w:rsidRDefault="00877A5F" w:rsidP="00877A5F">
      <w:pPr>
        <w:rPr>
          <w:snapToGrid w:val="0"/>
          <w:lang w:val="bg-BG"/>
        </w:rPr>
      </w:pPr>
    </w:p>
    <w:p w:rsidR="00877A5F" w:rsidRPr="00DE0996" w:rsidRDefault="00877A5F" w:rsidP="00877A5F">
      <w:pPr>
        <w:rPr>
          <w:snapToGrid w:val="0"/>
          <w:lang w:val="bg-BG"/>
        </w:rPr>
      </w:pPr>
      <w:r w:rsidRPr="00DE0996">
        <w:rPr>
          <w:snapToGrid w:val="0"/>
          <w:lang w:val="bg-BG"/>
        </w:rPr>
        <w:t>(</w:t>
      </w:r>
      <w:r w:rsidRPr="00DE0996">
        <w:rPr>
          <w:b/>
          <w:i/>
          <w:snapToGrid w:val="0"/>
          <w:lang w:val="bg-BG"/>
        </w:rPr>
        <w:t xml:space="preserve">Име, Фамилия и позиция в състава на Оценителната комисия </w:t>
      </w:r>
      <w:r w:rsidRPr="00DE0996">
        <w:rPr>
          <w:i/>
          <w:snapToGrid w:val="0"/>
          <w:lang w:val="bg-BG"/>
        </w:rPr>
        <w:t>- Член на Оценителната комисия/Помощник-оценител/Председател на Оценителната комисия</w:t>
      </w:r>
      <w:r w:rsidRPr="00DE0996">
        <w:rPr>
          <w:b/>
          <w:i/>
          <w:snapToGrid w:val="0"/>
          <w:lang w:val="bg-BG"/>
        </w:rPr>
        <w:t>)</w:t>
      </w:r>
    </w:p>
    <w:p w:rsidR="00877A5F" w:rsidRPr="00DE0996" w:rsidRDefault="00877A5F" w:rsidP="00877A5F">
      <w:pPr>
        <w:spacing w:line="360" w:lineRule="auto"/>
        <w:rPr>
          <w:snapToGrid w:val="0"/>
          <w:lang w:val="bg-BG"/>
        </w:rPr>
      </w:pPr>
      <w:r w:rsidRPr="00DE0996">
        <w:rPr>
          <w:snapToGrid w:val="0"/>
          <w:lang w:val="bg-BG"/>
        </w:rPr>
        <w:t xml:space="preserve">                                                                      </w:t>
      </w:r>
    </w:p>
    <w:p w:rsidR="00877A5F" w:rsidRPr="00DE0996" w:rsidRDefault="00877A5F" w:rsidP="00252824">
      <w:pPr>
        <w:jc w:val="both"/>
        <w:rPr>
          <w:lang w:val="bg-BG"/>
        </w:rPr>
      </w:pPr>
    </w:p>
    <w:sectPr w:rsidR="00877A5F" w:rsidRPr="00DE0996" w:rsidSect="00C740F1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A7" w:rsidRDefault="00221BA7">
      <w:r>
        <w:separator/>
      </w:r>
    </w:p>
  </w:endnote>
  <w:endnote w:type="continuationSeparator" w:id="0">
    <w:p w:rsidR="00221BA7" w:rsidRDefault="0022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A7" w:rsidRDefault="00221BA7">
      <w:r>
        <w:separator/>
      </w:r>
    </w:p>
  </w:footnote>
  <w:footnote w:type="continuationSeparator" w:id="0">
    <w:p w:rsidR="00221BA7" w:rsidRDefault="0022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77" w:type="dxa"/>
      <w:tblInd w:w="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74"/>
      <w:gridCol w:w="1442"/>
      <w:gridCol w:w="5141"/>
      <w:gridCol w:w="2520"/>
    </w:tblGrid>
    <w:tr w:rsidR="00F95F33" w:rsidRPr="00144A1F" w:rsidTr="00EC01F6">
      <w:trPr>
        <w:trHeight w:val="1268"/>
        <w:tblHeader/>
      </w:trPr>
      <w:tc>
        <w:tcPr>
          <w:tcW w:w="5574" w:type="dxa"/>
          <w:vMerge w:val="restart"/>
          <w:tcBorders>
            <w:top w:val="single" w:sz="1" w:space="0" w:color="000000"/>
            <w:left w:val="single" w:sz="1" w:space="0" w:color="000000"/>
          </w:tcBorders>
          <w:vAlign w:val="center"/>
        </w:tcPr>
        <w:p w:rsidR="00144A1F" w:rsidRPr="00144A1F" w:rsidRDefault="00144A1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Министерство на </w:t>
          </w:r>
          <w:r w:rsidR="00A6323E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земеделието</w:t>
          </w:r>
          <w:r w:rsidR="00161E80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и храните</w:t>
          </w:r>
        </w:p>
        <w:p w:rsidR="00F95F33" w:rsidRPr="006B2ABC" w:rsidRDefault="001D7924" w:rsidP="001D7924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</w:t>
          </w:r>
          <w:r w:rsidR="00144A1F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ирекция “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Морско дело и рибарство</w:t>
          </w:r>
          <w:r w:rsidR="00144A1F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” – Управляващ орган на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ПМДР</w:t>
          </w:r>
          <w:r w:rsidR="00877A5F" w:rsidRPr="006B2ABC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2014 - 2020</w:t>
          </w:r>
        </w:p>
      </w:tc>
      <w:tc>
        <w:tcPr>
          <w:tcW w:w="6583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F95F33" w:rsidRPr="00144A1F" w:rsidRDefault="003213FB" w:rsidP="003C6C1D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НАРЪЧНИК </w:t>
          </w:r>
          <w:r w:rsidR="00D4220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ПО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954F89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ПРОГРАМА ЗА </w:t>
          </w:r>
          <w:r w:rsidR="001D792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МОРСКО ДЕЛО И РИБАРСТВО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BE3CC1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2014 -2020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(</w:t>
          </w:r>
          <w:r w:rsidR="001D792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ПМДР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)</w:t>
          </w:r>
        </w:p>
      </w:tc>
      <w:tc>
        <w:tcPr>
          <w:tcW w:w="252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144A1F" w:rsidP="009054CD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lang w:val="bg-BG"/>
            </w:rPr>
            <w:t xml:space="preserve">Вариант </w:t>
          </w:r>
          <w:r w:rsidR="00161E80">
            <w:rPr>
              <w:rFonts w:eastAsia="HG Mincho Light J"/>
              <w:b/>
              <w:color w:val="000000"/>
              <w:sz w:val="20"/>
              <w:lang w:val="bg-BG"/>
            </w:rPr>
            <w:t>4</w:t>
          </w:r>
        </w:p>
      </w:tc>
    </w:tr>
    <w:tr w:rsidR="00F95F33" w:rsidRPr="00144A1F" w:rsidTr="00EC01F6">
      <w:trPr>
        <w:trHeight w:val="754"/>
      </w:trPr>
      <w:tc>
        <w:tcPr>
          <w:tcW w:w="5574" w:type="dxa"/>
          <w:vMerge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1442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6C23EE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Глава 4, раздел 2, 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Приложение </w:t>
          </w: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4.II.</w:t>
          </w:r>
          <w:r w:rsidR="00BE3CC1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1</w:t>
          </w: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.</w:t>
          </w:r>
          <w:r w:rsidR="00F609C8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7</w:t>
          </w: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.</w:t>
          </w:r>
        </w:p>
      </w:tc>
      <w:tc>
        <w:tcPr>
          <w:tcW w:w="5141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sz w:val="20"/>
              <w:szCs w:val="20"/>
              <w:lang w:val="bg-BG"/>
            </w:rPr>
          </w:pPr>
          <w:r w:rsidRPr="00144A1F">
            <w:rPr>
              <w:b/>
              <w:sz w:val="20"/>
              <w:szCs w:val="20"/>
              <w:lang w:val="bg-BG"/>
            </w:rPr>
            <w:t>ПРОЦЕДУРИ ЗА ПРЕДОСТАВЯНЕ НА БЕЗВЪЗМЕЗДНА ФИНАНСОВА ПОМОЩ</w:t>
          </w: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iCs/>
              <w:sz w:val="20"/>
              <w:szCs w:val="20"/>
              <w:lang w:val="bg-BG"/>
            </w:rPr>
          </w:pP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iCs/>
              <w:sz w:val="20"/>
              <w:szCs w:val="20"/>
              <w:lang w:val="bg-BG"/>
            </w:rPr>
          </w:pPr>
        </w:p>
        <w:p w:rsidR="00F95F33" w:rsidRPr="00F609C8" w:rsidRDefault="00F95F33" w:rsidP="00F609C8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b/>
              <w:iCs/>
              <w:sz w:val="20"/>
              <w:szCs w:val="20"/>
              <w:lang w:val="bg-BG"/>
            </w:rPr>
            <w:t xml:space="preserve">Образец на Списък на проектните предложения, </w:t>
          </w:r>
          <w:r w:rsidR="00F609C8">
            <w:rPr>
              <w:b/>
              <w:iCs/>
              <w:sz w:val="20"/>
              <w:szCs w:val="20"/>
              <w:lang w:val="bg-BG"/>
            </w:rPr>
            <w:t xml:space="preserve"> които не се допускат до техническа и финансова оценка</w:t>
          </w:r>
        </w:p>
      </w:tc>
      <w:tc>
        <w:tcPr>
          <w:tcW w:w="2520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b/>
              <w:sz w:val="20"/>
              <w:szCs w:val="20"/>
              <w:lang w:val="bg-BG"/>
            </w:rPr>
            <w:t xml:space="preserve">страница: 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begin"/>
          </w:r>
          <w:r w:rsidRPr="00144A1F">
            <w:rPr>
              <w:rStyle w:val="PageNumber"/>
              <w:sz w:val="20"/>
              <w:szCs w:val="20"/>
              <w:lang w:val="bg-BG"/>
            </w:rPr>
            <w:instrText xml:space="preserve"> PAGE </w:instrTex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separate"/>
          </w:r>
          <w:r w:rsidR="005D0E0D">
            <w:rPr>
              <w:rStyle w:val="PageNumber"/>
              <w:noProof/>
              <w:sz w:val="20"/>
              <w:szCs w:val="20"/>
              <w:lang w:val="bg-BG"/>
            </w:rPr>
            <w:t>8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end"/>
          </w:r>
          <w:r w:rsidRPr="00144A1F">
            <w:rPr>
              <w:rStyle w:val="PageNumber"/>
              <w:sz w:val="20"/>
              <w:szCs w:val="20"/>
              <w:lang w:val="bg-BG"/>
            </w:rPr>
            <w:t>/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begin"/>
          </w:r>
          <w:r w:rsidRPr="00144A1F">
            <w:rPr>
              <w:rStyle w:val="PageNumber"/>
              <w:sz w:val="20"/>
              <w:szCs w:val="20"/>
              <w:lang w:val="bg-BG"/>
            </w:rPr>
            <w:instrText xml:space="preserve"> NUMPAGES </w:instrTex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separate"/>
          </w:r>
          <w:r w:rsidR="005D0E0D">
            <w:rPr>
              <w:rStyle w:val="PageNumber"/>
              <w:noProof/>
              <w:sz w:val="20"/>
              <w:szCs w:val="20"/>
              <w:lang w:val="bg-BG"/>
            </w:rPr>
            <w:t>19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end"/>
          </w:r>
        </w:p>
      </w:tc>
    </w:tr>
    <w:tr w:rsidR="00F95F33" w:rsidRPr="00144A1F" w:rsidTr="00EC01F6">
      <w:trPr>
        <w:trHeight w:val="703"/>
      </w:trPr>
      <w:tc>
        <w:tcPr>
          <w:tcW w:w="5574" w:type="dxa"/>
          <w:vMerge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6583" w:type="dxa"/>
          <w:gridSpan w:val="2"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Одобрен от: Ръководител на Управляващия орган</w:t>
          </w:r>
        </w:p>
      </w:tc>
      <w:tc>
        <w:tcPr>
          <w:tcW w:w="2520" w:type="dxa"/>
          <w:tcBorders>
            <w:left w:val="single" w:sz="1" w:space="0" w:color="000000"/>
            <w:bottom w:val="single" w:sz="4" w:space="0" w:color="auto"/>
            <w:right w:val="single" w:sz="1" w:space="0" w:color="000000"/>
          </w:tcBorders>
          <w:vAlign w:val="center"/>
        </w:tcPr>
        <w:p w:rsidR="00144A1F" w:rsidRPr="00144A1F" w:rsidRDefault="00144A1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Дата:</w:t>
          </w:r>
        </w:p>
        <w:p w:rsidR="00F95F33" w:rsidRPr="00144A1F" w:rsidRDefault="00161E80" w:rsidP="00A6323E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декември</w:t>
          </w:r>
          <w:r w:rsidRPr="00B776C7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3C6C1D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202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3</w:t>
          </w:r>
        </w:p>
      </w:tc>
    </w:tr>
    <w:tr w:rsidR="00D4220F" w:rsidRPr="00144A1F" w:rsidTr="00EC01F6">
      <w:trPr>
        <w:trHeight w:val="703"/>
      </w:trPr>
      <w:tc>
        <w:tcPr>
          <w:tcW w:w="5574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D4220F" w:rsidRPr="00144A1F" w:rsidRDefault="00D4220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6583" w:type="dxa"/>
          <w:gridSpan w:val="2"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vAlign w:val="center"/>
        </w:tcPr>
        <w:p w:rsidR="00D4220F" w:rsidRPr="00144A1F" w:rsidRDefault="00D4220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20F" w:rsidRPr="00D4220F" w:rsidRDefault="00D4220F" w:rsidP="00D4220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D4220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Версия:</w:t>
          </w:r>
        </w:p>
        <w:p w:rsidR="00D4220F" w:rsidRPr="00144A1F" w:rsidRDefault="00161E80" w:rsidP="00D4220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декември</w:t>
          </w:r>
          <w:r w:rsidRPr="00B776C7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2023</w:t>
          </w:r>
        </w:p>
      </w:tc>
    </w:tr>
  </w:tbl>
  <w:p w:rsidR="003F4A60" w:rsidRDefault="003F4A60" w:rsidP="00561E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61B8"/>
    <w:multiLevelType w:val="hybridMultilevel"/>
    <w:tmpl w:val="5BF09222"/>
    <w:lvl w:ilvl="0" w:tplc="C1BAA71C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65321FF"/>
    <w:multiLevelType w:val="hybridMultilevel"/>
    <w:tmpl w:val="BB5A23A6"/>
    <w:lvl w:ilvl="0" w:tplc="F60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F1"/>
    <w:rsid w:val="00002EA4"/>
    <w:rsid w:val="00011405"/>
    <w:rsid w:val="000129B7"/>
    <w:rsid w:val="00025790"/>
    <w:rsid w:val="000608C3"/>
    <w:rsid w:val="00091A0B"/>
    <w:rsid w:val="00093853"/>
    <w:rsid w:val="000955C9"/>
    <w:rsid w:val="000A0E94"/>
    <w:rsid w:val="000D0065"/>
    <w:rsid w:val="000E5E0B"/>
    <w:rsid w:val="000F193A"/>
    <w:rsid w:val="000F2441"/>
    <w:rsid w:val="001047BE"/>
    <w:rsid w:val="00111412"/>
    <w:rsid w:val="001245DD"/>
    <w:rsid w:val="00126EC9"/>
    <w:rsid w:val="00144A1F"/>
    <w:rsid w:val="00157D06"/>
    <w:rsid w:val="00161E80"/>
    <w:rsid w:val="00173702"/>
    <w:rsid w:val="00193A7A"/>
    <w:rsid w:val="001C0B6A"/>
    <w:rsid w:val="001C3BE2"/>
    <w:rsid w:val="001D7924"/>
    <w:rsid w:val="001F0DA3"/>
    <w:rsid w:val="0020597F"/>
    <w:rsid w:val="00221BA7"/>
    <w:rsid w:val="00252824"/>
    <w:rsid w:val="00267933"/>
    <w:rsid w:val="00273151"/>
    <w:rsid w:val="0028464A"/>
    <w:rsid w:val="0029326B"/>
    <w:rsid w:val="002A3E93"/>
    <w:rsid w:val="002B7F20"/>
    <w:rsid w:val="002D157D"/>
    <w:rsid w:val="002E2FD1"/>
    <w:rsid w:val="002E4382"/>
    <w:rsid w:val="002F75E1"/>
    <w:rsid w:val="00311A88"/>
    <w:rsid w:val="003213FB"/>
    <w:rsid w:val="00331586"/>
    <w:rsid w:val="00335DE0"/>
    <w:rsid w:val="00347D47"/>
    <w:rsid w:val="00364692"/>
    <w:rsid w:val="00376A60"/>
    <w:rsid w:val="003941DC"/>
    <w:rsid w:val="003B5A55"/>
    <w:rsid w:val="003B5F2E"/>
    <w:rsid w:val="003C6C1D"/>
    <w:rsid w:val="003E0D49"/>
    <w:rsid w:val="003E2D2E"/>
    <w:rsid w:val="003F15B5"/>
    <w:rsid w:val="003F4A60"/>
    <w:rsid w:val="003F7B45"/>
    <w:rsid w:val="00411D7A"/>
    <w:rsid w:val="004322ED"/>
    <w:rsid w:val="00444D18"/>
    <w:rsid w:val="004833D2"/>
    <w:rsid w:val="004953B3"/>
    <w:rsid w:val="004A41E4"/>
    <w:rsid w:val="004A7303"/>
    <w:rsid w:val="004C574A"/>
    <w:rsid w:val="004C5EE7"/>
    <w:rsid w:val="004E121F"/>
    <w:rsid w:val="004E4CA9"/>
    <w:rsid w:val="004F42DA"/>
    <w:rsid w:val="004F5C87"/>
    <w:rsid w:val="00500BB6"/>
    <w:rsid w:val="005253D1"/>
    <w:rsid w:val="00545706"/>
    <w:rsid w:val="00561E4F"/>
    <w:rsid w:val="00564B30"/>
    <w:rsid w:val="00576B0C"/>
    <w:rsid w:val="005771D1"/>
    <w:rsid w:val="00586F61"/>
    <w:rsid w:val="005912C0"/>
    <w:rsid w:val="00592769"/>
    <w:rsid w:val="005A17D3"/>
    <w:rsid w:val="005A6A46"/>
    <w:rsid w:val="005C6F96"/>
    <w:rsid w:val="005D0C34"/>
    <w:rsid w:val="005D0E0D"/>
    <w:rsid w:val="005D29B2"/>
    <w:rsid w:val="005D311A"/>
    <w:rsid w:val="005D6211"/>
    <w:rsid w:val="005D7EDC"/>
    <w:rsid w:val="005E52BD"/>
    <w:rsid w:val="005F44E0"/>
    <w:rsid w:val="00614F78"/>
    <w:rsid w:val="006439D5"/>
    <w:rsid w:val="0068349E"/>
    <w:rsid w:val="00685D9D"/>
    <w:rsid w:val="006B2ABC"/>
    <w:rsid w:val="006C23EE"/>
    <w:rsid w:val="00704F48"/>
    <w:rsid w:val="0071717D"/>
    <w:rsid w:val="007315F2"/>
    <w:rsid w:val="00775769"/>
    <w:rsid w:val="007A1130"/>
    <w:rsid w:val="007A1946"/>
    <w:rsid w:val="00800E66"/>
    <w:rsid w:val="008445E2"/>
    <w:rsid w:val="00845433"/>
    <w:rsid w:val="00861D8E"/>
    <w:rsid w:val="00877A5F"/>
    <w:rsid w:val="00886106"/>
    <w:rsid w:val="0088738B"/>
    <w:rsid w:val="008971D0"/>
    <w:rsid w:val="008B15BD"/>
    <w:rsid w:val="008D0692"/>
    <w:rsid w:val="008E150A"/>
    <w:rsid w:val="008E1661"/>
    <w:rsid w:val="0090223F"/>
    <w:rsid w:val="009054CD"/>
    <w:rsid w:val="00932C29"/>
    <w:rsid w:val="0095005A"/>
    <w:rsid w:val="00954F89"/>
    <w:rsid w:val="00960B4D"/>
    <w:rsid w:val="00963DF6"/>
    <w:rsid w:val="00966ABA"/>
    <w:rsid w:val="00970769"/>
    <w:rsid w:val="00980B41"/>
    <w:rsid w:val="00982377"/>
    <w:rsid w:val="00992D76"/>
    <w:rsid w:val="009A06E8"/>
    <w:rsid w:val="009A530C"/>
    <w:rsid w:val="009B26E1"/>
    <w:rsid w:val="009B334E"/>
    <w:rsid w:val="009D3DB2"/>
    <w:rsid w:val="009D5B0E"/>
    <w:rsid w:val="009D7E36"/>
    <w:rsid w:val="009E4C13"/>
    <w:rsid w:val="00A15B65"/>
    <w:rsid w:val="00A25AE5"/>
    <w:rsid w:val="00A33334"/>
    <w:rsid w:val="00A339F3"/>
    <w:rsid w:val="00A40AC5"/>
    <w:rsid w:val="00A44549"/>
    <w:rsid w:val="00A46D7C"/>
    <w:rsid w:val="00A6323E"/>
    <w:rsid w:val="00A70381"/>
    <w:rsid w:val="00A70F60"/>
    <w:rsid w:val="00A80ED9"/>
    <w:rsid w:val="00A940B8"/>
    <w:rsid w:val="00AA0DE1"/>
    <w:rsid w:val="00AC2ACC"/>
    <w:rsid w:val="00AC460E"/>
    <w:rsid w:val="00B03339"/>
    <w:rsid w:val="00B208BE"/>
    <w:rsid w:val="00B2525B"/>
    <w:rsid w:val="00B31E34"/>
    <w:rsid w:val="00B40CB7"/>
    <w:rsid w:val="00B43EF2"/>
    <w:rsid w:val="00B45BDD"/>
    <w:rsid w:val="00B46079"/>
    <w:rsid w:val="00B5142E"/>
    <w:rsid w:val="00B75C6C"/>
    <w:rsid w:val="00B76357"/>
    <w:rsid w:val="00B776C7"/>
    <w:rsid w:val="00BA59EC"/>
    <w:rsid w:val="00BB2C87"/>
    <w:rsid w:val="00BB5A62"/>
    <w:rsid w:val="00BD146C"/>
    <w:rsid w:val="00BE019F"/>
    <w:rsid w:val="00BE3CC1"/>
    <w:rsid w:val="00C21491"/>
    <w:rsid w:val="00C438E3"/>
    <w:rsid w:val="00C565C8"/>
    <w:rsid w:val="00C62898"/>
    <w:rsid w:val="00C674EA"/>
    <w:rsid w:val="00C740F1"/>
    <w:rsid w:val="00C812F0"/>
    <w:rsid w:val="00C86FBC"/>
    <w:rsid w:val="00CC762D"/>
    <w:rsid w:val="00CD5FF4"/>
    <w:rsid w:val="00CF2872"/>
    <w:rsid w:val="00CF7E34"/>
    <w:rsid w:val="00D05EB4"/>
    <w:rsid w:val="00D1516E"/>
    <w:rsid w:val="00D215E9"/>
    <w:rsid w:val="00D34D64"/>
    <w:rsid w:val="00D4220F"/>
    <w:rsid w:val="00D51D24"/>
    <w:rsid w:val="00D73123"/>
    <w:rsid w:val="00D874BF"/>
    <w:rsid w:val="00DA1A24"/>
    <w:rsid w:val="00DE0996"/>
    <w:rsid w:val="00E071FD"/>
    <w:rsid w:val="00E639FE"/>
    <w:rsid w:val="00E730D3"/>
    <w:rsid w:val="00E7591F"/>
    <w:rsid w:val="00E76FC7"/>
    <w:rsid w:val="00E8791C"/>
    <w:rsid w:val="00E97664"/>
    <w:rsid w:val="00EA04AD"/>
    <w:rsid w:val="00EA416D"/>
    <w:rsid w:val="00EB135C"/>
    <w:rsid w:val="00EB286A"/>
    <w:rsid w:val="00EC01F6"/>
    <w:rsid w:val="00EC46AC"/>
    <w:rsid w:val="00EF0EE5"/>
    <w:rsid w:val="00EF6116"/>
    <w:rsid w:val="00F03EDF"/>
    <w:rsid w:val="00F1198E"/>
    <w:rsid w:val="00F2568A"/>
    <w:rsid w:val="00F55D58"/>
    <w:rsid w:val="00F609C8"/>
    <w:rsid w:val="00F62177"/>
    <w:rsid w:val="00F824A8"/>
    <w:rsid w:val="00F95F33"/>
    <w:rsid w:val="00FA66FF"/>
    <w:rsid w:val="00FA70DD"/>
    <w:rsid w:val="00FB10E4"/>
    <w:rsid w:val="00FC20F7"/>
    <w:rsid w:val="00FD3D91"/>
    <w:rsid w:val="00FD746D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97B5B3"/>
  <w15:docId w15:val="{A46E2D2F-4AB1-4B33-9EFE-8FBC9DF8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4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5A6A46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TableContents">
    <w:name w:val="Table Contents"/>
    <w:basedOn w:val="BodyText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customStyle="1" w:styleId="Index">
    <w:name w:val="Index"/>
    <w:basedOn w:val="Normal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styleId="BodyText">
    <w:name w:val="Body Text"/>
    <w:basedOn w:val="Normal"/>
    <w:rsid w:val="005A6A46"/>
    <w:pPr>
      <w:spacing w:after="120"/>
    </w:pPr>
  </w:style>
  <w:style w:type="paragraph" w:styleId="BalloonText">
    <w:name w:val="Balloon Text"/>
    <w:basedOn w:val="Normal"/>
    <w:semiHidden/>
    <w:rsid w:val="00A94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C574A"/>
    <w:rPr>
      <w:sz w:val="16"/>
      <w:szCs w:val="16"/>
    </w:rPr>
  </w:style>
  <w:style w:type="paragraph" w:styleId="CommentText">
    <w:name w:val="annotation text"/>
    <w:basedOn w:val="Normal"/>
    <w:semiHidden/>
    <w:rsid w:val="004C5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574A"/>
    <w:rPr>
      <w:b/>
      <w:bCs/>
    </w:rPr>
  </w:style>
  <w:style w:type="paragraph" w:styleId="Header">
    <w:name w:val="header"/>
    <w:basedOn w:val="Normal"/>
    <w:rsid w:val="00561E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61E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E4F"/>
  </w:style>
  <w:style w:type="paragraph" w:customStyle="1" w:styleId="Char">
    <w:name w:val="Char"/>
    <w:basedOn w:val="Normal"/>
    <w:rsid w:val="00561E4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5A6A-0ADB-42C4-BE47-15B9AAFE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Silviya Sotirova</cp:lastModifiedBy>
  <cp:revision>38</cp:revision>
  <cp:lastPrinted>2016-12-14T14:51:00Z</cp:lastPrinted>
  <dcterms:created xsi:type="dcterms:W3CDTF">2021-09-29T14:13:00Z</dcterms:created>
  <dcterms:modified xsi:type="dcterms:W3CDTF">2024-05-28T14:10:00Z</dcterms:modified>
</cp:coreProperties>
</file>