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EE" w:rsidRPr="009B283C" w:rsidRDefault="008A6D2A" w:rsidP="008A6D2A">
      <w:pPr>
        <w:jc w:val="right"/>
        <w:rPr>
          <w:rFonts w:ascii="Arial" w:hAnsi="Arial" w:cs="Arial"/>
        </w:rPr>
      </w:pPr>
      <w:r w:rsidRPr="009B283C">
        <w:rPr>
          <w:rFonts w:ascii="Arial" w:hAnsi="Arial" w:cs="Arial"/>
        </w:rPr>
        <w:t>Приложение № 4</w:t>
      </w:r>
    </w:p>
    <w:p w:rsidR="008A6D2A" w:rsidRPr="009B283C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</w:p>
    <w:p w:rsidR="008A6D2A" w:rsidRPr="009B283C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  <w:r w:rsidRPr="009B283C">
        <w:rPr>
          <w:rFonts w:ascii="Arial" w:hAnsi="Arial" w:cs="Arial"/>
          <w:b/>
          <w:sz w:val="28"/>
          <w:szCs w:val="28"/>
        </w:rPr>
        <w:t>Критерии и методология</w:t>
      </w:r>
    </w:p>
    <w:p w:rsidR="00F57572" w:rsidRPr="009B283C" w:rsidRDefault="008A6D2A" w:rsidP="008A6D2A">
      <w:pPr>
        <w:jc w:val="center"/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>за оценка на проектни предложени</w:t>
      </w:r>
      <w:r w:rsidR="00F57572" w:rsidRPr="009B283C">
        <w:rPr>
          <w:rFonts w:ascii="Arial" w:hAnsi="Arial" w:cs="Arial"/>
          <w:b/>
        </w:rPr>
        <w:t>я</w:t>
      </w:r>
    </w:p>
    <w:p w:rsidR="008A6D2A" w:rsidRPr="009B283C" w:rsidRDefault="008A6D2A" w:rsidP="008A6D2A">
      <w:pPr>
        <w:jc w:val="center"/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>по процедура за подбор на проекти BG14MFPR001-2.002 „Продуктивни инвестиции и иновации в аквакултурите“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  <w:b/>
        </w:rPr>
        <w:t>Приоритет 2</w:t>
      </w:r>
      <w:r w:rsidRPr="009B283C">
        <w:rPr>
          <w:rFonts w:ascii="Arial" w:hAnsi="Arial" w:cs="Arial"/>
        </w:rPr>
        <w:t xml:space="preserve"> „Насърчаване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Съюза“.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  <w:b/>
        </w:rPr>
        <w:t>Специфична цел: 2.1.</w:t>
      </w:r>
      <w:r w:rsidRPr="009B283C">
        <w:rPr>
          <w:rFonts w:ascii="Arial" w:hAnsi="Arial" w:cs="Arial"/>
        </w:rPr>
        <w:t xml:space="preserve"> „Насърчаване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план“.</w:t>
      </w:r>
    </w:p>
    <w:p w:rsidR="00ED3584" w:rsidRPr="009B283C" w:rsidRDefault="00ED3584">
      <w:pPr>
        <w:rPr>
          <w:rFonts w:ascii="Arial" w:hAnsi="Arial" w:cs="Arial"/>
          <w:b/>
        </w:rPr>
      </w:pPr>
    </w:p>
    <w:p w:rsidR="008A6D2A" w:rsidRPr="009B283C" w:rsidRDefault="008A6D2A">
      <w:pPr>
        <w:rPr>
          <w:rFonts w:ascii="Arial" w:hAnsi="Arial" w:cs="Arial"/>
          <w:b/>
          <w:u w:val="single"/>
        </w:rPr>
      </w:pPr>
      <w:r w:rsidRPr="009B283C">
        <w:rPr>
          <w:rFonts w:ascii="Arial" w:hAnsi="Arial" w:cs="Arial"/>
          <w:b/>
          <w:u w:val="single"/>
        </w:rPr>
        <w:t>I. Методология за оценка на проектни предложения: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Оценяват се само проектни предложения, получени чрез системата ИСУН.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9B283C">
        <w:rPr>
          <w:rFonts w:ascii="Arial" w:hAnsi="Arial" w:cs="Arial"/>
        </w:rPr>
        <w:t>(</w:t>
      </w:r>
      <w:r w:rsidRPr="009B283C">
        <w:rPr>
          <w:rFonts w:ascii="Arial" w:hAnsi="Arial" w:cs="Arial"/>
        </w:rPr>
        <w:t>УО</w:t>
      </w:r>
      <w:r w:rsidR="00F57572" w:rsidRPr="009B283C">
        <w:rPr>
          <w:rFonts w:ascii="Arial" w:hAnsi="Arial" w:cs="Arial"/>
        </w:rPr>
        <w:t>)</w:t>
      </w:r>
      <w:r w:rsidRPr="009B283C">
        <w:rPr>
          <w:rFonts w:ascii="Arial" w:hAnsi="Arial" w:cs="Arial"/>
        </w:rPr>
        <w:t xml:space="preserve"> на </w:t>
      </w:r>
      <w:r w:rsidR="00F57572" w:rsidRPr="009B283C">
        <w:rPr>
          <w:rFonts w:ascii="Arial" w:hAnsi="Arial" w:cs="Arial"/>
        </w:rPr>
        <w:t>Програма за морско дело, рибарство и аквакултури (</w:t>
      </w:r>
      <w:r w:rsidRPr="009B283C">
        <w:rPr>
          <w:rFonts w:ascii="Arial" w:hAnsi="Arial" w:cs="Arial"/>
        </w:rPr>
        <w:t>ПМДРА</w:t>
      </w:r>
      <w:r w:rsidR="00F57572" w:rsidRPr="009B283C">
        <w:rPr>
          <w:rFonts w:ascii="Arial" w:hAnsi="Arial" w:cs="Arial"/>
        </w:rPr>
        <w:t>).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Методологията и критериите не подлежат на изменение по време на провеждането на оценката.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Оценката включва: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1. Административно съответствие и допустимост;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2. Техническа и финансова оценка.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В случай на установена в процеса на оценка липса на документи и/или други нередовности, на проектното предложение, УО на ПМДРА уведомява </w:t>
      </w:r>
      <w:r w:rsidR="00F57572" w:rsidRPr="009B283C">
        <w:rPr>
          <w:rFonts w:ascii="Arial" w:hAnsi="Arial" w:cs="Arial"/>
        </w:rPr>
        <w:t xml:space="preserve">кандидата </w:t>
      </w:r>
      <w:r w:rsidRPr="009B283C">
        <w:rPr>
          <w:rFonts w:ascii="Arial" w:hAnsi="Arial" w:cs="Arial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По време на оценката на проектното предложение, комуникацията с кандидата и </w:t>
      </w:r>
      <w:r w:rsidR="00F57572" w:rsidRPr="009B283C">
        <w:rPr>
          <w:rFonts w:ascii="Arial" w:hAnsi="Arial" w:cs="Arial"/>
        </w:rPr>
        <w:t xml:space="preserve">отстраняването </w:t>
      </w:r>
      <w:r w:rsidRPr="009B283C">
        <w:rPr>
          <w:rFonts w:ascii="Arial" w:hAnsi="Arial" w:cs="Arial"/>
        </w:rPr>
        <w:t xml:space="preserve">на установени </w:t>
      </w:r>
      <w:r w:rsidR="00F57572" w:rsidRPr="009B283C">
        <w:rPr>
          <w:rFonts w:ascii="Arial" w:hAnsi="Arial" w:cs="Arial"/>
        </w:rPr>
        <w:t xml:space="preserve">нередовности </w:t>
      </w:r>
      <w:r w:rsidRPr="009B283C">
        <w:rPr>
          <w:rFonts w:ascii="Arial" w:hAnsi="Arial" w:cs="Arial"/>
        </w:rPr>
        <w:t xml:space="preserve">по подаденото проектно предложение, ще се </w:t>
      </w:r>
      <w:r w:rsidRPr="009B283C">
        <w:rPr>
          <w:rFonts w:ascii="Arial" w:hAnsi="Arial" w:cs="Arial"/>
        </w:rPr>
        <w:lastRenderedPageBreak/>
        <w:t xml:space="preserve">извършват електронно чрез профила на кандидата в ИСУН, от който е подаден съответният проект.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Въз основа на резултатите от оценката, комисията изготвя оценителен доклад съгласно чл. 35 от ЗУСЕФСУ.</w:t>
      </w:r>
    </w:p>
    <w:p w:rsidR="008A6D2A" w:rsidRPr="009B283C" w:rsidRDefault="008A6D2A" w:rsidP="008A6D2A">
      <w:pPr>
        <w:jc w:val="both"/>
        <w:rPr>
          <w:rFonts w:ascii="Arial" w:hAnsi="Arial" w:cs="Arial"/>
          <w:b/>
          <w:u w:val="single"/>
        </w:rPr>
      </w:pPr>
      <w:r w:rsidRPr="009B283C">
        <w:rPr>
          <w:rFonts w:ascii="Arial" w:hAnsi="Arial" w:cs="Arial"/>
          <w:b/>
          <w:u w:val="single"/>
        </w:rPr>
        <w:t>II. Критерии за оценка.</w:t>
      </w:r>
    </w:p>
    <w:p w:rsidR="008A6D2A" w:rsidRPr="009B283C" w:rsidRDefault="008A6D2A" w:rsidP="008A6D2A">
      <w:pPr>
        <w:jc w:val="both"/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9B283C" w:rsidTr="00F51C5C">
        <w:tc>
          <w:tcPr>
            <w:tcW w:w="7225" w:type="dxa"/>
            <w:gridSpan w:val="2"/>
          </w:tcPr>
          <w:p w:rsidR="00616BF8" w:rsidRPr="009B283C" w:rsidRDefault="00616BF8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16BF8" w:rsidRPr="009B283C" w:rsidRDefault="00616BF8" w:rsidP="008A10B9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ДА / НЕ / НЕПР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Проектното предложение е подадено по реда, определен от УО </w:t>
            </w:r>
            <w:r w:rsidR="00F57572" w:rsidRPr="009B283C">
              <w:rPr>
                <w:rFonts w:ascii="Arial" w:hAnsi="Arial" w:cs="Arial"/>
              </w:rPr>
              <w:t xml:space="preserve">на ПМДРА </w:t>
            </w:r>
            <w:r w:rsidRPr="009B283C">
              <w:rPr>
                <w:rFonts w:ascii="Arial" w:hAnsi="Arial" w:cs="Arial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Бизнес планът е попълнен в лева и е използван зададеният образец съгласно Условия за кандидатстване по настоящата процедура.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3.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4.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5.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6.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7.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8.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9.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Проектното предложение допринася за постигане на  специфичните цели по приоритета на Съюза, предвидени в член 26, параграф 1,буква а на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10.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11.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 </w:t>
            </w:r>
            <w:r w:rsidR="00616BF8" w:rsidRPr="009B283C">
              <w:rPr>
                <w:rFonts w:ascii="Arial" w:hAnsi="Arial" w:cs="Arial"/>
                <w:color w:val="000000"/>
                <w:lang w:val="ru-RU"/>
              </w:rPr>
              <w:t xml:space="preserve">   не  </w:t>
            </w: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     непр</w:t>
            </w:r>
            <w:r w:rsidR="00616BF8" w:rsidRPr="009B283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12.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13.</w:t>
            </w:r>
          </w:p>
        </w:tc>
        <w:tc>
          <w:tcPr>
            <w:tcW w:w="6521" w:type="dxa"/>
          </w:tcPr>
          <w:p w:rsidR="008A10B9" w:rsidRPr="009B283C" w:rsidRDefault="008B46D5" w:rsidP="008B46D5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Представен е технологичен проект разработен в съответствие с изискванията на</w:t>
            </w:r>
            <w:r w:rsidR="008A10B9" w:rsidRPr="009B283C">
              <w:rPr>
                <w:rFonts w:ascii="Arial" w:hAnsi="Arial" w:cs="Arial"/>
              </w:rPr>
              <w:t xml:space="preserve"> Ръководство на Управляващият орган на Програма за морско дело, рибарство и аквакултури 2021-2027 за изискванията към технологичния проект при инвестиции в обекти за аквакултури, обосноваващи дейностите и разходите, за които се кандидатства в проектното предложение (Приложение №</w:t>
            </w:r>
            <w:r w:rsidRPr="009B283C">
              <w:rPr>
                <w:rFonts w:ascii="Arial" w:hAnsi="Arial" w:cs="Arial"/>
              </w:rPr>
              <w:t xml:space="preserve"> </w:t>
            </w:r>
            <w:r w:rsidR="008A10B9" w:rsidRPr="009B283C">
              <w:rPr>
                <w:rFonts w:ascii="Arial" w:hAnsi="Arial" w:cs="Arial"/>
              </w:rPr>
              <w:t>22 към Условията за кандидатстване)</w:t>
            </w:r>
            <w:r w:rsidR="006F014E" w:rsidRPr="009B283C">
              <w:rPr>
                <w:rFonts w:ascii="Arial" w:hAnsi="Arial" w:cs="Arial"/>
              </w:rPr>
              <w:t xml:space="preserve"> </w:t>
            </w:r>
            <w:r w:rsidR="006F014E" w:rsidRPr="009B283C">
              <w:rPr>
                <w:rFonts w:ascii="Arial" w:hAnsi="Arial" w:cs="Arial"/>
              </w:rPr>
              <w:lastRenderedPageBreak/>
              <w:t>съгласно представеното Експертното заключение за технологичния проект</w:t>
            </w:r>
            <w:r w:rsidR="008A10B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 да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lastRenderedPageBreak/>
              <w:t>14.</w:t>
            </w:r>
          </w:p>
        </w:tc>
        <w:tc>
          <w:tcPr>
            <w:tcW w:w="6521" w:type="dxa"/>
          </w:tcPr>
          <w:p w:rsidR="008A10B9" w:rsidRPr="009B283C" w:rsidRDefault="008B46D5" w:rsidP="0029331C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Технологичният проект е</w:t>
            </w:r>
            <w:r w:rsidR="008A10B9" w:rsidRPr="009B283C">
              <w:rPr>
                <w:rFonts w:ascii="Arial" w:hAnsi="Arial" w:cs="Arial"/>
              </w:rPr>
              <w:t xml:space="preserve"> изготвен и</w:t>
            </w:r>
            <w:r w:rsidR="0073157A" w:rsidRPr="009B283C">
              <w:rPr>
                <w:rFonts w:ascii="Arial" w:hAnsi="Arial" w:cs="Arial"/>
              </w:rPr>
              <w:t>/или</w:t>
            </w:r>
            <w:r w:rsidR="008A10B9" w:rsidRPr="009B283C">
              <w:rPr>
                <w:rFonts w:ascii="Arial" w:hAnsi="Arial" w:cs="Arial"/>
              </w:rPr>
              <w:t xml:space="preserve"> подписан от специалист с образование, </w:t>
            </w:r>
            <w:r w:rsidRPr="009B283C">
              <w:rPr>
                <w:rFonts w:ascii="Arial" w:hAnsi="Arial" w:cs="Arial"/>
              </w:rPr>
              <w:t xml:space="preserve">съгласно изискванията на </w:t>
            </w:r>
            <w:r w:rsidR="0029331C" w:rsidRPr="009B283C">
              <w:rPr>
                <w:rFonts w:ascii="Arial" w:hAnsi="Arial" w:cs="Arial"/>
              </w:rPr>
              <w:t xml:space="preserve">Условията за кандидатстване по настоящата процедура и </w:t>
            </w:r>
            <w:r w:rsidR="00FD34A1" w:rsidRPr="009B283C">
              <w:rPr>
                <w:rFonts w:ascii="Arial" w:hAnsi="Arial" w:cs="Arial"/>
              </w:rPr>
              <w:t xml:space="preserve">Приложение № 22 към </w:t>
            </w:r>
            <w:r w:rsidR="0029331C" w:rsidRPr="009B283C">
              <w:rPr>
                <w:rFonts w:ascii="Arial" w:hAnsi="Arial" w:cs="Arial"/>
              </w:rPr>
              <w:t>тях</w:t>
            </w:r>
            <w:r w:rsidR="006F014E" w:rsidRPr="009B283C">
              <w:rPr>
                <w:rFonts w:ascii="Arial" w:hAnsi="Arial" w:cs="Arial"/>
              </w:rPr>
              <w:t xml:space="preserve"> съгласно представеното Експертното заключение за технологичния проект</w:t>
            </w:r>
            <w:r w:rsidR="0029331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15.</w:t>
            </w:r>
          </w:p>
        </w:tc>
        <w:tc>
          <w:tcPr>
            <w:tcW w:w="6521" w:type="dxa"/>
          </w:tcPr>
          <w:p w:rsidR="007944C3" w:rsidRPr="009B283C" w:rsidRDefault="00C731DC" w:rsidP="00447DEC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Експертно</w:t>
            </w:r>
            <w:r w:rsidR="000068E1" w:rsidRPr="009B283C">
              <w:rPr>
                <w:rFonts w:ascii="Arial" w:hAnsi="Arial" w:cs="Arial"/>
              </w:rPr>
              <w:t>то</w:t>
            </w:r>
            <w:r w:rsidRPr="009B283C">
              <w:rPr>
                <w:rFonts w:ascii="Arial" w:hAnsi="Arial" w:cs="Arial"/>
              </w:rPr>
              <w:t xml:space="preserve"> заключение за технологичния проект</w:t>
            </w:r>
            <w:r w:rsidR="000068E1" w:rsidRPr="009B283C">
              <w:rPr>
                <w:rFonts w:ascii="Arial" w:hAnsi="Arial" w:cs="Arial"/>
              </w:rPr>
              <w:t xml:space="preserve"> гласи, че същият съответства на всички изисквания в Приложение № 22 към Условията за кандидатстване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  <w:p w:rsidR="007944C3" w:rsidRPr="009B283C" w:rsidRDefault="007944C3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  <w:p w:rsidR="007944C3" w:rsidRPr="009B283C" w:rsidRDefault="005E207D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16.</w:t>
            </w:r>
          </w:p>
        </w:tc>
        <w:tc>
          <w:tcPr>
            <w:tcW w:w="6521" w:type="dxa"/>
          </w:tcPr>
          <w:p w:rsidR="008A10B9" w:rsidRPr="009B283C" w:rsidRDefault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9B283C">
              <w:rPr>
                <w:rFonts w:ascii="Arial" w:hAnsi="Arial" w:cs="Arial"/>
              </w:rPr>
              <w:t xml:space="preserve">кандидата </w:t>
            </w:r>
            <w:r w:rsidRPr="009B283C">
              <w:rPr>
                <w:rFonts w:ascii="Arial" w:hAnsi="Arial" w:cs="Arial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 w:rsidRPr="009B283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17.</w:t>
            </w:r>
          </w:p>
        </w:tc>
        <w:tc>
          <w:tcPr>
            <w:tcW w:w="6521" w:type="dxa"/>
          </w:tcPr>
          <w:p w:rsidR="008A10B9" w:rsidRPr="009B283C" w:rsidRDefault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Количеството произвеждана продукция, заложена в технологичния проект съответства на количеството произвеждана продукция, заложена в бизнес плана</w:t>
            </w:r>
            <w:r w:rsidR="00C719C2" w:rsidRPr="009B283C">
              <w:rPr>
                <w:rFonts w:ascii="Arial" w:hAnsi="Arial" w:cs="Arial"/>
              </w:rPr>
              <w:t xml:space="preserve"> и условията </w:t>
            </w:r>
            <w:r w:rsidR="00AA4DBC" w:rsidRPr="009B283C">
              <w:rPr>
                <w:rFonts w:ascii="Arial" w:hAnsi="Arial" w:cs="Arial"/>
              </w:rPr>
              <w:t xml:space="preserve">в обекта за аквакултури </w:t>
            </w:r>
            <w:r w:rsidR="00C719C2" w:rsidRPr="009B283C">
              <w:rPr>
                <w:rFonts w:ascii="Arial" w:hAnsi="Arial" w:cs="Arial"/>
              </w:rPr>
              <w:t xml:space="preserve">и производствения </w:t>
            </w:r>
            <w:r w:rsidR="00AA4DBC" w:rsidRPr="009B283C">
              <w:rPr>
                <w:rFonts w:ascii="Arial" w:hAnsi="Arial" w:cs="Arial"/>
              </w:rPr>
              <w:t xml:space="preserve">му </w:t>
            </w:r>
            <w:r w:rsidR="00C719C2" w:rsidRPr="009B283C">
              <w:rPr>
                <w:rFonts w:ascii="Arial" w:hAnsi="Arial" w:cs="Arial"/>
              </w:rPr>
              <w:t>капацитет го позволяват.</w:t>
            </w:r>
            <w:r w:rsidRPr="009B283C">
              <w:rPr>
                <w:rFonts w:ascii="Arial" w:hAnsi="Arial" w:cs="Arial"/>
              </w:rPr>
              <w:t xml:space="preserve"> </w:t>
            </w:r>
            <w:r w:rsidR="005E207D" w:rsidRPr="009B283C">
              <w:rPr>
                <w:rFonts w:ascii="Arial" w:hAnsi="Arial" w:cs="Arial"/>
              </w:rPr>
              <w:t>Налице е пряка връзка между технологичния проект и бизнес плана в проектното предложение, т.е. приходите от произведените количества аквакултури съответстват и произтичат от планираната за производство продукция.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18.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</w:t>
            </w:r>
            <w:r w:rsidR="006F014E" w:rsidRPr="009B283C">
              <w:rPr>
                <w:rFonts w:ascii="Arial" w:hAnsi="Arial" w:cs="Arial"/>
              </w:rPr>
              <w:t xml:space="preserve"> съгласно Приложение 2 от Ръководство на Управляващия орган на Програма за морско дело, рибарство и аквакултури 2021-2027 за изискванията към технологичния проект при инвестиции в обекти за аквакултури</w:t>
            </w:r>
            <w:r w:rsidRPr="009B283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 w:rsidRPr="009B283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19.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20.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Проектът е икономически жизнеспособен</w:t>
            </w:r>
            <w:r w:rsidR="00ED73CD" w:rsidRPr="009B283C">
              <w:rPr>
                <w:rFonts w:ascii="Arial" w:hAnsi="Arial" w:cs="Arial"/>
              </w:rPr>
              <w:t xml:space="preserve"> съгласно приложения бизнес-план</w:t>
            </w:r>
            <w:r w:rsidRPr="009B283C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  <w:r w:rsidR="00ED73CD" w:rsidRPr="009B283C">
              <w:rPr>
                <w:rFonts w:ascii="Arial" w:hAnsi="Arial" w:cs="Arial"/>
                <w:color w:val="000000"/>
                <w:lang w:val="ru-RU"/>
              </w:rPr>
              <w:t xml:space="preserve">      непр.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21.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Проектното предложение е в съответствие с политиката на 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22.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9B283C" w:rsidRDefault="00722348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722348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23</w:t>
            </w:r>
            <w:r w:rsidR="008A10B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722348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</w:t>
            </w:r>
            <w:r w:rsidRPr="009B283C">
              <w:rPr>
                <w:rFonts w:ascii="Arial" w:hAnsi="Arial" w:cs="Arial"/>
              </w:rPr>
              <w:lastRenderedPageBreak/>
              <w:t xml:space="preserve">на Съвета по отношение на обхвата на проекта, метода на изпълнение и кандидата. </w:t>
            </w:r>
          </w:p>
          <w:p w:rsidR="008A10B9" w:rsidRPr="009B283C" w:rsidRDefault="00722348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9B28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 да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</w:tc>
      </w:tr>
      <w:tr w:rsidR="00EA3EBC" w:rsidRPr="009B283C" w:rsidTr="00616BF8">
        <w:tc>
          <w:tcPr>
            <w:tcW w:w="704" w:type="dxa"/>
          </w:tcPr>
          <w:p w:rsidR="00EA3EBC" w:rsidRPr="009B283C" w:rsidRDefault="00722348" w:rsidP="0080203F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lastRenderedPageBreak/>
              <w:t>24</w:t>
            </w:r>
            <w:r w:rsidR="00EA3EB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9B283C" w:rsidRDefault="00EA3EBC" w:rsidP="0080203F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Дейностите, за които се кандидатства постигат целите на специфична цел </w:t>
            </w:r>
            <w:r w:rsidR="009F08DC" w:rsidRPr="009B283C">
              <w:rPr>
                <w:rFonts w:ascii="Arial" w:hAnsi="Arial" w:cs="Arial"/>
              </w:rPr>
              <w:t xml:space="preserve">2.1. </w:t>
            </w:r>
            <w:r w:rsidRPr="009B283C">
              <w:rPr>
                <w:rFonts w:ascii="Arial" w:hAnsi="Arial" w:cs="Arial"/>
              </w:rPr>
              <w:t>Насърчаване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9B283C" w:rsidRDefault="00EA3EBC" w:rsidP="0080203F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  не</w:t>
            </w:r>
          </w:p>
        </w:tc>
      </w:tr>
      <w:tr w:rsidR="00EA3EBC" w:rsidRPr="009B283C" w:rsidTr="00616BF8">
        <w:tc>
          <w:tcPr>
            <w:tcW w:w="704" w:type="dxa"/>
          </w:tcPr>
          <w:p w:rsidR="00EA3EBC" w:rsidRPr="009B283C" w:rsidRDefault="00722348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25</w:t>
            </w:r>
            <w:r w:rsidR="00EA3EB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9B283C" w:rsidRDefault="00EA3EBC" w:rsidP="00EA3EBC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9B283C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9B283C" w:rsidTr="00616BF8">
        <w:tc>
          <w:tcPr>
            <w:tcW w:w="704" w:type="dxa"/>
          </w:tcPr>
          <w:p w:rsidR="00EA3EBC" w:rsidRPr="009B283C" w:rsidRDefault="00722348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26</w:t>
            </w:r>
            <w:r w:rsidR="00EA3EB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9B283C" w:rsidRDefault="00EA3EBC" w:rsidP="00EA3EBC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9B283C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9B283C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9B283C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EBC" w:rsidRPr="009B283C" w:rsidRDefault="00EA3EBC" w:rsidP="00ED3584">
            <w:pPr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b/>
                <w:color w:val="000000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9B283C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</w:tbl>
    <w:p w:rsidR="00C2268F" w:rsidRPr="009B283C" w:rsidRDefault="00C2268F">
      <w:pPr>
        <w:rPr>
          <w:rFonts w:ascii="Arial" w:hAnsi="Arial" w:cs="Arial"/>
        </w:rPr>
      </w:pPr>
    </w:p>
    <w:p w:rsidR="00616BF8" w:rsidRPr="009B283C" w:rsidRDefault="00616BF8">
      <w:pPr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>2. Техническа и финансова оценка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2263"/>
      </w:tblGrid>
      <w:tr w:rsidR="00616BF8" w:rsidRPr="009B283C" w:rsidTr="005F3488">
        <w:tc>
          <w:tcPr>
            <w:tcW w:w="704" w:type="dxa"/>
          </w:tcPr>
          <w:p w:rsidR="00616BF8" w:rsidRPr="009B283C" w:rsidRDefault="0089620B" w:rsidP="0089620B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16BF8" w:rsidRPr="009B283C" w:rsidRDefault="005F3488" w:rsidP="0089620B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Критерий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616BF8" w:rsidRPr="009B283C" w:rsidRDefault="0089620B" w:rsidP="0089620B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Точки</w:t>
            </w:r>
          </w:p>
        </w:tc>
      </w:tr>
      <w:tr w:rsidR="0089620B" w:rsidRPr="009B283C" w:rsidTr="005F3488">
        <w:tc>
          <w:tcPr>
            <w:tcW w:w="704" w:type="dxa"/>
            <w:tcBorders>
              <w:bottom w:val="single" w:sz="4" w:space="0" w:color="auto"/>
            </w:tcBorders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1.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Вид на предприятието - микро или малко</w:t>
            </w:r>
            <w:r w:rsidR="005E207D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5</w:t>
            </w:r>
          </w:p>
        </w:tc>
      </w:tr>
      <w:tr w:rsidR="005F3488" w:rsidRPr="009B283C" w:rsidTr="005F3488"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5F3488" w:rsidRPr="009B283C" w:rsidRDefault="005F3488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9B283C" w:rsidRDefault="005F3488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Създаване на нови работни места: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3488" w:rsidRPr="009B283C" w:rsidTr="005F3488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5F3488" w:rsidRPr="009B283C" w:rsidRDefault="005F3488" w:rsidP="0089620B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9B283C" w:rsidRDefault="005F3488" w:rsidP="005F3488">
            <w:pPr>
              <w:ind w:left="3576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- едно работно място</w:t>
            </w:r>
            <w:r w:rsidR="005E207D" w:rsidRPr="009B283C">
              <w:rPr>
                <w:rFonts w:ascii="Arial" w:hAnsi="Arial" w:cs="Arial"/>
              </w:rPr>
              <w:t>;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1</w:t>
            </w:r>
          </w:p>
        </w:tc>
      </w:tr>
      <w:tr w:rsidR="005F3488" w:rsidRPr="009B283C" w:rsidTr="005F3488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5F3488" w:rsidRPr="009B283C" w:rsidRDefault="005F3488" w:rsidP="0089620B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9B283C" w:rsidRDefault="005F3488" w:rsidP="005F3488">
            <w:pPr>
              <w:ind w:left="3576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- от 2 до 5 работни места</w:t>
            </w:r>
            <w:r w:rsidR="005E207D" w:rsidRPr="009B283C">
              <w:rPr>
                <w:rFonts w:ascii="Arial" w:hAnsi="Arial" w:cs="Arial"/>
              </w:rPr>
              <w:t>;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3</w:t>
            </w:r>
          </w:p>
        </w:tc>
      </w:tr>
      <w:tr w:rsidR="005F3488" w:rsidRPr="009B283C" w:rsidTr="005F3488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5F3488" w:rsidRPr="009B283C" w:rsidRDefault="005F3488" w:rsidP="0089620B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88" w:rsidRPr="009B283C" w:rsidRDefault="005F3488" w:rsidP="005F3488">
            <w:pPr>
              <w:ind w:left="3576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- над 5 работни места</w:t>
            </w:r>
            <w:r w:rsidR="005E207D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88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5</w:t>
            </w:r>
          </w:p>
        </w:tc>
      </w:tr>
      <w:tr w:rsidR="0089620B" w:rsidRPr="009B283C" w:rsidTr="005F3488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9620B" w:rsidRPr="009B283C" w:rsidRDefault="0089620B" w:rsidP="005F3488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Запазване на съществуващи работни места в стопанство</w:t>
            </w:r>
            <w:r w:rsidR="005F3488" w:rsidRPr="009B283C">
              <w:rPr>
                <w:rFonts w:ascii="Arial" w:hAnsi="Arial" w:cs="Arial"/>
              </w:rPr>
              <w:t>то за аквакултури</w:t>
            </w:r>
            <w:r w:rsidR="005E207D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5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4.</w:t>
            </w:r>
          </w:p>
        </w:tc>
        <w:tc>
          <w:tcPr>
            <w:tcW w:w="68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Основна дейност от </w:t>
            </w:r>
            <w:r w:rsidR="005F3488" w:rsidRPr="009B283C">
              <w:rPr>
                <w:rFonts w:ascii="Arial" w:hAnsi="Arial" w:cs="Arial"/>
              </w:rPr>
              <w:t>производство на аквакултури</w:t>
            </w:r>
            <w:r w:rsidRPr="009B283C">
              <w:rPr>
                <w:rFonts w:ascii="Arial" w:hAnsi="Arial" w:cs="Arial"/>
              </w:rPr>
              <w:t xml:space="preserve"> – (за предходните три години поне 50% от приходите на кандидата са от аквакултурно производство)</w:t>
            </w:r>
            <w:r w:rsidR="005E207D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5.</w:t>
            </w:r>
          </w:p>
        </w:tc>
        <w:tc>
          <w:tcPr>
            <w:tcW w:w="68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Подобряване на енергийната ефективност (подобряване на енергийната ефективност в сградите и използване на интелигентни технологии за намалява</w:t>
            </w:r>
            <w:r w:rsidR="005F3488" w:rsidRPr="009B283C">
              <w:rPr>
                <w:rFonts w:ascii="Arial" w:hAnsi="Arial" w:cs="Arial"/>
              </w:rPr>
              <w:t>не на потреблението на енергия)</w:t>
            </w:r>
            <w:r w:rsidR="005E207D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6.</w:t>
            </w:r>
          </w:p>
        </w:tc>
        <w:tc>
          <w:tcPr>
            <w:tcW w:w="68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Подобряване на бе</w:t>
            </w:r>
            <w:r w:rsidR="005F3488" w:rsidRPr="009B283C">
              <w:rPr>
                <w:rFonts w:ascii="Arial" w:hAnsi="Arial" w:cs="Arial"/>
              </w:rPr>
              <w:t>зопасността и условията на труд</w:t>
            </w:r>
          </w:p>
        </w:tc>
        <w:tc>
          <w:tcPr>
            <w:tcW w:w="2263" w:type="dxa"/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5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7.</w:t>
            </w:r>
          </w:p>
        </w:tc>
        <w:tc>
          <w:tcPr>
            <w:tcW w:w="6804" w:type="dxa"/>
          </w:tcPr>
          <w:p w:rsidR="0089620B" w:rsidRPr="009B283C" w:rsidRDefault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Инвестиции, насочени към развитие на устойчиви аквакултурни производства с ниско влия</w:t>
            </w:r>
            <w:r w:rsidR="005F3488" w:rsidRPr="009B283C">
              <w:rPr>
                <w:rFonts w:ascii="Arial" w:hAnsi="Arial" w:cs="Arial"/>
              </w:rPr>
              <w:t>ние върху околната среда</w:t>
            </w:r>
            <w:r w:rsidR="008948A0" w:rsidRPr="009B283C">
              <w:rPr>
                <w:rFonts w:ascii="Arial" w:hAnsi="Arial" w:cs="Arial"/>
              </w:rPr>
              <w:t xml:space="preserve"> (механизми за улавяне на СО2, повишаване на качеството на водата, намаляване на въздействието върху хидроморфологията и др.)</w:t>
            </w:r>
          </w:p>
        </w:tc>
        <w:tc>
          <w:tcPr>
            <w:tcW w:w="2263" w:type="dxa"/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8.</w:t>
            </w:r>
          </w:p>
        </w:tc>
        <w:tc>
          <w:tcPr>
            <w:tcW w:w="6804" w:type="dxa"/>
          </w:tcPr>
          <w:p w:rsidR="0089620B" w:rsidRPr="009B283C" w:rsidRDefault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Инвестиции в отглеждане на биологични аквакултури и на нискотрофични аквакултури, в това</w:t>
            </w:r>
            <w:r w:rsidR="005F3488" w:rsidRPr="009B283C">
              <w:rPr>
                <w:rFonts w:ascii="Arial" w:hAnsi="Arial" w:cs="Arial"/>
              </w:rPr>
              <w:t xml:space="preserve"> число водорасли и безгръбначни</w:t>
            </w:r>
          </w:p>
        </w:tc>
        <w:tc>
          <w:tcPr>
            <w:tcW w:w="2263" w:type="dxa"/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9.</w:t>
            </w:r>
          </w:p>
        </w:tc>
        <w:tc>
          <w:tcPr>
            <w:tcW w:w="6804" w:type="dxa"/>
          </w:tcPr>
          <w:p w:rsidR="0089620B" w:rsidRPr="009B283C" w:rsidRDefault="005F3488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Иновации в стопанството</w:t>
            </w:r>
            <w:r w:rsidR="00F57572" w:rsidRPr="009B283C">
              <w:rPr>
                <w:rFonts w:ascii="Arial" w:hAnsi="Arial" w:cs="Arial"/>
              </w:rPr>
              <w:t xml:space="preserve"> (нови продукти, услуги, процеси, бизнес модели или методи, патент, полезен модел или ноу-хау)</w:t>
            </w:r>
          </w:p>
        </w:tc>
        <w:tc>
          <w:tcPr>
            <w:tcW w:w="2263" w:type="dxa"/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10.</w:t>
            </w:r>
          </w:p>
        </w:tc>
        <w:tc>
          <w:tcPr>
            <w:tcW w:w="6804" w:type="dxa"/>
          </w:tcPr>
          <w:p w:rsidR="0089620B" w:rsidRPr="009B283C" w:rsidRDefault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Провеждане на обучения за повишаване на знанията, </w:t>
            </w:r>
            <w:r w:rsidRPr="009B283C">
              <w:rPr>
                <w:rFonts w:ascii="Arial" w:hAnsi="Arial" w:cs="Arial"/>
              </w:rPr>
              <w:lastRenderedPageBreak/>
              <w:t>уменията и изграждане на капацитет на заетите в предприятията (включително обучения в чужбина за обмен на опит)</w:t>
            </w:r>
            <w:r w:rsidR="005F3A2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9B283C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lastRenderedPageBreak/>
              <w:t>5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6804" w:type="dxa"/>
          </w:tcPr>
          <w:p w:rsidR="0089620B" w:rsidRPr="009B283C" w:rsidRDefault="005F3488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Стопанства, попадащи в зони по НАТУРА 2000</w:t>
            </w:r>
          </w:p>
        </w:tc>
        <w:tc>
          <w:tcPr>
            <w:tcW w:w="2263" w:type="dxa"/>
          </w:tcPr>
          <w:p w:rsidR="0089620B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12.</w:t>
            </w:r>
          </w:p>
        </w:tc>
        <w:tc>
          <w:tcPr>
            <w:tcW w:w="6804" w:type="dxa"/>
          </w:tcPr>
          <w:p w:rsidR="0089620B" w:rsidRPr="009B283C" w:rsidRDefault="005F3488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Проектът се изпълнява в обект за производство на аквакултури с регистрация по чл. 25 от Закона за рибарството и аквакултурите за развъждане и отглеждане на риба и други водни организми </w:t>
            </w:r>
            <w:r w:rsidRPr="009B283C">
              <w:rPr>
                <w:rFonts w:ascii="Arial" w:hAnsi="Arial" w:cs="Arial"/>
                <w:b/>
              </w:rPr>
              <w:t>за период над 15 години</w:t>
            </w:r>
            <w:r w:rsidR="005F3A2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13.</w:t>
            </w:r>
          </w:p>
        </w:tc>
        <w:tc>
          <w:tcPr>
            <w:tcW w:w="6804" w:type="dxa"/>
          </w:tcPr>
          <w:p w:rsidR="0089620B" w:rsidRPr="009B283C" w:rsidRDefault="005F3488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Проектът включва инвестиции за проследимост на продуктите от аквакултури чрез дигитализация на процеса</w:t>
            </w:r>
            <w:r w:rsidR="005F3A2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9B283C" w:rsidTr="0089620B">
        <w:tc>
          <w:tcPr>
            <w:tcW w:w="704" w:type="dxa"/>
          </w:tcPr>
          <w:p w:rsidR="0089620B" w:rsidRPr="009B283C" w:rsidRDefault="0089620B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14.</w:t>
            </w:r>
          </w:p>
        </w:tc>
        <w:tc>
          <w:tcPr>
            <w:tcW w:w="6804" w:type="dxa"/>
          </w:tcPr>
          <w:p w:rsidR="0089620B" w:rsidRPr="009B283C" w:rsidRDefault="005F3488" w:rsidP="0089620B">
            <w:pPr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Проектът включва дейности по диверсификация в производството на нови видове аквакултури или въвеждане на допълнителни към производството дейности</w:t>
            </w:r>
            <w:r w:rsidR="005F3A2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20</w:t>
            </w:r>
          </w:p>
        </w:tc>
      </w:tr>
      <w:tr w:rsidR="005F3488" w:rsidRPr="009B283C" w:rsidTr="00827B8E">
        <w:tc>
          <w:tcPr>
            <w:tcW w:w="7508" w:type="dxa"/>
            <w:gridSpan w:val="2"/>
          </w:tcPr>
          <w:p w:rsidR="005F3488" w:rsidRPr="009B283C" w:rsidRDefault="005F3488" w:rsidP="005F3488">
            <w:pPr>
              <w:jc w:val="right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Общ брой точки:</w:t>
            </w:r>
          </w:p>
        </w:tc>
        <w:tc>
          <w:tcPr>
            <w:tcW w:w="2263" w:type="dxa"/>
          </w:tcPr>
          <w:p w:rsidR="005F3488" w:rsidRPr="009B283C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165</w:t>
            </w:r>
          </w:p>
        </w:tc>
      </w:tr>
    </w:tbl>
    <w:p w:rsidR="00616BF8" w:rsidRPr="009B283C" w:rsidRDefault="00616BF8">
      <w:pPr>
        <w:rPr>
          <w:rFonts w:ascii="Arial" w:hAnsi="Arial" w:cs="Arial"/>
          <w:b/>
        </w:rPr>
      </w:pPr>
    </w:p>
    <w:p w:rsidR="00ED3584" w:rsidRPr="009B283C" w:rsidRDefault="00ED3584" w:rsidP="00ED3584">
      <w:pP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Проектните предложения, </w:t>
      </w:r>
      <w:r w:rsidRPr="009B283C">
        <w:rPr>
          <w:rFonts w:ascii="Arial" w:hAnsi="Arial" w:cs="Arial"/>
          <w:b/>
        </w:rPr>
        <w:t>получили минимум 50 точки</w:t>
      </w:r>
      <w:r w:rsidRPr="009B283C">
        <w:rPr>
          <w:rFonts w:ascii="Arial" w:hAnsi="Arial" w:cs="Arial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9B283C" w:rsidRDefault="00ED3584" w:rsidP="00ED3584">
      <w:pP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В случай, че проектното предложение получи по-малко от 50 точки, проектното предложение се отхвърля.</w:t>
      </w: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  <w:bookmarkStart w:id="0" w:name="_GoBack"/>
      <w:bookmarkEnd w:id="0"/>
    </w:p>
    <w:sectPr w:rsidR="00ED3584" w:rsidRPr="00ED3584" w:rsidSect="00C2268F">
      <w:footerReference w:type="default" r:id="rId7"/>
      <w:headerReference w:type="first" r:id="rId8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21" w:rsidRDefault="00573421" w:rsidP="00263D9C">
      <w:pPr>
        <w:spacing w:after="0" w:line="240" w:lineRule="auto"/>
      </w:pPr>
      <w:r>
        <w:separator/>
      </w:r>
    </w:p>
  </w:endnote>
  <w:end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9B283C">
          <w:rPr>
            <w:rFonts w:ascii="Arial" w:hAnsi="Arial" w:cs="Arial"/>
            <w:noProof/>
            <w:sz w:val="16"/>
            <w:szCs w:val="16"/>
          </w:rPr>
          <w:t>5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21" w:rsidRDefault="00573421" w:rsidP="00263D9C">
      <w:pPr>
        <w:spacing w:after="0" w:line="240" w:lineRule="auto"/>
      </w:pPr>
      <w:r>
        <w:separator/>
      </w:r>
    </w:p>
  </w:footnote>
  <w:foot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111196"/>
    <w:rsid w:val="00263D9C"/>
    <w:rsid w:val="0029331C"/>
    <w:rsid w:val="00390EF7"/>
    <w:rsid w:val="00417EAF"/>
    <w:rsid w:val="00447DEC"/>
    <w:rsid w:val="00520493"/>
    <w:rsid w:val="00573421"/>
    <w:rsid w:val="005E207D"/>
    <w:rsid w:val="005F3488"/>
    <w:rsid w:val="005F3A29"/>
    <w:rsid w:val="00616BF8"/>
    <w:rsid w:val="006F014E"/>
    <w:rsid w:val="00722348"/>
    <w:rsid w:val="0073157A"/>
    <w:rsid w:val="007944C3"/>
    <w:rsid w:val="007A5E5D"/>
    <w:rsid w:val="008948A0"/>
    <w:rsid w:val="0089620B"/>
    <w:rsid w:val="008A10B9"/>
    <w:rsid w:val="008A6D2A"/>
    <w:rsid w:val="008B46D5"/>
    <w:rsid w:val="009B283C"/>
    <w:rsid w:val="009C6A51"/>
    <w:rsid w:val="009F08DC"/>
    <w:rsid w:val="00A13720"/>
    <w:rsid w:val="00A842F6"/>
    <w:rsid w:val="00AA4DBC"/>
    <w:rsid w:val="00B34BEE"/>
    <w:rsid w:val="00B76F6A"/>
    <w:rsid w:val="00C2268F"/>
    <w:rsid w:val="00C719C2"/>
    <w:rsid w:val="00C731DC"/>
    <w:rsid w:val="00CA1447"/>
    <w:rsid w:val="00DA4526"/>
    <w:rsid w:val="00EA3EBC"/>
    <w:rsid w:val="00ED3584"/>
    <w:rsid w:val="00ED73CD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Zhasmina Avramova</cp:lastModifiedBy>
  <cp:revision>11</cp:revision>
  <dcterms:created xsi:type="dcterms:W3CDTF">2024-07-30T13:24:00Z</dcterms:created>
  <dcterms:modified xsi:type="dcterms:W3CDTF">2024-09-27T15:17:00Z</dcterms:modified>
</cp:coreProperties>
</file>