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47A" w:rsidRPr="00C6383C" w:rsidRDefault="009E347A" w:rsidP="009E347A">
      <w:pPr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lang w:val="bg-BG" w:eastAsia="en-GB"/>
        </w:rPr>
      </w:pPr>
      <w:bookmarkStart w:id="0" w:name="_GoBack"/>
      <w:bookmarkEnd w:id="0"/>
      <w:r w:rsidRPr="00C6383C">
        <w:rPr>
          <w:rFonts w:ascii="Times New Roman" w:eastAsia="Times New Roman" w:hAnsi="Times New Roman" w:cs="Times New Roman"/>
          <w:b/>
          <w:lang w:val="bg-BG" w:eastAsia="en-GB"/>
        </w:rPr>
        <w:t>ДВАДЕСЕТ И СЕДЕМ ИНДИКАТОРИ ЗА ЗЛОУПОТРЕБИ ПРИ ОБЩЕСТВЕНИ ПОРЪЧКИ</w:t>
      </w:r>
    </w:p>
    <w:p w:rsidR="009E347A" w:rsidRPr="0097281D" w:rsidRDefault="009E347A" w:rsidP="009E347A">
      <w:pPr>
        <w:tabs>
          <w:tab w:val="left" w:pos="442"/>
          <w:tab w:val="left" w:pos="1134"/>
        </w:tabs>
        <w:autoSpaceDE w:val="0"/>
        <w:autoSpaceDN w:val="0"/>
        <w:adjustRightInd w:val="0"/>
        <w:ind w:left="1080"/>
        <w:jc w:val="both"/>
        <w:rPr>
          <w:rFonts w:ascii="Times New Roman" w:eastAsia="Times New Roman" w:hAnsi="Times New Roman" w:cs="Times New Roman"/>
          <w:lang w:val="bg-BG" w:eastAsia="en-GB"/>
        </w:rPr>
      </w:pPr>
    </w:p>
    <w:p w:rsidR="009E347A" w:rsidRPr="0097281D" w:rsidRDefault="009E347A" w:rsidP="009E347A">
      <w:pPr>
        <w:tabs>
          <w:tab w:val="left" w:pos="442"/>
          <w:tab w:val="left" w:pos="1134"/>
        </w:tabs>
        <w:autoSpaceDE w:val="0"/>
        <w:autoSpaceDN w:val="0"/>
        <w:adjustRightInd w:val="0"/>
        <w:ind w:left="1080"/>
        <w:jc w:val="both"/>
        <w:rPr>
          <w:rFonts w:ascii="Times New Roman" w:eastAsia="Times New Roman" w:hAnsi="Times New Roman" w:cs="Times New Roman"/>
          <w:lang w:val="bg-BG" w:eastAsia="en-GB"/>
        </w:rPr>
      </w:pPr>
    </w:p>
    <w:tbl>
      <w:tblPr>
        <w:tblW w:w="9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8"/>
        <w:gridCol w:w="4710"/>
      </w:tblGrid>
      <w:tr w:rsidR="009E347A" w:rsidRPr="0097281D" w:rsidTr="00D80E6F">
        <w:trPr>
          <w:jc w:val="center"/>
        </w:trPr>
        <w:tc>
          <w:tcPr>
            <w:tcW w:w="9588" w:type="dxa"/>
            <w:gridSpan w:val="2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 xml:space="preserve">Преглед на идентифицирани червени </w:t>
            </w:r>
          </w:p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флагове, включително предположения за модели на корупция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Предположение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Кратко наименование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Силна инерция в състава на екипа за оценка на тръжния доставчик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Силна инерция в състава на екипа за оценка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Всяко доказателство за конфликт на интереси на членовете на оценителната комисия (например, защото държавният служител притежава дялове във всяко от тръжните дружества)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Конфликт на интереси за членовете на екипа за оценка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Множество офиси за контакт / лица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Много точки за контакт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Офисът за контакт не е пряко подчинен на доставчика на оферти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Офисът за контакт не е подчинен на доставчика на оферти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Лицето за контакт, не е служител от доставчика на оферти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Лицето за контакт, не е служител от доставчика на оферти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Всички елементи в мандата, които сочат към предпочитан доставчик (например необичайни критерии за оценка или изрично посочване на марката на продукта, а не на общите характеристики на продукта)?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Индикатори за предпочитан доставчик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Скъсен период от време за процеса на офериране (напр. заявка в петък, за да бъде изпратена оферта следващия понеделник)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Скъсен период от време за процеса на офериране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Приложена е процедура за ускорена тръжна процедура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Ускорен търг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Изключително голям размер на офертата (средна стойност плюс два пъти стандартното отклонение)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Офертата е изключително висока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tabs>
                <w:tab w:val="left" w:pos="320"/>
              </w:tabs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Времето, позволено на участниците в търга за подаване на оферти не е в съответствие с правните разпоредби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Времето за подаване на оферти не съответства на закона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tabs>
                <w:tab w:val="left" w:pos="320"/>
              </w:tabs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Предложенията, подадени след крайния срок за приемане са приети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Приети оферти след крайния срок за приемане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tabs>
                <w:tab w:val="left" w:pos="320"/>
              </w:tabs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Получени са малко оферти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Няколко оферти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tabs>
                <w:tab w:val="left" w:pos="320"/>
              </w:tabs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Всички изкуствени оферти (например оферти от несъществуващи фирми)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Изкуствени оферти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tabs>
                <w:tab w:val="left" w:pos="320"/>
              </w:tabs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Всички (официални или неофициални) жалби са от непечеливши кандидати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Оплаквания от непечеливши оференти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tabs>
                <w:tab w:val="left" w:pos="320"/>
              </w:tabs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Договорът за възлагане включва елементи, които преди това не са били включени в спецификациите на офертите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Договорът за възлагане има нови спецификации на офертите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tabs>
                <w:tab w:val="left" w:pos="320"/>
              </w:tabs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Значителни промени в обхвата на проекта</w:t>
            </w:r>
            <w:r w:rsidRPr="0097281D"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или разходите по проекта след определяне на изпълнителя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Значителни промени в обхвата на проекта/разходите след определяне на изпълнителя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tabs>
                <w:tab w:val="left" w:pos="320"/>
              </w:tabs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Всички връзки между оферентите, които биха подкопали ефективната конкуренция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Връзките между оферентите подкопават конкуренцията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tabs>
                <w:tab w:val="left" w:pos="320"/>
              </w:tabs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lastRenderedPageBreak/>
              <w:t>Всички оферти над очакваните общи разходи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Всички оферти над очакваните общи разходи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tabs>
                <w:tab w:val="left" w:pos="320"/>
              </w:tabs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Не всички/нито един участник не са информирани за възлагането на поръчката и за причините за този избор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Не всички/неучастниците в търга са информирани за присъждането и причините за това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tabs>
                <w:tab w:val="left" w:pos="320"/>
              </w:tabs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Възлагането на поръчката и документите за обосновка на подбора не са публично достъпни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Договорът за възлагане и публикуването на документи за подбор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tabs>
                <w:tab w:val="left" w:pos="320"/>
              </w:tabs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Несъответствия в отчетения оборот или брой на персонала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Несъответствия в отчетения оборот / брой служители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tabs>
                <w:tab w:val="left" w:pos="320"/>
              </w:tabs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Печеливша компания, която не е регистрирана в местната търговска камара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Печеливша компания, която не е в списъка в Търговската камара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tabs>
                <w:tab w:val="left" w:pos="320"/>
              </w:tabs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Без финансиране от ЕС (като % от общата стойност на договора)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% От финансирането е от ЕС (= 0)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tabs>
                <w:tab w:val="left" w:pos="320"/>
              </w:tabs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Съществува дял на публичното финансиране от държавите-членки (като % от общата стойност на договора)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% От публичното финансиране от държавите-членки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tabs>
                <w:tab w:val="left" w:pos="320"/>
              </w:tabs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 xml:space="preserve">Възлагащият орган не е попълнил всички полета в </w:t>
            </w:r>
            <w:r w:rsidRPr="0097281D">
              <w:rPr>
                <w:rFonts w:ascii="Times New Roman" w:eastAsia="Times New Roman" w:hAnsi="Times New Roman" w:cs="Times New Roman"/>
                <w:lang w:eastAsia="en-GB"/>
              </w:rPr>
              <w:t>TED / CAN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 xml:space="preserve">Възлагащият орган не е попълнил всички полета в </w:t>
            </w:r>
            <w:r w:rsidRPr="0097281D">
              <w:rPr>
                <w:rFonts w:ascii="Times New Roman" w:eastAsia="Times New Roman" w:hAnsi="Times New Roman" w:cs="Times New Roman"/>
                <w:lang w:eastAsia="en-GB"/>
              </w:rPr>
              <w:t>TED / CAN</w:t>
            </w:r>
          </w:p>
        </w:tc>
      </w:tr>
      <w:tr w:rsidR="009E347A" w:rsidRPr="0097281D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tabs>
                <w:tab w:val="left" w:pos="320"/>
              </w:tabs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Сертификати за одит, издадени от неизвестен / местен одитор без пълномощия (кръстосана проверка показва, че външният одитор не е регистриран, не е активен или регистриран в друга област на дейност)</w:t>
            </w:r>
          </w:p>
        </w:tc>
        <w:tc>
          <w:tcPr>
            <w:tcW w:w="4710" w:type="dxa"/>
            <w:shd w:val="clear" w:color="auto" w:fill="auto"/>
          </w:tcPr>
          <w:p w:rsidR="009E347A" w:rsidRPr="0097281D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Одиторски сертификати от одитор без пълномощия</w:t>
            </w:r>
          </w:p>
        </w:tc>
      </w:tr>
      <w:tr w:rsidR="009E347A" w:rsidRPr="00B21965" w:rsidTr="00D80E6F">
        <w:trPr>
          <w:jc w:val="center"/>
        </w:trPr>
        <w:tc>
          <w:tcPr>
            <w:tcW w:w="4878" w:type="dxa"/>
            <w:shd w:val="clear" w:color="auto" w:fill="auto"/>
          </w:tcPr>
          <w:p w:rsidR="009E347A" w:rsidRPr="0097281D" w:rsidRDefault="009E347A" w:rsidP="009E347A">
            <w:pPr>
              <w:numPr>
                <w:ilvl w:val="0"/>
                <w:numId w:val="1"/>
              </w:numPr>
              <w:tabs>
                <w:tab w:val="left" w:pos="320"/>
              </w:tabs>
              <w:autoSpaceDE w:val="0"/>
              <w:autoSpaceDN w:val="0"/>
              <w:adjustRightInd w:val="0"/>
              <w:ind w:left="270" w:hanging="27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Всяко негативно медийно отразяване на проекта (например липса на изпълнение)</w:t>
            </w:r>
          </w:p>
        </w:tc>
        <w:tc>
          <w:tcPr>
            <w:tcW w:w="4710" w:type="dxa"/>
            <w:shd w:val="clear" w:color="auto" w:fill="auto"/>
          </w:tcPr>
          <w:p w:rsidR="009E347A" w:rsidRPr="00B21965" w:rsidRDefault="009E347A" w:rsidP="00D80E6F">
            <w:pPr>
              <w:tabs>
                <w:tab w:val="left" w:pos="442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bg-BG" w:eastAsia="en-GB"/>
              </w:rPr>
            </w:pPr>
            <w:r w:rsidRPr="0097281D">
              <w:rPr>
                <w:rFonts w:ascii="Times New Roman" w:eastAsia="Times New Roman" w:hAnsi="Times New Roman" w:cs="Times New Roman"/>
                <w:lang w:val="bg-BG" w:eastAsia="en-GB"/>
              </w:rPr>
              <w:t>Отрицателно медийно отразяване</w:t>
            </w:r>
          </w:p>
        </w:tc>
      </w:tr>
    </w:tbl>
    <w:p w:rsidR="009E347A" w:rsidRPr="00EB6D12" w:rsidRDefault="009E347A" w:rsidP="009E347A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eastAsia="en-GB"/>
        </w:rPr>
      </w:pPr>
    </w:p>
    <w:p w:rsidR="009E347A" w:rsidRPr="00EB6D12" w:rsidRDefault="009E347A" w:rsidP="009E347A">
      <w:pPr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lang w:eastAsia="en-GB"/>
        </w:rPr>
      </w:pPr>
      <w:r w:rsidRPr="00EB6D12">
        <w:rPr>
          <w:rFonts w:ascii="Times New Roman" w:eastAsia="Times New Roman" w:hAnsi="Times New Roman" w:cs="Times New Roman"/>
          <w:lang w:eastAsia="en-GB"/>
        </w:rPr>
        <w:t xml:space="preserve"> </w:t>
      </w:r>
    </w:p>
    <w:p w:rsidR="00C15608" w:rsidRDefault="00C00300"/>
    <w:sectPr w:rsidR="00C15608">
      <w:footerReference w:type="default" r:id="rId7"/>
      <w:footnotePr>
        <w:pos w:val="beneathText"/>
      </w:footnotePr>
      <w:pgSz w:w="11900" w:h="16837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300" w:rsidRDefault="00C00300">
      <w:r>
        <w:separator/>
      </w:r>
    </w:p>
  </w:endnote>
  <w:endnote w:type="continuationSeparator" w:id="0">
    <w:p w:rsidR="00C00300" w:rsidRDefault="00C00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A22" w:rsidRPr="001B596B" w:rsidRDefault="009E347A">
    <w:pPr>
      <w:pStyle w:val="Footer"/>
      <w:jc w:val="right"/>
      <w:rPr>
        <w:rFonts w:ascii="Times New Roman" w:hAnsi="Times New Roman" w:cs="Times New Roman"/>
      </w:rPr>
    </w:pPr>
    <w:r w:rsidRPr="001B596B">
      <w:rPr>
        <w:rFonts w:ascii="Times New Roman" w:hAnsi="Times New Roman" w:cs="Times New Roman"/>
      </w:rPr>
      <w:fldChar w:fldCharType="begin"/>
    </w:r>
    <w:r w:rsidRPr="001B596B">
      <w:rPr>
        <w:rFonts w:ascii="Times New Roman" w:hAnsi="Times New Roman" w:cs="Times New Roman"/>
      </w:rPr>
      <w:instrText xml:space="preserve"> PAGE   \* MERGEFORMAT </w:instrText>
    </w:r>
    <w:r w:rsidRPr="001B596B">
      <w:rPr>
        <w:rFonts w:ascii="Times New Roman" w:hAnsi="Times New Roman" w:cs="Times New Roman"/>
      </w:rPr>
      <w:fldChar w:fldCharType="separate"/>
    </w:r>
    <w:r w:rsidR="003D18EE">
      <w:rPr>
        <w:rFonts w:ascii="Times New Roman" w:hAnsi="Times New Roman" w:cs="Times New Roman"/>
        <w:noProof/>
      </w:rPr>
      <w:t>1</w:t>
    </w:r>
    <w:r w:rsidRPr="001B596B">
      <w:rPr>
        <w:rFonts w:ascii="Times New Roman" w:hAnsi="Times New Roman" w:cs="Times New Roman"/>
        <w:noProof/>
      </w:rPr>
      <w:fldChar w:fldCharType="end"/>
    </w:r>
  </w:p>
  <w:p w:rsidR="00A25A22" w:rsidRDefault="00C003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300" w:rsidRDefault="00C00300">
      <w:r>
        <w:separator/>
      </w:r>
    </w:p>
  </w:footnote>
  <w:footnote w:type="continuationSeparator" w:id="0">
    <w:p w:rsidR="00C00300" w:rsidRDefault="00C003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21B03"/>
    <w:multiLevelType w:val="hybridMultilevel"/>
    <w:tmpl w:val="9034B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47A"/>
    <w:rsid w:val="0022316D"/>
    <w:rsid w:val="003D18EE"/>
    <w:rsid w:val="006230C2"/>
    <w:rsid w:val="00793A74"/>
    <w:rsid w:val="0097281D"/>
    <w:rsid w:val="009E347A"/>
    <w:rsid w:val="00A36BE6"/>
    <w:rsid w:val="00C00300"/>
    <w:rsid w:val="00C6383C"/>
    <w:rsid w:val="00CE4F33"/>
    <w:rsid w:val="00D96E9D"/>
    <w:rsid w:val="00E26221"/>
    <w:rsid w:val="00E31518"/>
    <w:rsid w:val="00F00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363F80-B1B9-4ACF-B172-88BD4CBE3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347A"/>
    <w:pPr>
      <w:suppressAutoHyphens/>
      <w:spacing w:after="0" w:line="240" w:lineRule="auto"/>
    </w:pPr>
    <w:rPr>
      <w:rFonts w:ascii="Cambria" w:eastAsia="MS Minngs" w:hAnsi="Cambria" w:cs="Cambria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E347A"/>
    <w:rPr>
      <w:sz w:val="20"/>
      <w:szCs w:val="20"/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9E347A"/>
    <w:rPr>
      <w:rFonts w:ascii="Cambria" w:eastAsia="MS Minngs" w:hAnsi="Cambria" w:cs="Cambria"/>
      <w:sz w:val="20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Bancheva</dc:creator>
  <cp:lastModifiedBy>Petya D. Mihaylova</cp:lastModifiedBy>
  <cp:revision>2</cp:revision>
  <dcterms:created xsi:type="dcterms:W3CDTF">2023-07-13T11:45:00Z</dcterms:created>
  <dcterms:modified xsi:type="dcterms:W3CDTF">2023-07-13T11:45:00Z</dcterms:modified>
</cp:coreProperties>
</file>