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0277D4CA" w14:textId="77777777" w:rsidR="00BB630D" w:rsidRPr="00640215" w:rsidRDefault="00BB630D" w:rsidP="00BB63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2 </w:t>
      </w:r>
      <w:r w:rsidRPr="00640215">
        <w:rPr>
          <w:rFonts w:ascii="Times New Roman" w:hAnsi="Times New Roman" w:cs="Times New Roman"/>
          <w:sz w:val="24"/>
          <w:szCs w:val="24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14:paraId="4A2B01F4" w14:textId="77777777" w:rsidR="00BB630D" w:rsidRDefault="00646351" w:rsidP="00BB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BB630D" w:rsidRPr="00575F65">
        <w:rPr>
          <w:rFonts w:ascii="Times New Roman" w:eastAsia="TimesNewRomanPSMT" w:hAnsi="Times New Roman" w:cs="Times New Roman"/>
          <w:b/>
          <w:sz w:val="24"/>
          <w:szCs w:val="24"/>
        </w:rPr>
        <w:t>2.1</w:t>
      </w:r>
      <w:r w:rsidR="00BB630D" w:rsidRPr="00575F65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="00BB630D" w:rsidRPr="00235922">
        <w:rPr>
          <w:rFonts w:ascii="Times New Roman" w:hAnsi="Times New Roman" w:cs="Times New Roman"/>
          <w:sz w:val="24"/>
          <w:szCs w:val="24"/>
        </w:rPr>
        <w:t>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план.</w:t>
      </w:r>
    </w:p>
    <w:p w14:paraId="6EF6CCCD" w14:textId="77777777" w:rsidR="00235922" w:rsidRPr="00235922" w:rsidRDefault="00235922" w:rsidP="00BB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77777777" w:rsidR="00BB630D" w:rsidRPr="00145871" w:rsidRDefault="00C95AB8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15">
              <w:rPr>
                <w:rFonts w:ascii="Times New Roman" w:hAnsi="Times New Roman" w:cs="Times New Roman"/>
                <w:sz w:val="24"/>
                <w:szCs w:val="32"/>
              </w:rPr>
              <w:t>Продуктивни инвестиции и иновации в аквакултурите.</w:t>
            </w:r>
          </w:p>
        </w:tc>
      </w:tr>
      <w:tr w:rsidR="00C27322" w:rsidRPr="00145871" w14:paraId="049542EF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8A42" w14:textId="77777777" w:rsidR="001C7BF3" w:rsidRDefault="001C7BF3" w:rsidP="001C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  <w:p w14:paraId="7CD7CE48" w14:textId="77777777" w:rsidR="0086660E" w:rsidRPr="00CE65BD" w:rsidRDefault="0086660E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77777777" w:rsidR="007428EA" w:rsidRPr="00CE65BD" w:rsidRDefault="00741CBD" w:rsidP="00741C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2496" w14:textId="28B61FC6" w:rsidR="00815552" w:rsidRDefault="0081555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52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552">
              <w:rPr>
                <w:rFonts w:ascii="Times New Roman" w:hAnsi="Times New Roman" w:cs="Times New Roman"/>
                <w:sz w:val="24"/>
                <w:szCs w:val="24"/>
              </w:rPr>
              <w:t xml:space="preserve">за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r w:rsidRPr="00815552">
              <w:rPr>
                <w:rFonts w:ascii="Times New Roman" w:hAnsi="Times New Roman" w:cs="Times New Roman"/>
                <w:sz w:val="24"/>
                <w:szCs w:val="24"/>
              </w:rPr>
              <w:t>, осъществявани от предприятия, непопадащи в определението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малки и средни предприятия;</w:t>
            </w:r>
          </w:p>
          <w:p w14:paraId="3607BAFE" w14:textId="359B0F12" w:rsidR="00C27322" w:rsidRDefault="001A556C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575F65">
              <w:rPr>
                <w:rFonts w:ascii="Times New Roman" w:hAnsi="Times New Roman" w:cs="Times New Roman"/>
                <w:sz w:val="24"/>
                <w:szCs w:val="24"/>
              </w:rPr>
              <w:t>за инвестиции в</w:t>
            </w:r>
            <w:r w:rsidR="00575F65"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устойчиви аква</w:t>
            </w:r>
            <w:r w:rsidR="00575F65">
              <w:rPr>
                <w:rFonts w:ascii="Times New Roman" w:hAnsi="Times New Roman" w:cs="Times New Roman"/>
                <w:sz w:val="24"/>
                <w:szCs w:val="24"/>
              </w:rPr>
              <w:t>култури</w:t>
            </w:r>
            <w:r w:rsidR="004D32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C1855F" w14:textId="7876E5EF" w:rsidR="00575F65" w:rsidRPr="00575F65" w:rsidRDefault="00575F65" w:rsidP="0057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75%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инвестиции в</w:t>
            </w: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устойчиви аква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култури с иновативен характер</w:t>
            </w: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26513F" w14:textId="5912FA87" w:rsidR="00575F65" w:rsidRPr="00575F65" w:rsidRDefault="00575F65" w:rsidP="0057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>,  които отговарят на всички от с</w:t>
            </w:r>
            <w:bookmarkStart w:id="0" w:name="_GoBack"/>
            <w:bookmarkEnd w:id="0"/>
            <w:r w:rsidRPr="00575F65">
              <w:rPr>
                <w:rFonts w:ascii="Times New Roman" w:hAnsi="Times New Roman" w:cs="Times New Roman"/>
                <w:sz w:val="24"/>
                <w:szCs w:val="24"/>
              </w:rPr>
              <w:t>ледните критерии:</w:t>
            </w:r>
          </w:p>
          <w:p w14:paraId="7F07BF84" w14:textId="77777777" w:rsidR="00575F65" w:rsidRPr="00575F65" w:rsidRDefault="00575F65" w:rsidP="00895EB9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i) са от колективен интерес; </w:t>
            </w:r>
          </w:p>
          <w:p w14:paraId="674B1ECA" w14:textId="77777777" w:rsidR="00575F65" w:rsidRPr="00575F65" w:rsidRDefault="00575F65" w:rsidP="00895EB9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>ii) имат колективен бенефициер;</w:t>
            </w:r>
          </w:p>
          <w:p w14:paraId="619D7DE9" w14:textId="3FAD9F86" w:rsidR="008A1529" w:rsidRPr="00C754D1" w:rsidRDefault="00575F65" w:rsidP="00895EB9">
            <w:pPr>
              <w:ind w:left="27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F65">
              <w:rPr>
                <w:rFonts w:ascii="Times New Roman" w:hAnsi="Times New Roman" w:cs="Times New Roman"/>
                <w:sz w:val="24"/>
                <w:szCs w:val="24"/>
              </w:rPr>
              <w:t xml:space="preserve">iii) имат новаторски характеристики или осигуряват публичен достъп до своите резултати </w:t>
            </w: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D51C" w14:textId="63BE09EE" w:rsidR="001B5D36" w:rsidRPr="001B5D36" w:rsidRDefault="001B5D36" w:rsidP="001C05E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1. Вид на предприятието –  микро и малко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0D5E1A" w14:textId="3192B1DC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DFD77F" w14:textId="5A380132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3. Запазване на съществуващи работни места в аквакултурното стопанство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5B0AFD" w14:textId="013B47A4" w:rsidR="001B5D36" w:rsidRPr="00575F65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4. Основна дейност от аквакултура – 10 точки (за предходните три години поне 50% от приходите на кандидата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от аквакултурно производство)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C15C4F" w14:textId="09EFAD73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5. Подобряване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 на енергийната ефективност </w:t>
            </w:r>
            <w:r w:rsidR="00114936" w:rsidRPr="00AC4EFC">
              <w:rPr>
                <w:rFonts w:ascii="Times New Roman" w:hAnsi="Times New Roman" w:cs="Times New Roman"/>
                <w:sz w:val="24"/>
                <w:szCs w:val="24"/>
              </w:rPr>
              <w:t>(подобряване на енергийната ефективност в сградите и използване на интелигентни технологии за намаляване на потреблението на енергия)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FF18B7" w14:textId="76256AE7" w:rsidR="001B5D36" w:rsidRPr="001B5D36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C5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>Подобряване на безопасността и условията на труд – 5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641267" w14:textId="77777777" w:rsidR="00DB3FB9" w:rsidRDefault="001B5D36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Инвестиции,</w:t>
            </w:r>
            <w:r w:rsidR="006B0FF3" w:rsidRPr="00362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FF3" w:rsidRPr="001B5D36">
              <w:rPr>
                <w:rFonts w:ascii="Times New Roman" w:hAnsi="Times New Roman" w:cs="Times New Roman"/>
                <w:sz w:val="24"/>
                <w:szCs w:val="24"/>
              </w:rPr>
              <w:t>насочен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0FF3"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>към</w:t>
            </w:r>
            <w:r w:rsidR="006B0FF3">
              <w:t xml:space="preserve"> 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развитие на устойчиви аквакултурни производства с ниско вл</w:t>
            </w:r>
            <w:r w:rsidR="00E55773">
              <w:rPr>
                <w:rFonts w:ascii="Times New Roman" w:hAnsi="Times New Roman" w:cs="Times New Roman"/>
                <w:sz w:val="24"/>
                <w:szCs w:val="24"/>
              </w:rPr>
              <w:t xml:space="preserve">ияние върху околната среда </w:t>
            </w:r>
          </w:p>
          <w:p w14:paraId="4722BEE0" w14:textId="739D5727" w:rsidR="001B5D36" w:rsidRDefault="00E55773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механизми за улавяне на СО2, повишаване на качеството на водата, намаляване на въздействието върху хидроморфологията</w:t>
            </w:r>
            <w:r w:rsidR="00746F89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6B0FF3" w:rsidRPr="00416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0FF3">
              <w:rPr>
                <w:rFonts w:ascii="Times New Roman" w:hAnsi="Times New Roman" w:cs="Times New Roman"/>
                <w:sz w:val="24"/>
                <w:szCs w:val="24"/>
              </w:rPr>
              <w:t xml:space="preserve">  - 20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017FD4" w14:textId="16B740E5" w:rsidR="00746F89" w:rsidRPr="001B5D36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Инвестиции в отглеждане на </w:t>
            </w:r>
            <w:r w:rsidRPr="00746F89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биологични аквакултури и на нискотрофични аквакултури, </w:t>
            </w:r>
            <w:r w:rsidR="00242032">
              <w:rPr>
                <w:rFonts w:ascii="Times New Roman" w:hAnsi="Times New Roman" w:cs="Times New Roman"/>
                <w:sz w:val="24"/>
                <w:szCs w:val="24"/>
              </w:rPr>
              <w:t>в това число</w:t>
            </w:r>
            <w:r w:rsidRPr="00242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1C" w:rsidRPr="00242032">
              <w:rPr>
                <w:rFonts w:ascii="Times New Roman" w:hAnsi="Times New Roman" w:cs="Times New Roman"/>
                <w:sz w:val="24"/>
                <w:szCs w:val="24"/>
              </w:rPr>
              <w:t>водорасли</w:t>
            </w:r>
            <w:r w:rsidRPr="00242032">
              <w:rPr>
                <w:rFonts w:ascii="Times New Roman" w:hAnsi="Times New Roman" w:cs="Times New Roman"/>
                <w:sz w:val="24"/>
                <w:szCs w:val="24"/>
              </w:rPr>
              <w:t xml:space="preserve"> и безгръбначни</w:t>
            </w:r>
            <w:r w:rsidR="00242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10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91A370" w14:textId="77777777" w:rsidR="001B5D36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5D36" w:rsidRPr="001B5D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630D" w:rsidRPr="004A630D">
              <w:rPr>
                <w:rFonts w:ascii="Times New Roman" w:hAnsi="Times New Roman" w:cs="Times New Roman"/>
                <w:sz w:val="24"/>
                <w:szCs w:val="24"/>
              </w:rPr>
              <w:t>Иновации в стопанството (нови продукти, услуги, процеси, бизнес модели или методи, патент</w:t>
            </w:r>
            <w:r w:rsidR="008656A2">
              <w:rPr>
                <w:rFonts w:ascii="Times New Roman" w:hAnsi="Times New Roman" w:cs="Times New Roman"/>
                <w:sz w:val="24"/>
                <w:szCs w:val="24"/>
              </w:rPr>
              <w:t>, полезен модел или ноу-хау) - 2</w:t>
            </w:r>
            <w:r w:rsidR="004A630D" w:rsidRPr="004A630D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EC55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537B4BD" w14:textId="0F415C1F" w:rsidR="00FC197B" w:rsidRDefault="00746F89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19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C197B" w:rsidRPr="00FC197B">
              <w:rPr>
                <w:rFonts w:ascii="Times New Roman" w:hAnsi="Times New Roman" w:cs="Times New Roman"/>
                <w:sz w:val="24"/>
                <w:szCs w:val="24"/>
              </w:rPr>
              <w:t xml:space="preserve">Провеждане на обучения за повишаване на знанията, уменията и изграждане на капацитет на заетите в предприятията (включително обучения в чужбина за обмен на опит) - </w:t>
            </w:r>
            <w:r w:rsidR="00865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197B" w:rsidRPr="00FC197B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65A06A" w14:textId="760F32AF" w:rsidR="00184FB4" w:rsidRDefault="00184FB4" w:rsidP="001C05E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Стопанства, попадащи в зони по НАТУРА 2000 – 10 т</w:t>
            </w:r>
            <w:r w:rsidR="00B31A34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49FBD0" w14:textId="66722DE9" w:rsidR="00184FB4" w:rsidRDefault="00184FB4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12.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Проектът се изпълнява в обект за производство на аквакултури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регистрация по чл. 25 от Закона за рибарството и аквакултурите за развъждане и отглеждане на риба и други водни организми за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над 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Pr="00C2712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години </w:t>
            </w:r>
            <w:r w:rsidRPr="00184FB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Pr="00C45A6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B31A3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 точки</w:t>
            </w:r>
            <w:r w:rsidR="00C45A6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A85CBD2" w14:textId="0C8FD478" w:rsidR="00C45A6C" w:rsidRDefault="00C45A6C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Проектът включва инвестиции за 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 xml:space="preserve">проследимост на продуктите от аквакултури чрез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дигитал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>изация на процеса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 точки</w:t>
            </w:r>
            <w:r w:rsidRPr="00AC4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6AD61" w14:textId="614BC055" w:rsidR="00C45A6C" w:rsidRPr="00B31A34" w:rsidRDefault="00C45A6C" w:rsidP="001C05EF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Проектът включва дейности по </w:t>
            </w:r>
            <w:r w:rsidRPr="00BB6A50">
              <w:rPr>
                <w:rFonts w:ascii="Times New Roman" w:hAnsi="Times New Roman" w:cs="Times New Roman"/>
                <w:sz w:val="24"/>
                <w:szCs w:val="24"/>
              </w:rPr>
              <w:t xml:space="preserve">диверсификация в производството на нови видове аквакултури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въвеждане на</w:t>
            </w:r>
            <w:r w:rsidRPr="00BB6A50">
              <w:rPr>
                <w:rFonts w:ascii="Times New Roman" w:hAnsi="Times New Roman" w:cs="Times New Roman"/>
                <w:sz w:val="24"/>
                <w:szCs w:val="24"/>
              </w:rPr>
              <w:t xml:space="preserve"> допълнителни към производството дейности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 точки.</w:t>
            </w:r>
          </w:p>
          <w:p w14:paraId="5301763D" w14:textId="77777777" w:rsidR="00C45A6C" w:rsidRPr="00C2712F" w:rsidRDefault="00C45A6C" w:rsidP="00C45A6C">
            <w:pPr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51D8136" w14:textId="64C57DCC" w:rsidR="00C27322" w:rsidRPr="00631A0D" w:rsidRDefault="00940351" w:rsidP="00C45A6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 брой точки – </w:t>
            </w:r>
            <w:r w:rsidR="00F275F4" w:rsidRPr="0053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5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7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D1D1FAD" w14:textId="3DB02123" w:rsidR="00631A0D" w:rsidRP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RPr="00631A0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6A4F3" w14:textId="77777777" w:rsidR="00607060" w:rsidRDefault="00607060" w:rsidP="001F5C4C">
      <w:pPr>
        <w:spacing w:after="0" w:line="240" w:lineRule="auto"/>
      </w:pPr>
      <w:r>
        <w:separator/>
      </w:r>
    </w:p>
  </w:endnote>
  <w:endnote w:type="continuationSeparator" w:id="0">
    <w:p w14:paraId="267C48EC" w14:textId="77777777" w:rsidR="00607060" w:rsidRDefault="00607060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DFAD" w14:textId="77777777" w:rsidR="00607060" w:rsidRDefault="00607060" w:rsidP="001F5C4C">
      <w:pPr>
        <w:spacing w:after="0" w:line="240" w:lineRule="auto"/>
      </w:pPr>
      <w:r>
        <w:separator/>
      </w:r>
    </w:p>
  </w:footnote>
  <w:footnote w:type="continuationSeparator" w:id="0">
    <w:p w14:paraId="6D88FC9D" w14:textId="77777777" w:rsidR="00607060" w:rsidRDefault="00607060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542A1"/>
    <w:rsid w:val="00054C59"/>
    <w:rsid w:val="000B26FB"/>
    <w:rsid w:val="000E0EA9"/>
    <w:rsid w:val="000E1E35"/>
    <w:rsid w:val="000F016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84FB4"/>
    <w:rsid w:val="00194285"/>
    <w:rsid w:val="001A556C"/>
    <w:rsid w:val="001B5D36"/>
    <w:rsid w:val="001C05EF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910FF"/>
    <w:rsid w:val="00292657"/>
    <w:rsid w:val="00293B44"/>
    <w:rsid w:val="002A21FE"/>
    <w:rsid w:val="002A4A49"/>
    <w:rsid w:val="002A6066"/>
    <w:rsid w:val="003264EB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B7251"/>
    <w:rsid w:val="003B7F74"/>
    <w:rsid w:val="003C4688"/>
    <w:rsid w:val="003E6940"/>
    <w:rsid w:val="003F7D4D"/>
    <w:rsid w:val="00416B70"/>
    <w:rsid w:val="00446588"/>
    <w:rsid w:val="004676E4"/>
    <w:rsid w:val="004679E6"/>
    <w:rsid w:val="004704F8"/>
    <w:rsid w:val="00486580"/>
    <w:rsid w:val="004A5FD9"/>
    <w:rsid w:val="004A630D"/>
    <w:rsid w:val="004B3A44"/>
    <w:rsid w:val="004D32F3"/>
    <w:rsid w:val="004D4DE1"/>
    <w:rsid w:val="004D540F"/>
    <w:rsid w:val="004E26EB"/>
    <w:rsid w:val="00502AE4"/>
    <w:rsid w:val="00522E84"/>
    <w:rsid w:val="005275A2"/>
    <w:rsid w:val="0053280C"/>
    <w:rsid w:val="005350ED"/>
    <w:rsid w:val="00540CA5"/>
    <w:rsid w:val="00543B25"/>
    <w:rsid w:val="005461E3"/>
    <w:rsid w:val="005513EE"/>
    <w:rsid w:val="00575057"/>
    <w:rsid w:val="00575F65"/>
    <w:rsid w:val="00584600"/>
    <w:rsid w:val="00585121"/>
    <w:rsid w:val="005C39F7"/>
    <w:rsid w:val="00607060"/>
    <w:rsid w:val="0061207F"/>
    <w:rsid w:val="00612597"/>
    <w:rsid w:val="00631A0D"/>
    <w:rsid w:val="00640215"/>
    <w:rsid w:val="006406D0"/>
    <w:rsid w:val="00646351"/>
    <w:rsid w:val="00674C5B"/>
    <w:rsid w:val="006771DE"/>
    <w:rsid w:val="00680ACC"/>
    <w:rsid w:val="006B0FF3"/>
    <w:rsid w:val="006B2782"/>
    <w:rsid w:val="006B3753"/>
    <w:rsid w:val="00720BD5"/>
    <w:rsid w:val="00733AE1"/>
    <w:rsid w:val="0073462B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96712"/>
    <w:rsid w:val="007D0DEE"/>
    <w:rsid w:val="007D3CB5"/>
    <w:rsid w:val="007D7202"/>
    <w:rsid w:val="007D7738"/>
    <w:rsid w:val="007E6E8C"/>
    <w:rsid w:val="007F031E"/>
    <w:rsid w:val="007F6CE3"/>
    <w:rsid w:val="00815552"/>
    <w:rsid w:val="00820063"/>
    <w:rsid w:val="008214E4"/>
    <w:rsid w:val="00823C96"/>
    <w:rsid w:val="008462D1"/>
    <w:rsid w:val="00852A0D"/>
    <w:rsid w:val="0085513D"/>
    <w:rsid w:val="00862046"/>
    <w:rsid w:val="008656A2"/>
    <w:rsid w:val="008658AA"/>
    <w:rsid w:val="0086660E"/>
    <w:rsid w:val="00892E45"/>
    <w:rsid w:val="00893340"/>
    <w:rsid w:val="00895EB9"/>
    <w:rsid w:val="008A1529"/>
    <w:rsid w:val="008D192E"/>
    <w:rsid w:val="008D2474"/>
    <w:rsid w:val="008E3F6F"/>
    <w:rsid w:val="008E6D81"/>
    <w:rsid w:val="00913EDF"/>
    <w:rsid w:val="00940351"/>
    <w:rsid w:val="009451EC"/>
    <w:rsid w:val="00961A08"/>
    <w:rsid w:val="00971436"/>
    <w:rsid w:val="009766A6"/>
    <w:rsid w:val="009816B5"/>
    <w:rsid w:val="00985B8B"/>
    <w:rsid w:val="009866DF"/>
    <w:rsid w:val="009A3241"/>
    <w:rsid w:val="009E23D1"/>
    <w:rsid w:val="00A12364"/>
    <w:rsid w:val="00A24B26"/>
    <w:rsid w:val="00A25632"/>
    <w:rsid w:val="00A343EB"/>
    <w:rsid w:val="00A76A3E"/>
    <w:rsid w:val="00A84F9E"/>
    <w:rsid w:val="00A91B1C"/>
    <w:rsid w:val="00AB6D68"/>
    <w:rsid w:val="00AF15B9"/>
    <w:rsid w:val="00B15E86"/>
    <w:rsid w:val="00B27831"/>
    <w:rsid w:val="00B31A34"/>
    <w:rsid w:val="00B4039C"/>
    <w:rsid w:val="00B71744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754D1"/>
    <w:rsid w:val="00C87467"/>
    <w:rsid w:val="00C95AB8"/>
    <w:rsid w:val="00CC17E4"/>
    <w:rsid w:val="00CC2E5E"/>
    <w:rsid w:val="00CE65BD"/>
    <w:rsid w:val="00D023F7"/>
    <w:rsid w:val="00D0722E"/>
    <w:rsid w:val="00D2101A"/>
    <w:rsid w:val="00D27A72"/>
    <w:rsid w:val="00D555BC"/>
    <w:rsid w:val="00D625F2"/>
    <w:rsid w:val="00D65349"/>
    <w:rsid w:val="00D80B24"/>
    <w:rsid w:val="00D8407A"/>
    <w:rsid w:val="00DB3FB9"/>
    <w:rsid w:val="00DD349E"/>
    <w:rsid w:val="00DD447A"/>
    <w:rsid w:val="00DD7698"/>
    <w:rsid w:val="00E27707"/>
    <w:rsid w:val="00E55773"/>
    <w:rsid w:val="00E77314"/>
    <w:rsid w:val="00E92B29"/>
    <w:rsid w:val="00EA2B2B"/>
    <w:rsid w:val="00EB1C51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2146C"/>
    <w:rsid w:val="00F273C3"/>
    <w:rsid w:val="00F275F4"/>
    <w:rsid w:val="00F66680"/>
    <w:rsid w:val="00F6673C"/>
    <w:rsid w:val="00F9491F"/>
    <w:rsid w:val="00FA2DE4"/>
    <w:rsid w:val="00FA40BD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07BABAF"/>
  <w15:docId w15:val="{B241AC58-A4B0-44A9-AFFA-C2DA20C8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94</cp:revision>
  <cp:lastPrinted>2025-02-27T13:48:00Z</cp:lastPrinted>
  <dcterms:created xsi:type="dcterms:W3CDTF">2023-01-31T09:57:00Z</dcterms:created>
  <dcterms:modified xsi:type="dcterms:W3CDTF">2025-03-20T09:06:00Z</dcterms:modified>
</cp:coreProperties>
</file>