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37" w:rsidRDefault="00EB1B37" w:rsidP="00D97F8A">
      <w:pPr>
        <w:spacing w:line="276" w:lineRule="auto"/>
        <w:jc w:val="center"/>
        <w:rPr>
          <w:b/>
          <w:lang w:val="bg-BG"/>
        </w:rPr>
      </w:pPr>
    </w:p>
    <w:p w:rsidR="00D97F8A" w:rsidRDefault="005F44E0" w:rsidP="00D97F8A">
      <w:pPr>
        <w:spacing w:line="276" w:lineRule="auto"/>
        <w:jc w:val="center"/>
        <w:rPr>
          <w:b/>
          <w:lang w:val="bg-BG"/>
        </w:rPr>
      </w:pPr>
      <w:r w:rsidRPr="005F44E0">
        <w:rPr>
          <w:b/>
          <w:lang w:val="bg-BG"/>
        </w:rPr>
        <w:t xml:space="preserve">СПИСЪК НА ПРОЕКТНИТЕ ПРЕДЛОЖЕНИЯ, КОИТО НЕ СЕ ДОПУСКАТ ДО </w:t>
      </w:r>
      <w:r w:rsidR="00D97F8A" w:rsidRPr="005F44E0">
        <w:rPr>
          <w:b/>
          <w:lang w:val="bg-BG"/>
        </w:rPr>
        <w:t>ТЕХНИЧЕСКА И ФИНАНСОВА ОЦЕНКА</w:t>
      </w:r>
      <w:r w:rsidR="00D97F8A">
        <w:rPr>
          <w:b/>
          <w:lang w:val="bg-BG"/>
        </w:rPr>
        <w:t xml:space="preserve"> </w:t>
      </w:r>
      <w:r w:rsidR="00D97F8A" w:rsidRPr="00CC762D">
        <w:rPr>
          <w:b/>
          <w:lang w:val="bg-BG"/>
        </w:rPr>
        <w:t xml:space="preserve">ПО </w:t>
      </w:r>
      <w:r w:rsidR="00D97F8A">
        <w:rPr>
          <w:b/>
          <w:lang w:val="bg-BG"/>
        </w:rPr>
        <w:t xml:space="preserve">ПРОЦЕДУРА </w:t>
      </w:r>
      <w:r w:rsidR="00D97F8A" w:rsidRPr="00CC762D">
        <w:rPr>
          <w:b/>
          <w:lang w:val="bg-BG"/>
        </w:rPr>
        <w:t>ЗА ПРЕДОСТАВЯНЕ НА БЕЗВЪЗМ</w:t>
      </w:r>
      <w:r w:rsidR="00D97F8A">
        <w:rPr>
          <w:b/>
          <w:lang w:val="bg-BG"/>
        </w:rPr>
        <w:t>Е</w:t>
      </w:r>
      <w:r w:rsidR="00D97F8A" w:rsidRPr="00CC762D">
        <w:rPr>
          <w:b/>
          <w:lang w:val="bg-BG"/>
        </w:rPr>
        <w:t>ЗДНА ФИНАНСОВА ПОМОЩ</w:t>
      </w:r>
      <w:r w:rsidR="00F8225D">
        <w:rPr>
          <w:b/>
          <w:lang w:val="en-US"/>
        </w:rPr>
        <w:t xml:space="preserve"> </w:t>
      </w:r>
      <w:r w:rsidR="007F66E4" w:rsidRPr="007F66E4">
        <w:rPr>
          <w:b/>
          <w:lang w:val="bg-BG"/>
        </w:rPr>
        <w:t>№ BG14MFPR001-1.006 „ПОДКРЕПА ЗА ПОДОБРЯВАНЕ НА ИКОНОМИЧЕСКИЯ И СОЦИАЛНИЯ СТАТУС НА ОПЕРАТОРИТЕ В РИБОЛОВА“</w:t>
      </w:r>
      <w:r w:rsidR="007F66E4">
        <w:rPr>
          <w:b/>
          <w:lang w:val="bg-BG"/>
        </w:rPr>
        <w:t xml:space="preserve"> </w:t>
      </w:r>
      <w:r w:rsidR="00D97F8A" w:rsidRPr="00D97F8A">
        <w:rPr>
          <w:b/>
          <w:lang w:val="bg-BG"/>
        </w:rPr>
        <w:t>ПО ПРОГРАМАТА ЗА МОРСКО ДЕЛО, РИБАРСТВО И АКВАКУЛТУРИ 2021-2027 (ПМДРА)</w:t>
      </w:r>
    </w:p>
    <w:p w:rsidR="00EB1B37" w:rsidRDefault="00EB1B37" w:rsidP="00D97F8A">
      <w:pPr>
        <w:spacing w:line="276" w:lineRule="auto"/>
        <w:jc w:val="center"/>
        <w:rPr>
          <w:b/>
          <w:lang w:val="bg-BG"/>
        </w:rPr>
      </w:pPr>
    </w:p>
    <w:p w:rsidR="00877A5F" w:rsidRDefault="00877A5F" w:rsidP="00A940B8">
      <w:pPr>
        <w:jc w:val="center"/>
        <w:rPr>
          <w:b/>
          <w:lang w:val="bg-BG"/>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015"/>
        <w:gridCol w:w="2268"/>
        <w:gridCol w:w="2551"/>
        <w:gridCol w:w="7229"/>
      </w:tblGrid>
      <w:tr w:rsidR="00091A0B" w:rsidRPr="006B2ABC" w:rsidTr="005C2D40">
        <w:tc>
          <w:tcPr>
            <w:tcW w:w="674" w:type="dxa"/>
            <w:shd w:val="clear" w:color="auto" w:fill="auto"/>
          </w:tcPr>
          <w:p w:rsidR="00091A0B" w:rsidRPr="005D311A" w:rsidRDefault="00091A0B" w:rsidP="00E76FC7">
            <w:pPr>
              <w:jc w:val="center"/>
              <w:rPr>
                <w:b/>
                <w:sz w:val="20"/>
                <w:szCs w:val="20"/>
                <w:lang w:val="bg-BG"/>
              </w:rPr>
            </w:pPr>
            <w:r w:rsidRPr="005D311A">
              <w:rPr>
                <w:b/>
                <w:sz w:val="20"/>
                <w:szCs w:val="20"/>
                <w:lang w:val="bg-BG"/>
              </w:rPr>
              <w:t>№</w:t>
            </w:r>
          </w:p>
        </w:tc>
        <w:tc>
          <w:tcPr>
            <w:tcW w:w="2015" w:type="dxa"/>
            <w:shd w:val="clear" w:color="auto" w:fill="auto"/>
          </w:tcPr>
          <w:p w:rsidR="00091A0B" w:rsidRPr="005D311A" w:rsidRDefault="004A41E4" w:rsidP="004A41E4">
            <w:pPr>
              <w:jc w:val="center"/>
              <w:rPr>
                <w:b/>
                <w:sz w:val="20"/>
                <w:szCs w:val="20"/>
                <w:lang w:val="bg-BG"/>
              </w:rPr>
            </w:pPr>
            <w:r w:rsidRPr="005D311A">
              <w:rPr>
                <w:b/>
                <w:sz w:val="20"/>
                <w:szCs w:val="20"/>
                <w:lang w:val="bg-BG"/>
              </w:rPr>
              <w:t>Рег. № на п</w:t>
            </w:r>
            <w:r w:rsidR="00091A0B" w:rsidRPr="005D311A">
              <w:rPr>
                <w:b/>
                <w:sz w:val="20"/>
                <w:szCs w:val="20"/>
                <w:lang w:val="bg-BG"/>
              </w:rPr>
              <w:t>роектно</w:t>
            </w:r>
            <w:r w:rsidRPr="005D311A">
              <w:rPr>
                <w:b/>
                <w:sz w:val="20"/>
                <w:szCs w:val="20"/>
                <w:lang w:val="bg-BG"/>
              </w:rPr>
              <w:t>то</w:t>
            </w:r>
            <w:r w:rsidR="00091A0B" w:rsidRPr="005D311A">
              <w:rPr>
                <w:b/>
                <w:sz w:val="20"/>
                <w:szCs w:val="20"/>
                <w:lang w:val="bg-BG"/>
              </w:rPr>
              <w:t xml:space="preserve"> предложение </w:t>
            </w:r>
          </w:p>
        </w:tc>
        <w:tc>
          <w:tcPr>
            <w:tcW w:w="2268"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кандидата</w:t>
            </w:r>
          </w:p>
        </w:tc>
        <w:tc>
          <w:tcPr>
            <w:tcW w:w="2551" w:type="dxa"/>
            <w:shd w:val="clear" w:color="auto" w:fill="auto"/>
          </w:tcPr>
          <w:p w:rsidR="00091A0B" w:rsidRPr="005D311A" w:rsidRDefault="00992D76" w:rsidP="00E76FC7">
            <w:pPr>
              <w:jc w:val="center"/>
              <w:rPr>
                <w:b/>
                <w:sz w:val="20"/>
                <w:szCs w:val="20"/>
                <w:lang w:val="bg-BG"/>
              </w:rPr>
            </w:pPr>
            <w:r w:rsidRPr="005D311A">
              <w:rPr>
                <w:b/>
                <w:sz w:val="20"/>
                <w:szCs w:val="20"/>
                <w:lang w:val="bg-BG"/>
              </w:rPr>
              <w:t>Наименование на проектното предложение</w:t>
            </w:r>
          </w:p>
        </w:tc>
        <w:tc>
          <w:tcPr>
            <w:tcW w:w="7229" w:type="dxa"/>
            <w:shd w:val="clear" w:color="auto" w:fill="auto"/>
          </w:tcPr>
          <w:p w:rsidR="00091A0B" w:rsidRPr="005D311A" w:rsidRDefault="002D157D" w:rsidP="00E76FC7">
            <w:pPr>
              <w:jc w:val="center"/>
              <w:rPr>
                <w:b/>
                <w:sz w:val="20"/>
                <w:szCs w:val="20"/>
                <w:lang w:val="bg-BG"/>
              </w:rPr>
            </w:pPr>
            <w:r w:rsidRPr="005D311A">
              <w:rPr>
                <w:b/>
                <w:sz w:val="20"/>
                <w:szCs w:val="20"/>
                <w:lang w:val="bg-BG"/>
              </w:rPr>
              <w:t>Основание за отхвър</w:t>
            </w:r>
            <w:r w:rsidR="00992D76" w:rsidRPr="005D311A">
              <w:rPr>
                <w:b/>
                <w:sz w:val="20"/>
                <w:szCs w:val="20"/>
                <w:lang w:val="bg-BG"/>
              </w:rPr>
              <w:t>ляне</w:t>
            </w:r>
          </w:p>
          <w:p w:rsidR="00331586" w:rsidRPr="00877A5F" w:rsidRDefault="00331586" w:rsidP="00E76FC7">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7F66E4" w:rsidRPr="00E76FC7" w:rsidTr="005C2D40">
        <w:tc>
          <w:tcPr>
            <w:tcW w:w="674" w:type="dxa"/>
            <w:shd w:val="clear" w:color="auto" w:fill="auto"/>
          </w:tcPr>
          <w:p w:rsidR="007F66E4" w:rsidRPr="00E76FC7" w:rsidRDefault="007F66E4" w:rsidP="007F66E4">
            <w:pPr>
              <w:jc w:val="center"/>
              <w:rPr>
                <w:b/>
                <w:lang w:val="bg-BG"/>
              </w:rPr>
            </w:pPr>
            <w:r w:rsidRPr="00E76FC7">
              <w:rPr>
                <w:b/>
                <w:lang w:val="bg-BG"/>
              </w:rPr>
              <w:t>1.</w:t>
            </w:r>
          </w:p>
        </w:tc>
        <w:tc>
          <w:tcPr>
            <w:tcW w:w="2015" w:type="dxa"/>
            <w:shd w:val="clear" w:color="auto" w:fill="auto"/>
          </w:tcPr>
          <w:p w:rsidR="007F66E4" w:rsidRPr="00E76FC7" w:rsidRDefault="007F66E4" w:rsidP="007F66E4">
            <w:pPr>
              <w:jc w:val="center"/>
              <w:rPr>
                <w:b/>
                <w:lang w:val="bg-BG"/>
              </w:rPr>
            </w:pPr>
            <w:r w:rsidRPr="007F66E4">
              <w:rPr>
                <w:b/>
                <w:lang w:val="bg-BG"/>
              </w:rPr>
              <w:t>BG14MFPR001-1.006-0001</w:t>
            </w:r>
          </w:p>
        </w:tc>
        <w:tc>
          <w:tcPr>
            <w:tcW w:w="2268" w:type="dxa"/>
            <w:shd w:val="clear" w:color="auto" w:fill="auto"/>
          </w:tcPr>
          <w:p w:rsidR="007F66E4" w:rsidRPr="00E76FC7" w:rsidRDefault="007F66E4" w:rsidP="007F66E4">
            <w:pPr>
              <w:jc w:val="center"/>
              <w:rPr>
                <w:b/>
                <w:lang w:val="bg-BG"/>
              </w:rPr>
            </w:pPr>
            <w:r>
              <w:rPr>
                <w:b/>
                <w:lang w:val="bg-BG"/>
              </w:rPr>
              <w:t xml:space="preserve">„НОРДИБГ“ </w:t>
            </w:r>
            <w:r w:rsidRPr="007F66E4">
              <w:rPr>
                <w:b/>
                <w:lang w:val="bg-BG"/>
              </w:rPr>
              <w:t>ЕООД</w:t>
            </w:r>
          </w:p>
        </w:tc>
        <w:tc>
          <w:tcPr>
            <w:tcW w:w="2551" w:type="dxa"/>
            <w:shd w:val="clear" w:color="auto" w:fill="auto"/>
          </w:tcPr>
          <w:p w:rsidR="007F66E4" w:rsidRPr="00E76FC7" w:rsidRDefault="007F66E4" w:rsidP="007F66E4">
            <w:pPr>
              <w:jc w:val="center"/>
              <w:rPr>
                <w:b/>
                <w:lang w:val="bg-BG"/>
              </w:rPr>
            </w:pPr>
            <w:r>
              <w:rPr>
                <w:b/>
                <w:lang w:val="bg-BG"/>
              </w:rPr>
              <w:t>„</w:t>
            </w:r>
            <w:r w:rsidRPr="007F66E4">
              <w:rPr>
                <w:b/>
                <w:lang w:val="bg-BG"/>
              </w:rPr>
              <w:t xml:space="preserve">Диверсификация на риболовните дейности, чрез включване на алтернативни икономически инициативи – </w:t>
            </w:r>
            <w:proofErr w:type="spellStart"/>
            <w:r w:rsidRPr="007F66E4">
              <w:rPr>
                <w:b/>
                <w:lang w:val="bg-BG"/>
              </w:rPr>
              <w:t>пескатуризъм</w:t>
            </w:r>
            <w:proofErr w:type="spellEnd"/>
            <w:r w:rsidRPr="007F66E4">
              <w:rPr>
                <w:b/>
                <w:lang w:val="bg-BG"/>
              </w:rPr>
              <w:t xml:space="preserve"> и свързани транспортни услуги</w:t>
            </w:r>
            <w:r w:rsidRPr="00F21616">
              <w:rPr>
                <w:b/>
                <w:lang w:val="bg-BG"/>
              </w:rPr>
              <w:t>“</w:t>
            </w:r>
          </w:p>
        </w:tc>
        <w:tc>
          <w:tcPr>
            <w:tcW w:w="7229" w:type="dxa"/>
            <w:shd w:val="clear" w:color="auto" w:fill="auto"/>
          </w:tcPr>
          <w:p w:rsidR="007F66E4" w:rsidRPr="007F66E4" w:rsidRDefault="007F66E4" w:rsidP="00ED150D">
            <w:pPr>
              <w:jc w:val="both"/>
              <w:rPr>
                <w:rFonts w:eastAsia="Calibri"/>
                <w:lang w:val="bg-BG"/>
              </w:rPr>
            </w:pPr>
            <w:r w:rsidRPr="007F66E4">
              <w:rPr>
                <w:rFonts w:eastAsia="Calibri"/>
                <w:lang w:val="bg-BG"/>
              </w:rPr>
              <w:t xml:space="preserve">След извършване на оценка за административно съответствие и допустимост на проектно предложение № BG14MFPR001-1.006-0001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е установено следното: </w:t>
            </w:r>
          </w:p>
          <w:p w:rsidR="007F66E4" w:rsidRPr="007F66E4" w:rsidRDefault="007F66E4" w:rsidP="00ED150D">
            <w:pPr>
              <w:jc w:val="both"/>
              <w:rPr>
                <w:rFonts w:eastAsia="Calibri"/>
                <w:lang w:val="bg-BG"/>
              </w:rPr>
            </w:pPr>
            <w:r w:rsidRPr="007F66E4">
              <w:rPr>
                <w:rFonts w:eastAsia="Calibri"/>
                <w:lang w:val="bg-BG"/>
              </w:rPr>
              <w:t xml:space="preserve">Проектното предложение не отговаря на Критерий № 7: „Предвидените разходи в проектното предложение са допустими съгласно изискванията в т. 14 от Условия за кандидатстване по </w:t>
            </w:r>
            <w:r w:rsidRPr="007F66E4">
              <w:rPr>
                <w:rFonts w:eastAsia="Calibri"/>
                <w:lang w:val="bg-BG"/>
              </w:rPr>
              <w:lastRenderedPageBreak/>
              <w:t>настоящата процедура. В случай на наличие на недопустими разходи същите са установени и редуцирани.“</w:t>
            </w:r>
          </w:p>
          <w:p w:rsidR="00ED150D" w:rsidRDefault="00ED150D"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След извършена оценка за съответствието на заявените от кандидата разходи, е констатирано следното:</w:t>
            </w:r>
          </w:p>
          <w:p w:rsidR="00ED150D" w:rsidRDefault="00ED150D"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Кандидатът „</w:t>
            </w:r>
            <w:proofErr w:type="spellStart"/>
            <w:r w:rsidRPr="007F66E4">
              <w:rPr>
                <w:rFonts w:eastAsia="Calibri"/>
                <w:lang w:val="bg-BG"/>
              </w:rPr>
              <w:t>Норди</w:t>
            </w:r>
            <w:proofErr w:type="spellEnd"/>
            <w:r w:rsidRPr="007F66E4">
              <w:rPr>
                <w:rFonts w:eastAsia="Calibri"/>
                <w:lang w:val="bg-BG"/>
              </w:rPr>
              <w:t xml:space="preserve"> БГ“ ЕООД с проектно предложение с № BG14MFPR001-1.006-0001 с наименование „Диверсификация на риболовните дейности, чрез включване на алтернативни икономически инициативи – </w:t>
            </w:r>
            <w:proofErr w:type="spellStart"/>
            <w:r w:rsidRPr="007F66E4">
              <w:rPr>
                <w:rFonts w:eastAsia="Calibri"/>
                <w:lang w:val="bg-BG"/>
              </w:rPr>
              <w:t>пескатуризъм</w:t>
            </w:r>
            <w:proofErr w:type="spellEnd"/>
            <w:r w:rsidRPr="007F66E4">
              <w:rPr>
                <w:rFonts w:eastAsia="Calibri"/>
                <w:lang w:val="bg-BG"/>
              </w:rPr>
              <w:t xml:space="preserve"> и свързани транспортни услуги“, по процедура BG14MFPR001-1.006 „Подкрепа за подобряване на икономическия и социалния статус на операторите в риболова”, дейност „Преработване на продуктите от риболов и </w:t>
            </w:r>
            <w:proofErr w:type="spellStart"/>
            <w:r w:rsidRPr="007F66E4">
              <w:rPr>
                <w:rFonts w:eastAsia="Calibri"/>
                <w:lang w:val="bg-BG"/>
              </w:rPr>
              <w:t>аквакултури</w:t>
            </w:r>
            <w:proofErr w:type="spellEnd"/>
            <w:r w:rsidRPr="007F66E4">
              <w:rPr>
                <w:rFonts w:eastAsia="Calibri"/>
                <w:lang w:val="bg-BG"/>
              </w:rPr>
              <w:t xml:space="preserve">” кандидатства за закупуване на туристическа лодка за </w:t>
            </w:r>
            <w:proofErr w:type="spellStart"/>
            <w:r w:rsidRPr="007F66E4">
              <w:rPr>
                <w:rFonts w:eastAsia="Calibri"/>
                <w:lang w:val="bg-BG"/>
              </w:rPr>
              <w:t>пескатуризъм</w:t>
            </w:r>
            <w:proofErr w:type="spellEnd"/>
            <w:r w:rsidRPr="007F66E4">
              <w:rPr>
                <w:rFonts w:eastAsia="Calibri"/>
                <w:lang w:val="bg-BG"/>
              </w:rPr>
              <w:t xml:space="preserve"> и Микробус – „</w:t>
            </w:r>
            <w:proofErr w:type="spellStart"/>
            <w:r w:rsidRPr="007F66E4">
              <w:rPr>
                <w:rFonts w:eastAsia="Calibri"/>
                <w:lang w:val="bg-BG"/>
              </w:rPr>
              <w:t>шатъл</w:t>
            </w:r>
            <w:proofErr w:type="spellEnd"/>
            <w:r w:rsidRPr="007F66E4">
              <w:rPr>
                <w:rFonts w:eastAsia="Calibri"/>
                <w:lang w:val="bg-BG"/>
              </w:rPr>
              <w:t xml:space="preserve">“ (трансфер) за транспорт  на туристи на обща стойност 381 018.89 лева. С подаденото проектно предложение не са заявени за подпомагане други разходи. </w:t>
            </w:r>
          </w:p>
          <w:p w:rsidR="007F66E4" w:rsidRPr="007F66E4" w:rsidRDefault="007F66E4" w:rsidP="00ED150D">
            <w:pPr>
              <w:jc w:val="both"/>
              <w:rPr>
                <w:rFonts w:eastAsia="Calibri"/>
                <w:lang w:val="bg-BG"/>
              </w:rPr>
            </w:pPr>
            <w:r w:rsidRPr="007F66E4">
              <w:rPr>
                <w:rFonts w:eastAsia="Calibri"/>
                <w:lang w:val="bg-BG"/>
              </w:rPr>
              <w:t xml:space="preserve">При преглед на заявения бюджет в раздел 7 Бюджет в ИСУН се установи, </w:t>
            </w:r>
            <w:r w:rsidR="001A3EC8">
              <w:rPr>
                <w:rFonts w:eastAsia="Calibri"/>
                <w:lang w:val="bg-BG"/>
              </w:rPr>
              <w:t>че кандидатът е отнесъл горепосо</w:t>
            </w:r>
            <w:r w:rsidRPr="007F66E4">
              <w:rPr>
                <w:rFonts w:eastAsia="Calibri"/>
                <w:lang w:val="bg-BG"/>
              </w:rPr>
              <w:t>ч</w:t>
            </w:r>
            <w:r w:rsidR="001A3EC8">
              <w:rPr>
                <w:rFonts w:eastAsia="Calibri"/>
                <w:lang w:val="bg-BG"/>
              </w:rPr>
              <w:t>ените</w:t>
            </w:r>
            <w:r w:rsidRPr="007F66E4">
              <w:rPr>
                <w:rFonts w:eastAsia="Calibri"/>
                <w:lang w:val="bg-BG"/>
              </w:rPr>
              <w:t xml:space="preserve"> разходи в раздел II. РАЗХОДИ ЗА МАТЕРИАЛНИ АКТИВИ, т. 14. разходи за оборудване на борда за извършване на развлекателни туристически </w:t>
            </w:r>
            <w:r w:rsidRPr="007F66E4">
              <w:rPr>
                <w:rFonts w:eastAsia="Calibri"/>
                <w:lang w:val="bg-BG"/>
              </w:rPr>
              <w:lastRenderedPageBreak/>
              <w:t xml:space="preserve">услуги, транспортни услуги, и </w:t>
            </w:r>
            <w:proofErr w:type="spellStart"/>
            <w:r w:rsidRPr="007F66E4">
              <w:rPr>
                <w:rFonts w:eastAsia="Calibri"/>
                <w:lang w:val="bg-BG"/>
              </w:rPr>
              <w:t>пескатуризъм</w:t>
            </w:r>
            <w:proofErr w:type="spellEnd"/>
            <w:r w:rsidRPr="007F66E4">
              <w:rPr>
                <w:rFonts w:eastAsia="Calibri"/>
                <w:lang w:val="bg-BG"/>
              </w:rPr>
              <w:t xml:space="preserve">, включително екипировка и допълнителна индивидуална защита за безопасност на пътниците. </w:t>
            </w:r>
          </w:p>
          <w:p w:rsidR="007F66E4" w:rsidRPr="007F66E4" w:rsidRDefault="007F66E4" w:rsidP="00ED150D">
            <w:pPr>
              <w:jc w:val="both"/>
              <w:rPr>
                <w:rFonts w:eastAsia="Calibri"/>
                <w:lang w:val="bg-BG"/>
              </w:rPr>
            </w:pPr>
            <w:r w:rsidRPr="007F66E4">
              <w:rPr>
                <w:rFonts w:eastAsia="Calibri"/>
                <w:lang w:val="bg-BG"/>
              </w:rPr>
              <w:t>Съгласно т. 14.1.3. от УК: „Допустими за финансиране разходи по настоящата процедура:</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14.1.3.1. строително-монтажни работи, включително и разходи за независим строителен надзор; </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14.1.3.2. закупуване на нови машини и оборудване (вкл. компютърно), съоръжения и др. пряко свързани с предвидената инвестиция, вкл. разходи за осъществяване на доставката инсталиране, изпитване и въвеждане в експлоатация на оборудването, машините, съоръженията, вкл. придобити чрез финансов лизинг;</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14.1.3.3. закупуване на </w:t>
            </w:r>
            <w:proofErr w:type="spellStart"/>
            <w:r w:rsidRPr="007F66E4">
              <w:rPr>
                <w:rFonts w:eastAsia="Calibri"/>
                <w:lang w:val="bg-BG"/>
              </w:rPr>
              <w:t>ледогенератори</w:t>
            </w:r>
            <w:proofErr w:type="spellEnd"/>
            <w:r w:rsidRPr="007F66E4">
              <w:rPr>
                <w:rFonts w:eastAsia="Calibri"/>
                <w:lang w:val="bg-BG"/>
              </w:rPr>
              <w:t>, хладилни камери и други видове техника за охлаждане;</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14.1.3.4. оборудване на център за първа продажба на продукти от риболов, регистриран по чл. 46а от Закона за рибарството и </w:t>
            </w:r>
            <w:proofErr w:type="spellStart"/>
            <w:r w:rsidRPr="007F66E4">
              <w:rPr>
                <w:rFonts w:eastAsia="Calibri"/>
                <w:lang w:val="bg-BG"/>
              </w:rPr>
              <w:t>аквакултурите</w:t>
            </w:r>
            <w:proofErr w:type="spellEnd"/>
            <w:r w:rsidRPr="007F66E4">
              <w:rPr>
                <w:rFonts w:eastAsia="Calibri"/>
                <w:lang w:val="bg-BG"/>
              </w:rPr>
              <w:t xml:space="preserve">. Оборудването трябва да обслужва дейности по разтоварване, преработка и/или обработка, съхранение, продажба и да отговаря на изискванията на Наредба  № 13 от 30.11.2021 г. за условията и реда за осъществяване на първа </w:t>
            </w:r>
            <w:r w:rsidRPr="007F66E4">
              <w:rPr>
                <w:rFonts w:eastAsia="Calibri"/>
                <w:lang w:val="bg-BG"/>
              </w:rPr>
              <w:lastRenderedPageBreak/>
              <w:t>продажба на продукти от риболов  вкл. специализирани съдове за съхранение на улова, позволяващи проследяемост и идентификация;</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14.1.3.5. оборудване и обзавеждане на обекти за обществено хранене;  </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14.1.3.6. разходи за предотвратяване, намаляване и/или оползотворяване на нежелания улов;</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14.1.3.7. закупуване на специализирана техника и оборудване на борда на риболовния кораб, пряко свързани с преработката и/или обработката на улова (машини за изкормване, оборудване за сортиране на борда на риболовния кораб, оборудване и контейнери за съхранение на жива риба, системи за обработка на риба и конвейери, оборудване за пакетиране и съхранение, изолирани контейнери за съхранение и др.);</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14.1.3.8. закупуване на специализирани транспортни средства за превоз на риба и/или други водни организми, съгласно чл. 50, ал. 1 от ЗРА, пряко свързани с предлагането на пазара и пряка продажба на собствен улов; - съгласно Приложение № 22.</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14.1.3.9. разходи за иновативни инвестиции на борда на корабите, които водят до нови или подобрени продукти, нови или подобрени процеси или нови или подобрени управленски и организационни системи за оператора;</w:t>
            </w:r>
          </w:p>
          <w:p w:rsidR="007F66E4" w:rsidRPr="007F66E4" w:rsidRDefault="007F66E4" w:rsidP="00ED150D">
            <w:pPr>
              <w:jc w:val="both"/>
              <w:rPr>
                <w:rFonts w:eastAsia="Calibri"/>
                <w:lang w:val="bg-BG"/>
              </w:rPr>
            </w:pPr>
            <w:r w:rsidRPr="007F66E4">
              <w:rPr>
                <w:rFonts w:eastAsia="Calibri"/>
                <w:lang w:val="bg-BG"/>
              </w:rPr>
              <w:lastRenderedPageBreak/>
              <w:t>•</w:t>
            </w:r>
            <w:r w:rsidRPr="007F66E4">
              <w:rPr>
                <w:rFonts w:eastAsia="Calibri"/>
                <w:lang w:val="bg-BG"/>
              </w:rPr>
              <w:tab/>
              <w:t xml:space="preserve">14.1.3.10. разходи за оборудване на борда за извършване на развлекателни туристически услуги, транспортни услуги, и </w:t>
            </w:r>
            <w:proofErr w:type="spellStart"/>
            <w:r w:rsidRPr="007F66E4">
              <w:rPr>
                <w:rFonts w:eastAsia="Calibri"/>
                <w:lang w:val="bg-BG"/>
              </w:rPr>
              <w:t>пескатуризъм</w:t>
            </w:r>
            <w:proofErr w:type="spellEnd"/>
            <w:r w:rsidRPr="007F66E4">
              <w:rPr>
                <w:rFonts w:eastAsia="Calibri"/>
                <w:lang w:val="bg-BG"/>
              </w:rPr>
              <w:t>, включително екипировка и допълнителна индивидуална защита за безопасност на пътниците</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14.1.3.11. разходи за маркетингови дейности за разработване на  пазарна ниша;</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14.1.3.12. обновяване/ремонт/подмяна на корпуса и набора (скелета) на кораба изработени от различни материали (метали, стъклопласти, пластмаси, дърво, композитни материали и др.), палубите и надстройките, платформи, вътрешно дъно, надлъжни и напречни водонепроницаеми прегради, шахти, подмяна на </w:t>
            </w:r>
            <w:proofErr w:type="spellStart"/>
            <w:r w:rsidRPr="007F66E4">
              <w:rPr>
                <w:rFonts w:eastAsia="Calibri"/>
                <w:lang w:val="bg-BG"/>
              </w:rPr>
              <w:t>фалшборд</w:t>
            </w:r>
            <w:proofErr w:type="spellEnd"/>
            <w:r w:rsidRPr="007F66E4">
              <w:rPr>
                <w:rFonts w:eastAsia="Calibri"/>
                <w:lang w:val="bg-BG"/>
              </w:rPr>
              <w:t xml:space="preserve">, </w:t>
            </w:r>
            <w:proofErr w:type="spellStart"/>
            <w:r w:rsidRPr="007F66E4">
              <w:rPr>
                <w:rFonts w:eastAsia="Calibri"/>
                <w:lang w:val="bg-BG"/>
              </w:rPr>
              <w:t>бластиране</w:t>
            </w:r>
            <w:proofErr w:type="spellEnd"/>
            <w:r w:rsidRPr="007F66E4">
              <w:rPr>
                <w:rFonts w:eastAsia="Calibri"/>
                <w:lang w:val="bg-BG"/>
              </w:rPr>
              <w:t xml:space="preserve"> и пребоядисване на корпуса и др. (чрез подмяна и/или дублаж), включително обновяване/ремонт/подмяна на вътрешни конструкции на надстройките, врати и прозорци, стълби и парапети, капаци на люкове, вкл. интериорно обзавеждане и технологично оборудване, и др.; включително обновяване/ремонт/подмяна оборудване за закотвяне и </w:t>
            </w:r>
            <w:proofErr w:type="spellStart"/>
            <w:r w:rsidRPr="007F66E4">
              <w:rPr>
                <w:rFonts w:eastAsia="Calibri"/>
                <w:lang w:val="bg-BG"/>
              </w:rPr>
              <w:t>швартоване</w:t>
            </w:r>
            <w:proofErr w:type="spellEnd"/>
            <w:r w:rsidRPr="007F66E4">
              <w:rPr>
                <w:rFonts w:eastAsia="Calibri"/>
                <w:lang w:val="bg-BG"/>
              </w:rPr>
              <w:t>;</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14.1.3.13. обновяване/ремонт на силовата установка (основен и спомагателен двигател и енергийна централа), вкл. подмяна на елементи и </w:t>
            </w:r>
            <w:proofErr w:type="spellStart"/>
            <w:r w:rsidRPr="007F66E4">
              <w:rPr>
                <w:rFonts w:eastAsia="Calibri"/>
                <w:lang w:val="bg-BG"/>
              </w:rPr>
              <w:t>винто-рулева</w:t>
            </w:r>
            <w:proofErr w:type="spellEnd"/>
            <w:r w:rsidRPr="007F66E4">
              <w:rPr>
                <w:rFonts w:eastAsia="Calibri"/>
                <w:lang w:val="bg-BG"/>
              </w:rPr>
              <w:t xml:space="preserve"> група и механизма за управление, включително смяна на </w:t>
            </w:r>
            <w:proofErr w:type="spellStart"/>
            <w:r w:rsidRPr="007F66E4">
              <w:rPr>
                <w:rFonts w:eastAsia="Calibri"/>
                <w:lang w:val="bg-BG"/>
              </w:rPr>
              <w:t>дейдвудна</w:t>
            </w:r>
            <w:proofErr w:type="spellEnd"/>
            <w:r w:rsidRPr="007F66E4">
              <w:rPr>
                <w:rFonts w:eastAsia="Calibri"/>
                <w:lang w:val="bg-BG"/>
              </w:rPr>
              <w:t xml:space="preserve"> втулка и др.;</w:t>
            </w:r>
          </w:p>
          <w:p w:rsidR="007F66E4" w:rsidRPr="007F66E4" w:rsidRDefault="007F66E4" w:rsidP="00ED150D">
            <w:pPr>
              <w:jc w:val="both"/>
              <w:rPr>
                <w:rFonts w:eastAsia="Calibri"/>
                <w:lang w:val="bg-BG"/>
              </w:rPr>
            </w:pPr>
            <w:r w:rsidRPr="007F66E4">
              <w:rPr>
                <w:rFonts w:eastAsia="Calibri"/>
                <w:lang w:val="bg-BG"/>
              </w:rPr>
              <w:lastRenderedPageBreak/>
              <w:t>•</w:t>
            </w:r>
            <w:r w:rsidRPr="007F66E4">
              <w:rPr>
                <w:rFonts w:eastAsia="Calibri"/>
                <w:lang w:val="bg-BG"/>
              </w:rPr>
              <w:tab/>
              <w:t>14.1.3.14. смяна на протектори за статично електричество по корпуса на кораба (</w:t>
            </w:r>
            <w:proofErr w:type="spellStart"/>
            <w:r w:rsidRPr="007F66E4">
              <w:rPr>
                <w:rFonts w:eastAsia="Calibri"/>
                <w:lang w:val="bg-BG"/>
              </w:rPr>
              <w:t>Vessel</w:t>
            </w:r>
            <w:proofErr w:type="spellEnd"/>
            <w:r w:rsidRPr="007F66E4">
              <w:rPr>
                <w:rFonts w:eastAsia="Calibri"/>
                <w:lang w:val="bg-BG"/>
              </w:rPr>
              <w:t xml:space="preserve"> </w:t>
            </w:r>
            <w:proofErr w:type="spellStart"/>
            <w:r w:rsidRPr="007F66E4">
              <w:rPr>
                <w:rFonts w:eastAsia="Calibri"/>
                <w:lang w:val="bg-BG"/>
              </w:rPr>
              <w:t>Antistatic</w:t>
            </w:r>
            <w:proofErr w:type="spellEnd"/>
            <w:r w:rsidRPr="007F66E4">
              <w:rPr>
                <w:rFonts w:eastAsia="Calibri"/>
                <w:lang w:val="bg-BG"/>
              </w:rPr>
              <w:t xml:space="preserve"> </w:t>
            </w:r>
            <w:proofErr w:type="spellStart"/>
            <w:r w:rsidRPr="007F66E4">
              <w:rPr>
                <w:rFonts w:eastAsia="Calibri"/>
                <w:lang w:val="bg-BG"/>
              </w:rPr>
              <w:t>Solutions</w:t>
            </w:r>
            <w:proofErr w:type="spellEnd"/>
            <w:r w:rsidRPr="007F66E4">
              <w:rPr>
                <w:rFonts w:eastAsia="Calibri"/>
                <w:lang w:val="bg-BG"/>
              </w:rPr>
              <w:t>);</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14.1.3.15. обновяване/ремонт/подмяна електрическата (вкл. осветително оборудване) система, както и системи свързани с подобряване на условията на труд и намаляване въздействието върху околната среда и др.;</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14.1.3.16. обновяване/ремонт/подмяна навигационни и комуникационни системи, свързани с безопасността и сигурността на риболовния кораб;</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14.1.3.17. разходи за оборудване за безопасност и сигурност (животоспасяващо, противопожарно, сигнално и др.) на екипажа и риболовния кораб;</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друго специално оборудване свързано пряко или косвено с т. 1-5 на допустимите дейности;</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разходи за сух док по време на ремонта.</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14.1.3.18. разходи за образователни дейности за подобряване на уменията и развитие на човешкия капитал, които надхвърлят задължителните обучения по националното законодателство и правото на Общността;</w:t>
            </w:r>
          </w:p>
          <w:p w:rsidR="007F66E4" w:rsidRPr="007F66E4" w:rsidRDefault="007F66E4" w:rsidP="00ED150D">
            <w:pPr>
              <w:jc w:val="both"/>
              <w:rPr>
                <w:rFonts w:eastAsia="Calibri"/>
                <w:lang w:val="bg-BG"/>
              </w:rPr>
            </w:pPr>
            <w:r w:rsidRPr="007F66E4">
              <w:rPr>
                <w:rFonts w:eastAsia="Calibri"/>
                <w:lang w:val="bg-BG"/>
              </w:rPr>
              <w:lastRenderedPageBreak/>
              <w:t>•</w:t>
            </w:r>
            <w:r w:rsidRPr="007F66E4">
              <w:rPr>
                <w:rFonts w:eastAsia="Calibri"/>
                <w:lang w:val="bg-BG"/>
              </w:rPr>
              <w:tab/>
              <w:t>14.1.3.19. професионално обучение, обучение и насърчаване на млади рибари, учене през целия живот, разпространение на знания и опит;</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14.1.3.20. разпространение на научни знания сред операторите в риболова за по-добро разбиране на ефектите от изменението на климата върху управлението на риболова;</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14.1.3.21. инсталиране или обновяване на съоръжения за почивка на борда, каюти, предназначени за използване от екипажа, включително санитарни съоръжения, общи помещения; </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14.1.3.22. разходи за пилотни проекти, проучвания, изпитания и иновации и одити за енергийна ефективност;</w:t>
            </w:r>
          </w:p>
          <w:p w:rsidR="007F66E4" w:rsidRPr="007F66E4" w:rsidRDefault="007F66E4" w:rsidP="00ED150D">
            <w:pPr>
              <w:jc w:val="both"/>
              <w:rPr>
                <w:rFonts w:eastAsia="Calibri"/>
                <w:lang w:val="bg-BG"/>
              </w:rPr>
            </w:pPr>
            <w:r w:rsidRPr="007F66E4">
              <w:rPr>
                <w:rFonts w:eastAsia="Calibri"/>
                <w:lang w:val="bg-BG"/>
              </w:rPr>
              <w:t>•</w:t>
            </w:r>
            <w:r w:rsidRPr="007F66E4">
              <w:rPr>
                <w:rFonts w:eastAsia="Calibri"/>
                <w:lang w:val="bg-BG"/>
              </w:rPr>
              <w:tab/>
              <w:t xml:space="preserve">14.1.3.23. разходи за оптимизиране на маршрута и хода на корабите, технологии за риболовни съоръжения за намаляване на разхода на гориво (например </w:t>
            </w:r>
            <w:proofErr w:type="spellStart"/>
            <w:r w:rsidRPr="007F66E4">
              <w:rPr>
                <w:rFonts w:eastAsia="Calibri"/>
                <w:lang w:val="bg-BG"/>
              </w:rPr>
              <w:t>автопилотни</w:t>
            </w:r>
            <w:proofErr w:type="spellEnd"/>
            <w:r w:rsidRPr="007F66E4">
              <w:rPr>
                <w:rFonts w:eastAsia="Calibri"/>
                <w:lang w:val="bg-BG"/>
              </w:rPr>
              <w:t xml:space="preserve"> системи, системи за изчисление на най-икономичния ход на кораба);</w:t>
            </w:r>
          </w:p>
          <w:p w:rsidR="007F66E4" w:rsidRPr="007F66E4" w:rsidRDefault="007F66E4"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Заявените разходи не могат да се отнесат към нито един от допустимите за финансиране разходи.</w:t>
            </w:r>
          </w:p>
          <w:p w:rsidR="007F66E4" w:rsidRPr="007F66E4" w:rsidRDefault="007F66E4"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Във връзка с гореописаното, съгласно чл. 34, ал. 2 от ЗУСЕФСУ на кандидата e изпратена комуникация с № BG14MFPR001-1.006-0001-</w:t>
            </w:r>
            <w:r w:rsidRPr="007F66E4">
              <w:rPr>
                <w:rFonts w:eastAsia="Calibri"/>
                <w:lang w:val="bg-BG"/>
              </w:rPr>
              <w:lastRenderedPageBreak/>
              <w:t>M001/14.07.2025 г., в която от него е изискано да обоснове всеки един заявен бюджетен ред в ИСУН в табличен вид към кой разход се отнася от т. 14.1.3. на УК.</w:t>
            </w:r>
          </w:p>
          <w:p w:rsidR="007F66E4" w:rsidRPr="007F66E4" w:rsidRDefault="007F66E4" w:rsidP="00ED150D">
            <w:pPr>
              <w:jc w:val="both"/>
              <w:rPr>
                <w:rFonts w:eastAsia="Calibri"/>
                <w:lang w:val="bg-BG"/>
              </w:rPr>
            </w:pPr>
          </w:p>
          <w:p w:rsidR="007F66E4" w:rsidRDefault="00AE5A6F" w:rsidP="00ED150D">
            <w:pPr>
              <w:jc w:val="both"/>
              <w:rPr>
                <w:rFonts w:eastAsia="Calibri"/>
                <w:lang w:val="bg-BG"/>
              </w:rPr>
            </w:pPr>
            <w:r>
              <w:rPr>
                <w:rFonts w:eastAsia="Calibri"/>
                <w:lang w:val="bg-BG"/>
              </w:rPr>
              <w:t>Съгласно отговор</w:t>
            </w:r>
            <w:r w:rsidR="007F66E4" w:rsidRPr="007F66E4">
              <w:rPr>
                <w:rFonts w:eastAsia="Calibri"/>
                <w:lang w:val="bg-BG"/>
              </w:rPr>
              <w:t xml:space="preserve"> от 24.07.2025 г. „НОРДИБГ“ ЕООД предоставя следната съпоставка на разходите с допустимите инвестиционни разходи:</w:t>
            </w:r>
          </w:p>
          <w:p w:rsidR="00AE5A6F" w:rsidRPr="007F66E4" w:rsidRDefault="00AE5A6F" w:rsidP="00ED150D">
            <w:pPr>
              <w:jc w:val="both"/>
              <w:rPr>
                <w:rFonts w:eastAsia="Calibri"/>
                <w:lang w:val="bg-BG"/>
              </w:rPr>
            </w:pPr>
          </w:p>
          <w:tbl>
            <w:tblPr>
              <w:tblStyle w:val="TableGrid"/>
              <w:tblW w:w="0" w:type="auto"/>
              <w:tblLook w:val="04A0" w:firstRow="1" w:lastRow="0" w:firstColumn="1" w:lastColumn="0" w:noHBand="0" w:noVBand="1"/>
            </w:tblPr>
            <w:tblGrid>
              <w:gridCol w:w="1625"/>
              <w:gridCol w:w="2662"/>
              <w:gridCol w:w="2716"/>
            </w:tblGrid>
            <w:tr w:rsidR="00F8008D" w:rsidRPr="00F97E02" w:rsidTr="00AE5A6F">
              <w:tc>
                <w:tcPr>
                  <w:tcW w:w="1625" w:type="dxa"/>
                </w:tcPr>
                <w:p w:rsidR="00F8008D" w:rsidRDefault="00F8008D" w:rsidP="00F8008D">
                  <w:pPr>
                    <w:spacing w:line="259" w:lineRule="auto"/>
                    <w:jc w:val="both"/>
                    <w:rPr>
                      <w:rFonts w:eastAsia="Calibri"/>
                      <w:lang w:val="bg-BG"/>
                    </w:rPr>
                  </w:pPr>
                  <w:r w:rsidRPr="00F97E02">
                    <w:rPr>
                      <w:rFonts w:eastAsia="Calibri"/>
                      <w:lang w:val="bg-BG"/>
                    </w:rPr>
                    <w:t xml:space="preserve">Закупуване на </w:t>
                  </w:r>
                  <w:proofErr w:type="spellStart"/>
                  <w:r w:rsidRPr="00F97E02">
                    <w:rPr>
                      <w:rFonts w:eastAsia="Calibri"/>
                      <w:lang w:val="bg-BG"/>
                    </w:rPr>
                    <w:t>шатъл</w:t>
                  </w:r>
                  <w:proofErr w:type="spellEnd"/>
                  <w:r w:rsidRPr="00F97E02">
                    <w:rPr>
                      <w:rFonts w:eastAsia="Calibri"/>
                      <w:lang w:val="bg-BG"/>
                    </w:rPr>
                    <w:t xml:space="preserve"> за транспорт на туристи</w:t>
                  </w:r>
                </w:p>
              </w:tc>
              <w:tc>
                <w:tcPr>
                  <w:tcW w:w="2662" w:type="dxa"/>
                </w:tcPr>
                <w:p w:rsidR="00F8008D" w:rsidRDefault="00F8008D" w:rsidP="00F8008D">
                  <w:pPr>
                    <w:spacing w:line="259" w:lineRule="auto"/>
                    <w:jc w:val="both"/>
                    <w:rPr>
                      <w:rFonts w:eastAsia="Calibri"/>
                      <w:lang w:val="bg-BG"/>
                    </w:rPr>
                  </w:pPr>
                  <w:r>
                    <w:rPr>
                      <w:rFonts w:eastAsia="Calibri"/>
                      <w:lang w:val="bg-BG"/>
                    </w:rPr>
                    <w:t>Р</w:t>
                  </w:r>
                  <w:r w:rsidRPr="00F97E02">
                    <w:rPr>
                      <w:rFonts w:eastAsia="Calibri"/>
                      <w:lang w:val="bg-BG"/>
                    </w:rPr>
                    <w:t xml:space="preserve">азходи за оборудване </w:t>
                  </w:r>
                  <w:r w:rsidRPr="00913C4A">
                    <w:rPr>
                      <w:rFonts w:eastAsia="Calibri"/>
                      <w:b/>
                      <w:lang w:val="bg-BG"/>
                    </w:rPr>
                    <w:t>на борда</w:t>
                  </w:r>
                  <w:r w:rsidRPr="00F97E02">
                    <w:rPr>
                      <w:rFonts w:eastAsia="Calibri"/>
                      <w:lang w:val="bg-BG"/>
                    </w:rPr>
                    <w:t xml:space="preserve"> за извършване на развлекателни туристически услуги, транспортни услуги, и </w:t>
                  </w:r>
                  <w:proofErr w:type="spellStart"/>
                  <w:r w:rsidRPr="00F97E02">
                    <w:rPr>
                      <w:rFonts w:eastAsia="Calibri"/>
                      <w:lang w:val="bg-BG"/>
                    </w:rPr>
                    <w:t>пескатуризъм</w:t>
                  </w:r>
                  <w:proofErr w:type="spellEnd"/>
                  <w:r w:rsidRPr="00F97E02">
                    <w:rPr>
                      <w:rFonts w:eastAsia="Calibri"/>
                      <w:lang w:val="bg-BG"/>
                    </w:rPr>
                    <w:t>, включително екипировка и допълнителна индивидуална защита за безопасност на пътниците</w:t>
                  </w:r>
                  <w:r>
                    <w:rPr>
                      <w:rFonts w:eastAsia="Calibri"/>
                      <w:lang w:val="bg-BG"/>
                    </w:rPr>
                    <w:t>.</w:t>
                  </w:r>
                  <w:r w:rsidRPr="00F97E02">
                    <w:rPr>
                      <w:rFonts w:eastAsia="Calibri"/>
                      <w:lang w:val="bg-BG"/>
                    </w:rPr>
                    <w:t xml:space="preserve"> </w:t>
                  </w:r>
                </w:p>
              </w:tc>
              <w:tc>
                <w:tcPr>
                  <w:tcW w:w="2716" w:type="dxa"/>
                </w:tcPr>
                <w:p w:rsidR="00F8008D" w:rsidRDefault="00F8008D" w:rsidP="00F8008D">
                  <w:pPr>
                    <w:spacing w:line="259" w:lineRule="auto"/>
                    <w:jc w:val="both"/>
                    <w:rPr>
                      <w:rFonts w:eastAsia="Calibri"/>
                      <w:lang w:val="bg-BG"/>
                    </w:rPr>
                  </w:pPr>
                  <w:r w:rsidRPr="00F97E02">
                    <w:rPr>
                      <w:rFonts w:eastAsia="Calibri"/>
                      <w:lang w:val="bg-BG"/>
                    </w:rPr>
                    <w:t>Придобиването му представлява инвестиция, свързана с диверсификация на риболовните дейности</w:t>
                  </w:r>
                  <w:r>
                    <w:rPr>
                      <w:rFonts w:eastAsia="Calibri"/>
                      <w:lang w:val="bg-BG"/>
                    </w:rPr>
                    <w:t>.</w:t>
                  </w:r>
                  <w:r w:rsidRPr="00F97E02">
                    <w:rPr>
                      <w:rFonts w:eastAsia="Calibri"/>
                      <w:lang w:val="bg-BG"/>
                    </w:rPr>
                    <w:t xml:space="preserve"> </w:t>
                  </w:r>
                  <w:proofErr w:type="spellStart"/>
                  <w:r w:rsidRPr="00F97E02">
                    <w:rPr>
                      <w:rFonts w:eastAsia="Calibri"/>
                      <w:lang w:val="bg-BG"/>
                    </w:rPr>
                    <w:t>Шатълът</w:t>
                  </w:r>
                  <w:proofErr w:type="spellEnd"/>
                  <w:r w:rsidRPr="00F97E02">
                    <w:rPr>
                      <w:rFonts w:eastAsia="Calibri"/>
                      <w:lang w:val="bg-BG"/>
                    </w:rPr>
                    <w:t xml:space="preserve"> ще се използва за транспортни услуги, които попадат сред изрично посочените допустими туристически дейности.</w:t>
                  </w:r>
                </w:p>
              </w:tc>
            </w:tr>
            <w:tr w:rsidR="00F8008D" w:rsidRPr="00F97E02" w:rsidTr="00AE5A6F">
              <w:tc>
                <w:tcPr>
                  <w:tcW w:w="1625" w:type="dxa"/>
                </w:tcPr>
                <w:p w:rsidR="00F8008D" w:rsidRDefault="00F8008D" w:rsidP="00F8008D">
                  <w:pPr>
                    <w:spacing w:line="259" w:lineRule="auto"/>
                    <w:jc w:val="both"/>
                    <w:rPr>
                      <w:rFonts w:eastAsia="Calibri"/>
                      <w:lang w:val="bg-BG"/>
                    </w:rPr>
                  </w:pPr>
                  <w:r w:rsidRPr="00F97E02">
                    <w:rPr>
                      <w:rFonts w:eastAsia="Calibri"/>
                      <w:lang w:val="bg-BG"/>
                    </w:rPr>
                    <w:lastRenderedPageBreak/>
                    <w:t xml:space="preserve">Закупуване на туристическа лодка за </w:t>
                  </w:r>
                  <w:proofErr w:type="spellStart"/>
                  <w:r w:rsidRPr="00F97E02">
                    <w:rPr>
                      <w:rFonts w:eastAsia="Calibri"/>
                      <w:lang w:val="bg-BG"/>
                    </w:rPr>
                    <w:t>пескатуризъм</w:t>
                  </w:r>
                  <w:proofErr w:type="spellEnd"/>
                </w:p>
              </w:tc>
              <w:tc>
                <w:tcPr>
                  <w:tcW w:w="2662" w:type="dxa"/>
                </w:tcPr>
                <w:p w:rsidR="00F8008D" w:rsidRDefault="00F8008D" w:rsidP="00F8008D">
                  <w:pPr>
                    <w:spacing w:line="259" w:lineRule="auto"/>
                    <w:jc w:val="both"/>
                    <w:rPr>
                      <w:rFonts w:eastAsia="Calibri"/>
                      <w:lang w:val="bg-BG"/>
                    </w:rPr>
                  </w:pPr>
                  <w:r>
                    <w:rPr>
                      <w:rFonts w:eastAsia="Calibri"/>
                      <w:lang w:val="bg-BG"/>
                    </w:rPr>
                    <w:t>Р</w:t>
                  </w:r>
                  <w:r w:rsidRPr="00F97E02">
                    <w:rPr>
                      <w:rFonts w:eastAsia="Calibri"/>
                      <w:lang w:val="bg-BG"/>
                    </w:rPr>
                    <w:t xml:space="preserve">азходи за оборудване </w:t>
                  </w:r>
                  <w:r w:rsidRPr="00913C4A">
                    <w:rPr>
                      <w:rFonts w:eastAsia="Calibri"/>
                      <w:b/>
                      <w:lang w:val="bg-BG"/>
                    </w:rPr>
                    <w:t>на борда</w:t>
                  </w:r>
                  <w:r w:rsidRPr="00F97E02">
                    <w:rPr>
                      <w:rFonts w:eastAsia="Calibri"/>
                      <w:lang w:val="bg-BG"/>
                    </w:rPr>
                    <w:t xml:space="preserve"> за извършване на развлекателни туристически услуги, транспортни услуги, и </w:t>
                  </w:r>
                  <w:proofErr w:type="spellStart"/>
                  <w:r w:rsidRPr="00F97E02">
                    <w:rPr>
                      <w:rFonts w:eastAsia="Calibri"/>
                      <w:lang w:val="bg-BG"/>
                    </w:rPr>
                    <w:t>пескатуризъм</w:t>
                  </w:r>
                  <w:proofErr w:type="spellEnd"/>
                  <w:r w:rsidRPr="00F97E02">
                    <w:rPr>
                      <w:rFonts w:eastAsia="Calibri"/>
                      <w:lang w:val="bg-BG"/>
                    </w:rPr>
                    <w:t>, включително екипировка и допълнителна индивидуална защита за безопасност на пътниците</w:t>
                  </w:r>
                  <w:r>
                    <w:rPr>
                      <w:rFonts w:eastAsia="Calibri"/>
                      <w:lang w:val="bg-BG"/>
                    </w:rPr>
                    <w:t>.</w:t>
                  </w:r>
                  <w:r w:rsidRPr="00F97E02">
                    <w:rPr>
                      <w:rFonts w:eastAsia="Calibri"/>
                      <w:lang w:val="bg-BG"/>
                    </w:rPr>
                    <w:t xml:space="preserve"> </w:t>
                  </w:r>
                </w:p>
              </w:tc>
              <w:tc>
                <w:tcPr>
                  <w:tcW w:w="2716" w:type="dxa"/>
                </w:tcPr>
                <w:p w:rsidR="00F8008D" w:rsidRPr="007D4314" w:rsidRDefault="00F8008D" w:rsidP="00F8008D">
                  <w:pPr>
                    <w:spacing w:line="259" w:lineRule="auto"/>
                    <w:jc w:val="both"/>
                    <w:rPr>
                      <w:rFonts w:eastAsia="Calibri"/>
                      <w:lang w:val="bg-BG"/>
                    </w:rPr>
                  </w:pPr>
                  <w:r w:rsidRPr="00F97E02">
                    <w:rPr>
                      <w:rFonts w:eastAsia="Calibri"/>
                      <w:lang w:val="bg-BG"/>
                    </w:rPr>
                    <w:t xml:space="preserve">Лодката представлява основен елемент от изпълнението на инвестицията по </w:t>
                  </w:r>
                  <w:proofErr w:type="spellStart"/>
                  <w:r w:rsidRPr="00F97E02">
                    <w:rPr>
                      <w:rFonts w:eastAsia="Calibri"/>
                      <w:lang w:val="bg-BG"/>
                    </w:rPr>
                    <w:t>пескатуризъм</w:t>
                  </w:r>
                  <w:proofErr w:type="spellEnd"/>
                  <w:r w:rsidRPr="00F97E02">
                    <w:rPr>
                      <w:rFonts w:eastAsia="Calibri"/>
                      <w:lang w:val="bg-BG"/>
                    </w:rPr>
                    <w:t>, поради което разходът попада в тази точка</w:t>
                  </w:r>
                  <w:r>
                    <w:rPr>
                      <w:rFonts w:eastAsia="Calibri"/>
                      <w:lang w:val="bg-BG"/>
                    </w:rPr>
                    <w:t>.</w:t>
                  </w:r>
                </w:p>
                <w:p w:rsidR="00F8008D" w:rsidRDefault="00F8008D" w:rsidP="00F8008D">
                  <w:pPr>
                    <w:spacing w:line="259" w:lineRule="auto"/>
                    <w:jc w:val="both"/>
                    <w:rPr>
                      <w:rFonts w:eastAsia="Calibri"/>
                      <w:lang w:val="bg-BG"/>
                    </w:rPr>
                  </w:pPr>
                  <w:r w:rsidRPr="00F97E02">
                    <w:rPr>
                      <w:rFonts w:eastAsia="Calibri"/>
                      <w:lang w:val="bg-BG"/>
                    </w:rPr>
                    <w:t xml:space="preserve">Туристическата лодка е предназначена за </w:t>
                  </w:r>
                  <w:proofErr w:type="spellStart"/>
                  <w:r w:rsidRPr="00F97E02">
                    <w:rPr>
                      <w:rFonts w:eastAsia="Calibri"/>
                      <w:lang w:val="bg-BG"/>
                    </w:rPr>
                    <w:t>пескатуризъм</w:t>
                  </w:r>
                  <w:proofErr w:type="spellEnd"/>
                  <w:r w:rsidRPr="00F97E02">
                    <w:rPr>
                      <w:rFonts w:eastAsia="Calibri"/>
                      <w:lang w:val="bg-BG"/>
                    </w:rPr>
                    <w:t xml:space="preserve"> (риболовен туризъм) – допустима дейност съгласно УК.</w:t>
                  </w:r>
                </w:p>
              </w:tc>
            </w:tr>
          </w:tbl>
          <w:p w:rsidR="007F66E4" w:rsidRPr="007F66E4" w:rsidRDefault="007F66E4" w:rsidP="00ED150D">
            <w:pPr>
              <w:jc w:val="both"/>
              <w:rPr>
                <w:rFonts w:eastAsia="Calibri"/>
                <w:lang w:val="bg-BG"/>
              </w:rPr>
            </w:pPr>
          </w:p>
          <w:p w:rsidR="00F8008D" w:rsidRDefault="007F66E4" w:rsidP="00ED150D">
            <w:pPr>
              <w:jc w:val="both"/>
              <w:rPr>
                <w:rFonts w:eastAsia="Calibri"/>
                <w:lang w:val="bg-BG"/>
              </w:rPr>
            </w:pPr>
            <w:r w:rsidRPr="007F66E4">
              <w:rPr>
                <w:rFonts w:eastAsia="Calibri"/>
                <w:lang w:val="bg-BG"/>
              </w:rPr>
              <w:t>Във връзка с горепосоченото</w:t>
            </w:r>
            <w:r w:rsidR="00F8008D">
              <w:rPr>
                <w:rFonts w:eastAsia="Calibri"/>
                <w:lang w:val="bg-BG"/>
              </w:rPr>
              <w:t>,</w:t>
            </w:r>
            <w:r w:rsidRPr="007F66E4">
              <w:rPr>
                <w:rFonts w:eastAsia="Calibri"/>
                <w:lang w:val="bg-BG"/>
              </w:rPr>
              <w:t xml:space="preserve"> със същата кореспонденция и отнасянето на заявените разходи от страна на кандидата към т. 14. разходи за оборудване на борда за извършване на развлекателни туристически услуги, транспортни услуги, и </w:t>
            </w:r>
            <w:proofErr w:type="spellStart"/>
            <w:r w:rsidRPr="007F66E4">
              <w:rPr>
                <w:rFonts w:eastAsia="Calibri"/>
                <w:lang w:val="bg-BG"/>
              </w:rPr>
              <w:t>пескатуризъм</w:t>
            </w:r>
            <w:proofErr w:type="spellEnd"/>
            <w:r w:rsidRPr="007F66E4">
              <w:rPr>
                <w:rFonts w:eastAsia="Calibri"/>
                <w:lang w:val="bg-BG"/>
              </w:rPr>
              <w:t xml:space="preserve">, включително екипировка и допълнителна индивидуална защита за </w:t>
            </w:r>
            <w:r w:rsidRPr="007F66E4">
              <w:rPr>
                <w:rFonts w:eastAsia="Calibri"/>
                <w:lang w:val="bg-BG"/>
              </w:rPr>
              <w:lastRenderedPageBreak/>
              <w:t>безопасност на пътниците</w:t>
            </w:r>
            <w:r w:rsidR="00F8008D">
              <w:rPr>
                <w:rFonts w:eastAsia="Calibri"/>
                <w:lang w:val="bg-BG"/>
              </w:rPr>
              <w:t>,</w:t>
            </w:r>
            <w:r w:rsidRPr="007F66E4">
              <w:rPr>
                <w:rFonts w:eastAsia="Calibri"/>
                <w:lang w:val="bg-BG"/>
              </w:rPr>
              <w:t xml:space="preserve"> в раздел 7 Бюджет в ИСУН е отправен и следния въпрос: </w:t>
            </w:r>
          </w:p>
          <w:p w:rsidR="00F8008D" w:rsidRDefault="00F8008D"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„Съгласно разписаните правила за в раздел 11.1 „Критерии за допустимост на кандидатите“, т. 5 от УК, а именно: „при инвестиции на борда на риболовния кораб, за който се кандидатства следва същият да е извършвал риболовни дейности в продължение на повече от 60 дни през двете календарни години, предхождащи годината на подаване на формуляра за кандидатстване.“ От предоставената справка от страна на ИАРА става ясно, че кандидатът „НОРДИБГ“ ООД има 5 дни на море за 2023 г. и 0 дни на море за 2024 г. „</w:t>
            </w:r>
          </w:p>
          <w:p w:rsidR="00F8008D" w:rsidRDefault="00F8008D" w:rsidP="00ED150D">
            <w:pPr>
              <w:jc w:val="both"/>
              <w:rPr>
                <w:rFonts w:eastAsia="Calibri"/>
                <w:lang w:val="bg-BG"/>
              </w:rPr>
            </w:pPr>
          </w:p>
          <w:p w:rsidR="00F8008D" w:rsidRDefault="00AE5A6F" w:rsidP="00ED150D">
            <w:pPr>
              <w:jc w:val="both"/>
              <w:rPr>
                <w:rFonts w:eastAsia="Calibri"/>
                <w:lang w:val="bg-BG"/>
              </w:rPr>
            </w:pPr>
            <w:r>
              <w:rPr>
                <w:rFonts w:eastAsia="Calibri"/>
                <w:lang w:val="bg-BG"/>
              </w:rPr>
              <w:t>Към същият</w:t>
            </w:r>
            <w:r w:rsidR="00F8008D">
              <w:rPr>
                <w:rFonts w:eastAsia="Calibri"/>
                <w:lang w:val="bg-BG"/>
              </w:rPr>
              <w:t xml:space="preserve"> отговор</w:t>
            </w:r>
            <w:r w:rsidR="007F66E4" w:rsidRPr="007F66E4">
              <w:rPr>
                <w:rFonts w:eastAsia="Calibri"/>
                <w:lang w:val="bg-BG"/>
              </w:rPr>
              <w:t xml:space="preserve"> от 24.07.2025 г. „НОРДИБГ“ ЕООД предоставя следната информация: </w:t>
            </w:r>
          </w:p>
          <w:p w:rsidR="00F8008D" w:rsidRDefault="00F8008D"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„Във връзка с изискването по т. 5 от раздел 11.1 „Критерии за допустимост на кандидатите“ от Условията за кандидатстване (УК), бих искала да направя следн</w:t>
            </w:r>
            <w:r w:rsidR="00AE5A6F">
              <w:rPr>
                <w:rFonts w:eastAsia="Calibri"/>
                <w:lang w:val="bg-BG"/>
              </w:rPr>
              <w:t>о</w:t>
            </w:r>
            <w:r w:rsidRPr="007F66E4">
              <w:rPr>
                <w:rFonts w:eastAsia="Calibri"/>
                <w:lang w:val="bg-BG"/>
              </w:rPr>
              <w:t xml:space="preserve">то уточнение: Проектното предложение на „НОРДИБГ“ ООД не включва инвестиции на борда на риболовен кораб, а представлява инвестиция за закупуване на </w:t>
            </w:r>
            <w:r w:rsidRPr="007F66E4">
              <w:rPr>
                <w:rFonts w:eastAsia="Calibri"/>
                <w:lang w:val="bg-BG"/>
              </w:rPr>
              <w:lastRenderedPageBreak/>
              <w:t xml:space="preserve">нови активи, конкретно: Туристическа лодка за </w:t>
            </w:r>
            <w:proofErr w:type="spellStart"/>
            <w:r w:rsidRPr="007F66E4">
              <w:rPr>
                <w:rFonts w:eastAsia="Calibri"/>
                <w:lang w:val="bg-BG"/>
              </w:rPr>
              <w:t>пескатуризъм</w:t>
            </w:r>
            <w:proofErr w:type="spellEnd"/>
            <w:r w:rsidRPr="007F66E4">
              <w:rPr>
                <w:rFonts w:eastAsia="Calibri"/>
                <w:lang w:val="bg-BG"/>
              </w:rPr>
              <w:t xml:space="preserve"> и </w:t>
            </w:r>
            <w:proofErr w:type="spellStart"/>
            <w:r w:rsidRPr="007F66E4">
              <w:rPr>
                <w:rFonts w:eastAsia="Calibri"/>
                <w:lang w:val="bg-BG"/>
              </w:rPr>
              <w:t>Шатъл</w:t>
            </w:r>
            <w:proofErr w:type="spellEnd"/>
            <w:r w:rsidRPr="007F66E4">
              <w:rPr>
                <w:rFonts w:eastAsia="Calibri"/>
                <w:lang w:val="bg-BG"/>
              </w:rPr>
              <w:t xml:space="preserve"> за транспорт на туристи, с цел развитие на </w:t>
            </w:r>
            <w:proofErr w:type="spellStart"/>
            <w:r w:rsidRPr="007F66E4">
              <w:rPr>
                <w:rFonts w:eastAsia="Calibri"/>
                <w:lang w:val="bg-BG"/>
              </w:rPr>
              <w:t>диверсифицирани</w:t>
            </w:r>
            <w:proofErr w:type="spellEnd"/>
            <w:r w:rsidRPr="007F66E4">
              <w:rPr>
                <w:rFonts w:eastAsia="Calibri"/>
                <w:lang w:val="bg-BG"/>
              </w:rPr>
              <w:t xml:space="preserve"> дейности, свързани с риболова, съгласно т.13.1, хипотеза 10 от УК – а именно </w:t>
            </w:r>
            <w:proofErr w:type="spellStart"/>
            <w:r w:rsidRPr="007F66E4">
              <w:rPr>
                <w:rFonts w:eastAsia="Calibri"/>
                <w:lang w:val="bg-BG"/>
              </w:rPr>
              <w:t>пескатуризъм</w:t>
            </w:r>
            <w:proofErr w:type="spellEnd"/>
            <w:r w:rsidRPr="007F66E4">
              <w:rPr>
                <w:rFonts w:eastAsia="Calibri"/>
                <w:lang w:val="bg-BG"/>
              </w:rPr>
              <w:t xml:space="preserve"> и свързани туристически услуги. В тази връзка посоченото изискване, съгласно което риболовният кораб, обект на инвестицията, следва да е извършвал риболовни дейности над 60 дни в рамките на двете календарни години, не е приложимо към настоящото проектно предложение, тъй като: - Не се кандидатства за модернизация, ремонт или оборудване на съществуващ риболовен кораб; - Не се извършва инвестиция на борда на риболовен кораб по смисъла на УК; - Предметът на инвестицията са нови активи, предназначени за изпълнение на </w:t>
            </w:r>
            <w:proofErr w:type="spellStart"/>
            <w:r w:rsidRPr="007F66E4">
              <w:rPr>
                <w:rFonts w:eastAsia="Calibri"/>
                <w:lang w:val="bg-BG"/>
              </w:rPr>
              <w:t>диверсифицирана</w:t>
            </w:r>
            <w:proofErr w:type="spellEnd"/>
            <w:r w:rsidRPr="007F66E4">
              <w:rPr>
                <w:rFonts w:eastAsia="Calibri"/>
                <w:lang w:val="bg-BG"/>
              </w:rPr>
              <w:t xml:space="preserve"> дейност, свързана с риболова, но извън основната риболовна дейност. Следователно, приложението на критерия от т. 5 на раздел 11.1 към настоящия проект би било неправомерно, тъй като това би довело до неоснователно ограничаване на възможността за реализация на допустима по УК инвестиция, насочена към устойчивост, иновации и развитие на местната икономика чрез риболовен туризъм.“</w:t>
            </w:r>
          </w:p>
          <w:p w:rsidR="007F66E4" w:rsidRPr="007F66E4" w:rsidRDefault="007F66E4" w:rsidP="00ED150D">
            <w:pPr>
              <w:jc w:val="both"/>
              <w:rPr>
                <w:rFonts w:eastAsia="Calibri"/>
                <w:lang w:val="bg-BG"/>
              </w:rPr>
            </w:pPr>
            <w:r w:rsidRPr="007F66E4">
              <w:rPr>
                <w:rFonts w:eastAsia="Calibri"/>
                <w:lang w:val="bg-BG"/>
              </w:rPr>
              <w:t xml:space="preserve"> </w:t>
            </w:r>
          </w:p>
          <w:p w:rsidR="00F8008D" w:rsidRDefault="00F8008D" w:rsidP="00ED150D">
            <w:pPr>
              <w:jc w:val="both"/>
              <w:rPr>
                <w:rFonts w:eastAsia="Calibri"/>
                <w:lang w:val="bg-BG"/>
              </w:rPr>
            </w:pPr>
          </w:p>
          <w:p w:rsidR="00F8008D" w:rsidRDefault="00F8008D"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 xml:space="preserve">В заключение, във връзка с горепосоченото според кандидата с проектното предложение не се извършва инвестиция на борда на риболовен кораб по смисъла на УК. Предметът на инвестицията са нови активи, предназначени за изпълнение на </w:t>
            </w:r>
            <w:proofErr w:type="spellStart"/>
            <w:r w:rsidRPr="007F66E4">
              <w:rPr>
                <w:rFonts w:eastAsia="Calibri"/>
                <w:lang w:val="bg-BG"/>
              </w:rPr>
              <w:t>диверсифицирана</w:t>
            </w:r>
            <w:proofErr w:type="spellEnd"/>
            <w:r w:rsidRPr="007F66E4">
              <w:rPr>
                <w:rFonts w:eastAsia="Calibri"/>
                <w:lang w:val="bg-BG"/>
              </w:rPr>
              <w:t xml:space="preserve"> дейност, свързана с риболова, но извън основната риболовна дейност. Всичко това потвърждава, че инвестициите за закупуване на нова туристическа лодка за </w:t>
            </w:r>
            <w:proofErr w:type="spellStart"/>
            <w:r w:rsidRPr="007F66E4">
              <w:rPr>
                <w:rFonts w:eastAsia="Calibri"/>
                <w:lang w:val="bg-BG"/>
              </w:rPr>
              <w:t>пескатуризъм</w:t>
            </w:r>
            <w:proofErr w:type="spellEnd"/>
            <w:r w:rsidRPr="007F66E4">
              <w:rPr>
                <w:rFonts w:eastAsia="Calibri"/>
                <w:lang w:val="bg-BG"/>
              </w:rPr>
              <w:t xml:space="preserve"> и Микробус - </w:t>
            </w:r>
            <w:proofErr w:type="spellStart"/>
            <w:r w:rsidRPr="007F66E4">
              <w:rPr>
                <w:rFonts w:eastAsia="Calibri"/>
                <w:lang w:val="bg-BG"/>
              </w:rPr>
              <w:t>шатъл</w:t>
            </w:r>
            <w:proofErr w:type="spellEnd"/>
            <w:r w:rsidRPr="007F66E4">
              <w:rPr>
                <w:rFonts w:eastAsia="Calibri"/>
                <w:lang w:val="bg-BG"/>
              </w:rPr>
              <w:t xml:space="preserve"> за транспорт на туристи на обща стойност 381 018.89 лева н</w:t>
            </w:r>
            <w:r w:rsidR="00F8008D">
              <w:rPr>
                <w:rFonts w:eastAsia="Calibri"/>
                <w:lang w:val="bg-BG"/>
              </w:rPr>
              <w:t>е</w:t>
            </w:r>
            <w:r w:rsidRPr="007F66E4">
              <w:rPr>
                <w:rFonts w:eastAsia="Calibri"/>
                <w:lang w:val="bg-BG"/>
              </w:rPr>
              <w:t xml:space="preserve"> </w:t>
            </w:r>
            <w:r w:rsidR="00F8008D">
              <w:rPr>
                <w:rFonts w:eastAsia="Calibri"/>
                <w:lang w:val="bg-BG"/>
              </w:rPr>
              <w:t>могат</w:t>
            </w:r>
            <w:r w:rsidRPr="007F66E4">
              <w:rPr>
                <w:rFonts w:eastAsia="Calibri"/>
                <w:lang w:val="bg-BG"/>
              </w:rPr>
              <w:t xml:space="preserve"> да се отнесат към нито един от допустимите разходи в т. 14.1.3 на УК.</w:t>
            </w:r>
          </w:p>
          <w:p w:rsidR="00F8008D" w:rsidRDefault="00F8008D"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 xml:space="preserve">Във връзка с гореизложеното, може да се направи обосновано заключение, че проектното предложение не отговаря и на Критерий 21 „Разходите по проекта са пропорционални и съответстват на крайния резултат от изпълнението на дейностите по проекта.“. Следователно проектното предложение не отговаря Критерий № 7: „Предвидените разходи в проектното предложение са допустими съгласно изискванията в т. 14 от Условия за кандидатстване по настоящата процедура. В случай на наличие на недопустими разходи същите са установени и редуцирани.“, на Критерий № 5: „Кандидатът е допустим съгласно изискванията в т. 11 от Условия за </w:t>
            </w:r>
            <w:r w:rsidRPr="007F66E4">
              <w:rPr>
                <w:rFonts w:eastAsia="Calibri"/>
                <w:lang w:val="bg-BG"/>
              </w:rPr>
              <w:lastRenderedPageBreak/>
              <w:t xml:space="preserve">кандидатстване по настоящата процедура.“, както и на Критерий № 22: „Проектът включва инвестиции на борда на риболовния кораб, за който се кандидатства и корабът е извършвал риболовни дейности в продължение на повече от 60 дни през двете календарни години, предхождащи годината на подаване на формуляра за кандидатстване.“(ако се приеме заявената от кандидата хипотеза, че разходите ги отнася като разходи за оборудване на борда за извършване на развлекателни туристически услуги, транспортни услуги, и </w:t>
            </w:r>
            <w:proofErr w:type="spellStart"/>
            <w:r w:rsidRPr="007F66E4">
              <w:rPr>
                <w:rFonts w:eastAsia="Calibri"/>
                <w:lang w:val="bg-BG"/>
              </w:rPr>
              <w:t>пескатуризъм</w:t>
            </w:r>
            <w:proofErr w:type="spellEnd"/>
            <w:r w:rsidRPr="007F66E4">
              <w:rPr>
                <w:rFonts w:eastAsia="Calibri"/>
                <w:lang w:val="bg-BG"/>
              </w:rPr>
              <w:t>, включително екипировка и допълнителна индивидуална защита за безопасност на пътниците) от Приложение № 6 „Критерии и методология за оценка на проектни предложения по процедура за подбор на проекти № BG14MFPR001-1.006 „Подкрепа за подобряване на икономическия и социалния статус на операторите в риболова”, по ПМДРА.</w:t>
            </w:r>
          </w:p>
          <w:p w:rsidR="00F8008D" w:rsidRDefault="00F8008D" w:rsidP="00ED150D">
            <w:pPr>
              <w:jc w:val="both"/>
              <w:rPr>
                <w:rFonts w:eastAsia="Calibri"/>
                <w:lang w:val="bg-BG"/>
              </w:rPr>
            </w:pPr>
          </w:p>
          <w:p w:rsidR="007F66E4" w:rsidRPr="007F66E4" w:rsidRDefault="007F66E4" w:rsidP="00ED150D">
            <w:pPr>
              <w:jc w:val="both"/>
              <w:rPr>
                <w:rFonts w:eastAsia="Calibri"/>
                <w:lang w:val="bg-BG"/>
              </w:rPr>
            </w:pPr>
            <w:r w:rsidRPr="007F66E4">
              <w:rPr>
                <w:rFonts w:eastAsia="Calibri"/>
                <w:lang w:val="bg-BG"/>
              </w:rPr>
              <w:t>Съгласно инструкциите в Приложение № 6 към УК, т. II. Критерии за оценка, т. 1. Административно съответствие и допустимост, при несъответствие с някое от посочените изисквания проектното предложение се отхвърля.</w:t>
            </w:r>
          </w:p>
          <w:p w:rsidR="007F66E4" w:rsidRPr="007F66E4" w:rsidRDefault="007F66E4" w:rsidP="00ED150D">
            <w:pPr>
              <w:jc w:val="both"/>
              <w:rPr>
                <w:rFonts w:eastAsia="Calibri"/>
                <w:lang w:val="bg-BG"/>
              </w:rPr>
            </w:pPr>
            <w:r w:rsidRPr="007F66E4">
              <w:rPr>
                <w:rFonts w:eastAsia="Calibri"/>
                <w:lang w:val="bg-BG"/>
              </w:rPr>
              <w:t xml:space="preserve">Поради изложените по-горе аргументи, проектно предложение с рег. № BG14MFPR001-1.006-0001 е включено в Списъка на проектните </w:t>
            </w:r>
            <w:r w:rsidRPr="007F66E4">
              <w:rPr>
                <w:rFonts w:eastAsia="Calibri"/>
                <w:lang w:val="bg-BG"/>
              </w:rPr>
              <w:lastRenderedPageBreak/>
              <w:t>предложения, които не се допускат до етап Техническа и финансова оценка по настоящата процедура.</w:t>
            </w:r>
          </w:p>
          <w:p w:rsidR="007F66E4" w:rsidRPr="00F225DA" w:rsidRDefault="007F66E4" w:rsidP="007F66E4">
            <w:pPr>
              <w:jc w:val="both"/>
              <w:rPr>
                <w:rFonts w:eastAsia="Calibri"/>
              </w:rPr>
            </w:pPr>
          </w:p>
        </w:tc>
      </w:tr>
    </w:tbl>
    <w:p w:rsidR="00EB1B37" w:rsidRDefault="00EB1B37" w:rsidP="00A940B8">
      <w:pPr>
        <w:jc w:val="center"/>
        <w:rPr>
          <w:b/>
          <w:lang w:val="bg-BG"/>
        </w:rPr>
      </w:pPr>
    </w:p>
    <w:p w:rsidR="003B5A55" w:rsidRPr="006B4949" w:rsidRDefault="00D874BF" w:rsidP="002765CC">
      <w:pPr>
        <w:jc w:val="both"/>
        <w:rPr>
          <w:b/>
          <w:lang w:val="bg-BG"/>
        </w:rPr>
      </w:pPr>
      <w:r w:rsidRPr="00273151">
        <w:rPr>
          <w:b/>
          <w:lang w:val="bg-BG"/>
        </w:rPr>
        <w:t xml:space="preserve">ЗАБЕЛЕЖКА: </w:t>
      </w:r>
      <w:r w:rsidRPr="006B4949">
        <w:rPr>
          <w:b/>
          <w:lang w:val="bg-BG"/>
        </w:rPr>
        <w:t>Кандидатите, чиито проектни предложения са</w:t>
      </w:r>
      <w:r w:rsidR="00685D9D" w:rsidRPr="006B4949">
        <w:rPr>
          <w:b/>
          <w:lang w:val="bg-BG"/>
        </w:rPr>
        <w:t xml:space="preserve"> предложени за</w:t>
      </w:r>
      <w:r w:rsidRPr="006B4949">
        <w:rPr>
          <w:b/>
          <w:lang w:val="bg-BG"/>
        </w:rPr>
        <w:t xml:space="preserve"> </w:t>
      </w:r>
      <w:r w:rsidR="00685D9D" w:rsidRPr="006B4949">
        <w:rPr>
          <w:b/>
          <w:lang w:val="bg-BG"/>
        </w:rPr>
        <w:t xml:space="preserve">отхвърляне </w:t>
      </w:r>
      <w:r w:rsidR="00252824" w:rsidRPr="006B4949">
        <w:rPr>
          <w:b/>
          <w:lang w:val="bg-BG"/>
        </w:rPr>
        <w:t xml:space="preserve">на етап оценка на административното съответствие </w:t>
      </w:r>
      <w:r w:rsidR="00775769" w:rsidRPr="006B4949">
        <w:rPr>
          <w:b/>
          <w:lang w:val="bg-BG"/>
        </w:rPr>
        <w:t xml:space="preserve">и допустимостта </w:t>
      </w:r>
      <w:r w:rsidR="00252824" w:rsidRPr="006B4949">
        <w:rPr>
          <w:b/>
          <w:lang w:val="bg-BG"/>
        </w:rPr>
        <w:t>по горепосочената процедура</w:t>
      </w:r>
      <w:r w:rsidRPr="006B4949">
        <w:rPr>
          <w:b/>
          <w:lang w:val="bg-BG"/>
        </w:rPr>
        <w:t xml:space="preserve"> могат да подадат писмени възражения срещу </w:t>
      </w:r>
      <w:r w:rsidR="00685D9D" w:rsidRPr="006B4949">
        <w:rPr>
          <w:b/>
          <w:lang w:val="bg-BG"/>
        </w:rPr>
        <w:t>предложението за отхвърлянето им пред</w:t>
      </w:r>
      <w:r w:rsidR="00704F48" w:rsidRPr="006B4949">
        <w:rPr>
          <w:b/>
          <w:lang w:val="bg-BG"/>
        </w:rPr>
        <w:t xml:space="preserve"> </w:t>
      </w:r>
      <w:r w:rsidR="003C6C1D" w:rsidRPr="006B4949">
        <w:rPr>
          <w:b/>
          <w:lang w:val="bg-BG"/>
        </w:rPr>
        <w:t>Р</w:t>
      </w:r>
      <w:r w:rsidRPr="006B4949">
        <w:rPr>
          <w:b/>
          <w:lang w:val="bg-BG"/>
        </w:rPr>
        <w:t xml:space="preserve">ъководителя на </w:t>
      </w:r>
      <w:r w:rsidR="00A40AC5" w:rsidRPr="006B4949">
        <w:rPr>
          <w:b/>
          <w:lang w:val="bg-BG"/>
        </w:rPr>
        <w:t>У</w:t>
      </w:r>
      <w:r w:rsidR="003E2D2E" w:rsidRPr="006B4949">
        <w:rPr>
          <w:b/>
          <w:lang w:val="bg-BG"/>
        </w:rPr>
        <w:t xml:space="preserve">правляващия </w:t>
      </w:r>
      <w:r w:rsidRPr="006B4949">
        <w:rPr>
          <w:b/>
          <w:lang w:val="bg-BG"/>
        </w:rPr>
        <w:t>орган</w:t>
      </w:r>
      <w:r w:rsidR="00D34D64" w:rsidRPr="006B4949">
        <w:rPr>
          <w:b/>
          <w:lang w:val="bg-BG"/>
        </w:rPr>
        <w:t>,</w:t>
      </w:r>
      <w:r w:rsidRPr="006B4949">
        <w:rPr>
          <w:b/>
          <w:lang w:val="bg-BG"/>
        </w:rPr>
        <w:t xml:space="preserve"> в </w:t>
      </w:r>
      <w:r w:rsidR="005F44E0" w:rsidRPr="006B4949">
        <w:rPr>
          <w:b/>
          <w:lang w:val="bg-BG"/>
        </w:rPr>
        <w:t xml:space="preserve">едноседмичен </w:t>
      </w:r>
      <w:r w:rsidRPr="006B4949">
        <w:rPr>
          <w:b/>
          <w:lang w:val="bg-BG"/>
        </w:rPr>
        <w:t xml:space="preserve">срок </w:t>
      </w:r>
      <w:r w:rsidR="005F44E0" w:rsidRPr="006B4949">
        <w:rPr>
          <w:b/>
          <w:lang w:val="bg-BG"/>
        </w:rPr>
        <w:t>от съобщаването.</w:t>
      </w:r>
      <w:r w:rsidR="00EB135C" w:rsidRPr="006B4949">
        <w:rPr>
          <w:b/>
          <w:lang w:val="bg-BG"/>
        </w:rPr>
        <w:t xml:space="preserve"> </w:t>
      </w:r>
    </w:p>
    <w:p w:rsidR="009A06E8" w:rsidRDefault="009A06E8" w:rsidP="00252824">
      <w:pPr>
        <w:jc w:val="both"/>
        <w:rPr>
          <w:sz w:val="28"/>
          <w:szCs w:val="28"/>
          <w:lang w:val="bg-BG"/>
        </w:rPr>
      </w:pPr>
    </w:p>
    <w:p w:rsidR="00EB1B37" w:rsidRDefault="00877A5F" w:rsidP="00877A5F">
      <w:pPr>
        <w:rPr>
          <w:snapToGrid w:val="0"/>
          <w:lang w:val="bg-BG"/>
        </w:rPr>
      </w:pPr>
      <w:r w:rsidRPr="00BE51C1">
        <w:rPr>
          <w:snapToGrid w:val="0"/>
          <w:lang w:val="bg-BG"/>
        </w:rPr>
        <w:t xml:space="preserve">Дата: </w:t>
      </w:r>
      <w:r w:rsidR="007F66E4">
        <w:rPr>
          <w:snapToGrid w:val="0"/>
          <w:lang w:val="bg-BG"/>
        </w:rPr>
        <w:t>26.08</w:t>
      </w:r>
      <w:r w:rsidR="006B4949">
        <w:rPr>
          <w:snapToGrid w:val="0"/>
          <w:lang w:val="bg-BG"/>
        </w:rPr>
        <w:t>.202</w:t>
      </w:r>
      <w:r w:rsidR="007F66E4">
        <w:rPr>
          <w:snapToGrid w:val="0"/>
          <w:lang w:val="bg-BG"/>
        </w:rPr>
        <w:t>5</w:t>
      </w:r>
      <w:r w:rsidR="006B4949">
        <w:rPr>
          <w:snapToGrid w:val="0"/>
          <w:lang w:val="bg-BG"/>
        </w:rPr>
        <w:t xml:space="preserve"> г.</w:t>
      </w:r>
    </w:p>
    <w:p w:rsidR="00EB1B37" w:rsidRDefault="00EB1B37" w:rsidP="00877A5F">
      <w:pPr>
        <w:rPr>
          <w:snapToGrid w:val="0"/>
          <w:lang w:val="bg-BG"/>
        </w:rPr>
      </w:pPr>
    </w:p>
    <w:p w:rsidR="00877A5F" w:rsidRPr="00B65CC8" w:rsidRDefault="00877A5F" w:rsidP="00877A5F">
      <w:pPr>
        <w:spacing w:line="360" w:lineRule="auto"/>
        <w:rPr>
          <w:snapToGrid w:val="0"/>
          <w:lang w:val="bg-BG"/>
        </w:rPr>
      </w:pPr>
      <w:bookmarkStart w:id="0" w:name="_GoBack"/>
      <w:bookmarkEnd w:id="0"/>
      <w:r w:rsidRPr="00BE51C1">
        <w:rPr>
          <w:snapToGrid w:val="0"/>
          <w:lang w:val="bg-BG"/>
        </w:rPr>
        <w:t xml:space="preserve">                                                                      </w:t>
      </w:r>
    </w:p>
    <w:p w:rsidR="00877A5F" w:rsidRPr="00252824" w:rsidRDefault="00877A5F" w:rsidP="00252824">
      <w:pPr>
        <w:jc w:val="both"/>
        <w:rPr>
          <w:sz w:val="28"/>
          <w:szCs w:val="28"/>
          <w:lang w:val="bg-BG"/>
        </w:rPr>
      </w:pPr>
    </w:p>
    <w:sectPr w:rsidR="00877A5F" w:rsidRPr="00252824" w:rsidSect="00EB1B37">
      <w:headerReference w:type="default" r:id="rId8"/>
      <w:footerReference w:type="default" r:id="rId9"/>
      <w:pgSz w:w="16838" w:h="11906" w:orient="landscape"/>
      <w:pgMar w:top="1418" w:right="1134" w:bottom="851" w:left="1134"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E9" w:rsidRDefault="00F073E9">
      <w:r>
        <w:separator/>
      </w:r>
    </w:p>
  </w:endnote>
  <w:endnote w:type="continuationSeparator" w:id="0">
    <w:p w:rsidR="00F073E9" w:rsidRDefault="00F0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520512"/>
      <w:docPartObj>
        <w:docPartGallery w:val="Page Numbers (Bottom of Page)"/>
        <w:docPartUnique/>
      </w:docPartObj>
    </w:sdtPr>
    <w:sdtEndPr>
      <w:rPr>
        <w:noProof/>
      </w:rPr>
    </w:sdtEndPr>
    <w:sdtContent>
      <w:p w:rsidR="00C21CB8" w:rsidRDefault="00C21CB8">
        <w:pPr>
          <w:pStyle w:val="Footer"/>
          <w:jc w:val="right"/>
        </w:pPr>
        <w:r>
          <w:fldChar w:fldCharType="begin"/>
        </w:r>
        <w:r>
          <w:instrText xml:space="preserve"> PAGE   \* MERGEFORMAT </w:instrText>
        </w:r>
        <w:r>
          <w:fldChar w:fldCharType="separate"/>
        </w:r>
        <w:r w:rsidR="000F5542">
          <w:rPr>
            <w:noProof/>
          </w:rPr>
          <w:t>13</w:t>
        </w:r>
        <w:r>
          <w:rPr>
            <w:noProof/>
          </w:rPr>
          <w:fldChar w:fldCharType="end"/>
        </w:r>
      </w:p>
    </w:sdtContent>
  </w:sdt>
  <w:p w:rsidR="00C21CB8" w:rsidRDefault="00C21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E9" w:rsidRDefault="00F073E9">
      <w:r>
        <w:separator/>
      </w:r>
    </w:p>
  </w:footnote>
  <w:footnote w:type="continuationSeparator" w:id="0">
    <w:p w:rsidR="00F073E9" w:rsidRDefault="00F0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84" w:type="dxa"/>
      <w:tblInd w:w="-141" w:type="dxa"/>
      <w:tblLayout w:type="fixed"/>
      <w:tblCellMar>
        <w:left w:w="0" w:type="dxa"/>
        <w:right w:w="0" w:type="dxa"/>
      </w:tblCellMar>
      <w:tblLook w:val="0000" w:firstRow="0" w:lastRow="0" w:firstColumn="0" w:lastColumn="0" w:noHBand="0" w:noVBand="0"/>
    </w:tblPr>
    <w:tblGrid>
      <w:gridCol w:w="5078"/>
      <w:gridCol w:w="1217"/>
      <w:gridCol w:w="6463"/>
      <w:gridCol w:w="2126"/>
    </w:tblGrid>
    <w:tr w:rsidR="00F95F33" w:rsidRPr="00144A1F" w:rsidTr="001B4A73">
      <w:trPr>
        <w:trHeight w:val="1256"/>
        <w:tblHeader/>
      </w:trPr>
      <w:tc>
        <w:tcPr>
          <w:tcW w:w="5078" w:type="dxa"/>
          <w:vMerge w:val="restart"/>
          <w:tcBorders>
            <w:top w:val="single" w:sz="1" w:space="0" w:color="000000"/>
            <w:lef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006334">
            <w:rPr>
              <w:rFonts w:eastAsia="HG Mincho Light J"/>
              <w:b/>
              <w:color w:val="000000"/>
              <w:sz w:val="20"/>
              <w:szCs w:val="20"/>
              <w:lang w:val="bg-BG"/>
            </w:rPr>
            <w:t xml:space="preserve"> и храните</w:t>
          </w:r>
        </w:p>
        <w:p w:rsidR="00F95F33" w:rsidRPr="006B2ABC" w:rsidRDefault="001D7924" w:rsidP="00274FD3">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144A1F"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E14F0B">
            <w:rPr>
              <w:rFonts w:eastAsia="HG Mincho Light J"/>
              <w:b/>
              <w:color w:val="000000"/>
              <w:sz w:val="20"/>
              <w:szCs w:val="20"/>
              <w:lang w:val="bg-BG"/>
            </w:rPr>
            <w:t>А</w:t>
          </w:r>
          <w:r w:rsidR="00877A5F" w:rsidRPr="006B2ABC">
            <w:rPr>
              <w:rFonts w:eastAsia="HG Mincho Light J"/>
              <w:b/>
              <w:color w:val="000000"/>
              <w:sz w:val="20"/>
              <w:szCs w:val="20"/>
              <w:lang w:val="bg-BG"/>
            </w:rPr>
            <w:t xml:space="preserve"> 20</w:t>
          </w:r>
          <w:r w:rsidR="00274FD3">
            <w:rPr>
              <w:rFonts w:eastAsia="HG Mincho Light J"/>
              <w:b/>
              <w:color w:val="000000"/>
              <w:sz w:val="20"/>
              <w:szCs w:val="20"/>
              <w:lang w:val="bg-BG"/>
            </w:rPr>
            <w:t>21 - 2027</w:t>
          </w:r>
        </w:p>
      </w:tc>
      <w:tc>
        <w:tcPr>
          <w:tcW w:w="7680"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E1864">
            <w:rPr>
              <w:rFonts w:eastAsia="HG Mincho Light J"/>
              <w:b/>
              <w:color w:val="000000"/>
              <w:sz w:val="20"/>
              <w:szCs w:val="20"/>
              <w:lang w:val="bg-BG"/>
            </w:rPr>
            <w:t>ПРОГРАМА ЗА МОРСКО ДЕЛО, РИБАРСТВО И  АКВАКУЛТУРИ</w:t>
          </w:r>
          <w:r w:rsidR="00C36EA9">
            <w:rPr>
              <w:rFonts w:eastAsia="HG Mincho Light J"/>
              <w:b/>
              <w:color w:val="000000"/>
              <w:sz w:val="20"/>
              <w:szCs w:val="20"/>
              <w:lang w:val="bg-BG"/>
            </w:rPr>
            <w:t xml:space="preserve"> 2021 -2027</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C36EA9">
            <w:rPr>
              <w:rFonts w:eastAsia="HG Mincho Light J"/>
              <w:b/>
              <w:color w:val="000000"/>
              <w:sz w:val="20"/>
              <w:szCs w:val="20"/>
              <w:lang w:val="bg-BG"/>
            </w:rPr>
            <w:t>А</w:t>
          </w:r>
          <w:r w:rsidR="00F95F33"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006334">
            <w:rPr>
              <w:rFonts w:eastAsia="HG Mincho Light J"/>
              <w:b/>
              <w:color w:val="000000"/>
              <w:sz w:val="20"/>
              <w:lang w:val="bg-BG"/>
            </w:rPr>
            <w:t>1</w:t>
          </w:r>
        </w:p>
      </w:tc>
    </w:tr>
    <w:tr w:rsidR="00F95F33" w:rsidRPr="00144A1F" w:rsidTr="001B4A73">
      <w:trPr>
        <w:trHeight w:val="74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F609C8">
            <w:rPr>
              <w:rFonts w:eastAsia="HG Mincho Light J"/>
              <w:b/>
              <w:color w:val="000000"/>
              <w:sz w:val="20"/>
              <w:szCs w:val="20"/>
              <w:lang w:val="bg-BG"/>
            </w:rPr>
            <w:t>7</w:t>
          </w:r>
          <w:r w:rsidRPr="00144A1F">
            <w:rPr>
              <w:rFonts w:eastAsia="HG Mincho Light J"/>
              <w:b/>
              <w:color w:val="000000"/>
              <w:sz w:val="20"/>
              <w:szCs w:val="20"/>
              <w:lang w:val="bg-BG"/>
            </w:rPr>
            <w:t>.</w:t>
          </w:r>
        </w:p>
      </w:tc>
      <w:tc>
        <w:tcPr>
          <w:tcW w:w="6463"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144A1F" w:rsidRDefault="00F95F33" w:rsidP="00144A1F">
          <w:pPr>
            <w:widowControl w:val="0"/>
            <w:suppressLineNumbers/>
            <w:suppressAutoHyphens/>
            <w:jc w:val="center"/>
            <w:rPr>
              <w:b/>
              <w:iCs/>
              <w:sz w:val="20"/>
              <w:szCs w:val="20"/>
              <w:lang w:val="bg-BG"/>
            </w:rPr>
          </w:pPr>
        </w:p>
        <w:p w:rsidR="00F95F33" w:rsidRPr="00F609C8" w:rsidRDefault="00F95F33" w:rsidP="00F609C8">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sidR="00F609C8">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0F5542">
            <w:rPr>
              <w:rStyle w:val="PageNumber"/>
              <w:noProof/>
              <w:sz w:val="20"/>
              <w:szCs w:val="20"/>
              <w:lang w:val="bg-BG"/>
            </w:rPr>
            <w:t>13</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0F5542">
            <w:rPr>
              <w:rStyle w:val="PageNumber"/>
              <w:noProof/>
              <w:sz w:val="20"/>
              <w:szCs w:val="20"/>
              <w:lang w:val="bg-BG"/>
            </w:rPr>
            <w:t>14</w:t>
          </w:r>
          <w:r w:rsidR="00C438E3" w:rsidRPr="00144A1F">
            <w:rPr>
              <w:rStyle w:val="PageNumber"/>
              <w:sz w:val="20"/>
              <w:szCs w:val="20"/>
              <w:lang w:val="bg-BG"/>
            </w:rPr>
            <w:fldChar w:fldCharType="end"/>
          </w:r>
        </w:p>
      </w:tc>
    </w:tr>
    <w:tr w:rsidR="00F95F33" w:rsidRPr="00144A1F" w:rsidTr="001B4A73">
      <w:trPr>
        <w:trHeight w:val="69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244742"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r w:rsidR="00D4220F" w:rsidRPr="00144A1F" w:rsidTr="001B4A73">
      <w:trPr>
        <w:trHeight w:val="697"/>
      </w:trPr>
      <w:tc>
        <w:tcPr>
          <w:tcW w:w="5078"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244742" w:rsidP="0000633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bl>
  <w:p w:rsidR="003F4A60" w:rsidRDefault="003F4A60" w:rsidP="00561E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15BB4"/>
    <w:multiLevelType w:val="hybridMultilevel"/>
    <w:tmpl w:val="52C0DFF6"/>
    <w:lvl w:ilvl="0" w:tplc="681C814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1021D9"/>
    <w:multiLevelType w:val="hybridMultilevel"/>
    <w:tmpl w:val="51FEF1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F1"/>
    <w:rsid w:val="00002EA4"/>
    <w:rsid w:val="00006334"/>
    <w:rsid w:val="00011405"/>
    <w:rsid w:val="000129B7"/>
    <w:rsid w:val="00025790"/>
    <w:rsid w:val="000608C3"/>
    <w:rsid w:val="00091A0B"/>
    <w:rsid w:val="00093853"/>
    <w:rsid w:val="000955C9"/>
    <w:rsid w:val="000D7ED9"/>
    <w:rsid w:val="000E5E0B"/>
    <w:rsid w:val="000F2441"/>
    <w:rsid w:val="000F5542"/>
    <w:rsid w:val="001047BE"/>
    <w:rsid w:val="00111412"/>
    <w:rsid w:val="001245DD"/>
    <w:rsid w:val="00144A1F"/>
    <w:rsid w:val="00173702"/>
    <w:rsid w:val="00193A7A"/>
    <w:rsid w:val="001959F7"/>
    <w:rsid w:val="001A3EC8"/>
    <w:rsid w:val="001B4A73"/>
    <w:rsid w:val="001C0B6A"/>
    <w:rsid w:val="001C3BE2"/>
    <w:rsid w:val="001D7924"/>
    <w:rsid w:val="001F0DA3"/>
    <w:rsid w:val="00244742"/>
    <w:rsid w:val="0024716F"/>
    <w:rsid w:val="00252824"/>
    <w:rsid w:val="00267933"/>
    <w:rsid w:val="00273151"/>
    <w:rsid w:val="00274FD3"/>
    <w:rsid w:val="002765CC"/>
    <w:rsid w:val="0028464A"/>
    <w:rsid w:val="0029326B"/>
    <w:rsid w:val="002D157D"/>
    <w:rsid w:val="002E4382"/>
    <w:rsid w:val="002F75E1"/>
    <w:rsid w:val="00311A88"/>
    <w:rsid w:val="003213FB"/>
    <w:rsid w:val="00331586"/>
    <w:rsid w:val="00335DE0"/>
    <w:rsid w:val="00347D47"/>
    <w:rsid w:val="00364692"/>
    <w:rsid w:val="00376A60"/>
    <w:rsid w:val="003941DC"/>
    <w:rsid w:val="003A624D"/>
    <w:rsid w:val="003B27AC"/>
    <w:rsid w:val="003B5A55"/>
    <w:rsid w:val="003B5F2E"/>
    <w:rsid w:val="003C6C1D"/>
    <w:rsid w:val="003E0D49"/>
    <w:rsid w:val="003E2D2E"/>
    <w:rsid w:val="003F4A60"/>
    <w:rsid w:val="003F7B45"/>
    <w:rsid w:val="00411D7A"/>
    <w:rsid w:val="004322ED"/>
    <w:rsid w:val="00444D18"/>
    <w:rsid w:val="004953B3"/>
    <w:rsid w:val="004A41E4"/>
    <w:rsid w:val="004A7303"/>
    <w:rsid w:val="004C574A"/>
    <w:rsid w:val="004E121F"/>
    <w:rsid w:val="004E4CA9"/>
    <w:rsid w:val="004F3330"/>
    <w:rsid w:val="004F42DA"/>
    <w:rsid w:val="004F5C87"/>
    <w:rsid w:val="0052403D"/>
    <w:rsid w:val="005253D1"/>
    <w:rsid w:val="00545706"/>
    <w:rsid w:val="00561E4F"/>
    <w:rsid w:val="00586F61"/>
    <w:rsid w:val="005912C0"/>
    <w:rsid w:val="00592769"/>
    <w:rsid w:val="005A17D3"/>
    <w:rsid w:val="005A6A46"/>
    <w:rsid w:val="005C2D40"/>
    <w:rsid w:val="005C6F96"/>
    <w:rsid w:val="005D0C34"/>
    <w:rsid w:val="005D29B2"/>
    <w:rsid w:val="005D311A"/>
    <w:rsid w:val="005D6211"/>
    <w:rsid w:val="005D7EDC"/>
    <w:rsid w:val="005E52BD"/>
    <w:rsid w:val="005E678C"/>
    <w:rsid w:val="005F44E0"/>
    <w:rsid w:val="005F5ADF"/>
    <w:rsid w:val="00614F78"/>
    <w:rsid w:val="006439D5"/>
    <w:rsid w:val="0065252C"/>
    <w:rsid w:val="00654495"/>
    <w:rsid w:val="0068349E"/>
    <w:rsid w:val="00685D9D"/>
    <w:rsid w:val="006B2ABC"/>
    <w:rsid w:val="006B4949"/>
    <w:rsid w:val="006C23EE"/>
    <w:rsid w:val="00704F48"/>
    <w:rsid w:val="0071717D"/>
    <w:rsid w:val="007315F2"/>
    <w:rsid w:val="00775769"/>
    <w:rsid w:val="007A1130"/>
    <w:rsid w:val="007A1946"/>
    <w:rsid w:val="007F66E4"/>
    <w:rsid w:val="00821528"/>
    <w:rsid w:val="00830920"/>
    <w:rsid w:val="008445E2"/>
    <w:rsid w:val="00845433"/>
    <w:rsid w:val="00861D8E"/>
    <w:rsid w:val="00877A5F"/>
    <w:rsid w:val="00886106"/>
    <w:rsid w:val="0088738B"/>
    <w:rsid w:val="008B15BD"/>
    <w:rsid w:val="008D0692"/>
    <w:rsid w:val="008E150A"/>
    <w:rsid w:val="008E1661"/>
    <w:rsid w:val="0090223F"/>
    <w:rsid w:val="009054CD"/>
    <w:rsid w:val="00932C29"/>
    <w:rsid w:val="0095005A"/>
    <w:rsid w:val="00954F89"/>
    <w:rsid w:val="00955C51"/>
    <w:rsid w:val="00960B4D"/>
    <w:rsid w:val="00963DF6"/>
    <w:rsid w:val="00970769"/>
    <w:rsid w:val="00980B41"/>
    <w:rsid w:val="00982377"/>
    <w:rsid w:val="00992D76"/>
    <w:rsid w:val="009A06E8"/>
    <w:rsid w:val="009A530C"/>
    <w:rsid w:val="009B26E1"/>
    <w:rsid w:val="009B334E"/>
    <w:rsid w:val="009D5B0E"/>
    <w:rsid w:val="009D7E36"/>
    <w:rsid w:val="009E1864"/>
    <w:rsid w:val="009E4C13"/>
    <w:rsid w:val="009F7AFB"/>
    <w:rsid w:val="00A15B65"/>
    <w:rsid w:val="00A25AE5"/>
    <w:rsid w:val="00A33334"/>
    <w:rsid w:val="00A339F3"/>
    <w:rsid w:val="00A40AC5"/>
    <w:rsid w:val="00A44549"/>
    <w:rsid w:val="00A6323E"/>
    <w:rsid w:val="00A6428E"/>
    <w:rsid w:val="00A70381"/>
    <w:rsid w:val="00A70F60"/>
    <w:rsid w:val="00A80ED9"/>
    <w:rsid w:val="00A940B8"/>
    <w:rsid w:val="00AA0DE1"/>
    <w:rsid w:val="00AC2ACC"/>
    <w:rsid w:val="00AC460E"/>
    <w:rsid w:val="00AC78E1"/>
    <w:rsid w:val="00AD048E"/>
    <w:rsid w:val="00AE5A6F"/>
    <w:rsid w:val="00B03339"/>
    <w:rsid w:val="00B208BE"/>
    <w:rsid w:val="00B31E34"/>
    <w:rsid w:val="00B37F94"/>
    <w:rsid w:val="00B43EF2"/>
    <w:rsid w:val="00B45BDD"/>
    <w:rsid w:val="00B46079"/>
    <w:rsid w:val="00B5142E"/>
    <w:rsid w:val="00B776C7"/>
    <w:rsid w:val="00BB2C87"/>
    <w:rsid w:val="00BB5A62"/>
    <w:rsid w:val="00BD146C"/>
    <w:rsid w:val="00BE019F"/>
    <w:rsid w:val="00BE3CC1"/>
    <w:rsid w:val="00C21491"/>
    <w:rsid w:val="00C21CB8"/>
    <w:rsid w:val="00C36EA9"/>
    <w:rsid w:val="00C438E3"/>
    <w:rsid w:val="00C565C8"/>
    <w:rsid w:val="00C674EA"/>
    <w:rsid w:val="00C740F1"/>
    <w:rsid w:val="00CC762D"/>
    <w:rsid w:val="00CD5FF4"/>
    <w:rsid w:val="00CF7E34"/>
    <w:rsid w:val="00D1516E"/>
    <w:rsid w:val="00D215E9"/>
    <w:rsid w:val="00D34D64"/>
    <w:rsid w:val="00D4220F"/>
    <w:rsid w:val="00D42CDF"/>
    <w:rsid w:val="00D51D24"/>
    <w:rsid w:val="00D73123"/>
    <w:rsid w:val="00D874BF"/>
    <w:rsid w:val="00D97F8A"/>
    <w:rsid w:val="00DA1A24"/>
    <w:rsid w:val="00E071FD"/>
    <w:rsid w:val="00E14840"/>
    <w:rsid w:val="00E14F0B"/>
    <w:rsid w:val="00E639FE"/>
    <w:rsid w:val="00E700E3"/>
    <w:rsid w:val="00E7591F"/>
    <w:rsid w:val="00E76FC7"/>
    <w:rsid w:val="00E8791C"/>
    <w:rsid w:val="00E97664"/>
    <w:rsid w:val="00EA04AD"/>
    <w:rsid w:val="00EA416D"/>
    <w:rsid w:val="00EB135C"/>
    <w:rsid w:val="00EB1B37"/>
    <w:rsid w:val="00EB286A"/>
    <w:rsid w:val="00EC46AC"/>
    <w:rsid w:val="00ED150D"/>
    <w:rsid w:val="00F03EDF"/>
    <w:rsid w:val="00F073E9"/>
    <w:rsid w:val="00F1198E"/>
    <w:rsid w:val="00F21616"/>
    <w:rsid w:val="00F55D58"/>
    <w:rsid w:val="00F609C8"/>
    <w:rsid w:val="00F62177"/>
    <w:rsid w:val="00F8008D"/>
    <w:rsid w:val="00F8225D"/>
    <w:rsid w:val="00F824A8"/>
    <w:rsid w:val="00F95F33"/>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D40D06-EC84-4975-B7E6-50364865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uiPriority w:val="59"/>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link w:val="FooterChar"/>
    <w:uiPriority w:val="99"/>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BodyTextIndent">
    <w:name w:val="Body Text Indent"/>
    <w:basedOn w:val="Normal"/>
    <w:link w:val="BodyTextIndentChar"/>
    <w:semiHidden/>
    <w:unhideWhenUsed/>
    <w:rsid w:val="00D97F8A"/>
    <w:pPr>
      <w:spacing w:after="120"/>
      <w:ind w:left="283"/>
    </w:pPr>
  </w:style>
  <w:style w:type="character" w:customStyle="1" w:styleId="BodyTextIndentChar">
    <w:name w:val="Body Text Indent Char"/>
    <w:basedOn w:val="DefaultParagraphFont"/>
    <w:link w:val="BodyTextIndent"/>
    <w:semiHidden/>
    <w:rsid w:val="00D97F8A"/>
    <w:rPr>
      <w:sz w:val="24"/>
      <w:szCs w:val="24"/>
      <w:lang w:val="en-GB"/>
    </w:rPr>
  </w:style>
  <w:style w:type="paragraph" w:styleId="ListParagraph">
    <w:name w:val="List Paragraph"/>
    <w:basedOn w:val="Normal"/>
    <w:uiPriority w:val="34"/>
    <w:qFormat/>
    <w:rsid w:val="00D97F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21CB8"/>
    <w:rPr>
      <w:sz w:val="24"/>
      <w:szCs w:val="24"/>
      <w:lang w:val="en-GB"/>
    </w:rPr>
  </w:style>
  <w:style w:type="paragraph" w:styleId="BodyTextIndent2">
    <w:name w:val="Body Text Indent 2"/>
    <w:basedOn w:val="Normal"/>
    <w:link w:val="BodyTextIndent2Char"/>
    <w:semiHidden/>
    <w:unhideWhenUsed/>
    <w:rsid w:val="005F5ADF"/>
    <w:pPr>
      <w:spacing w:after="120" w:line="480" w:lineRule="auto"/>
      <w:ind w:left="283"/>
    </w:pPr>
  </w:style>
  <w:style w:type="character" w:customStyle="1" w:styleId="BodyTextIndent2Char">
    <w:name w:val="Body Text Indent 2 Char"/>
    <w:basedOn w:val="DefaultParagraphFont"/>
    <w:link w:val="BodyTextIndent2"/>
    <w:semiHidden/>
    <w:rsid w:val="005F5AD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3CFD-0150-49B9-9ECC-255AF270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1943</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Silviya Sotirova</cp:lastModifiedBy>
  <cp:revision>8</cp:revision>
  <cp:lastPrinted>2016-12-14T14:51:00Z</cp:lastPrinted>
  <dcterms:created xsi:type="dcterms:W3CDTF">2025-08-26T10:42:00Z</dcterms:created>
  <dcterms:modified xsi:type="dcterms:W3CDTF">2025-08-26T11:52:00Z</dcterms:modified>
</cp:coreProperties>
</file>