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Default="00DD14F8" w:rsidP="00807928">
      <w:pPr>
        <w:spacing w:after="0" w:line="276" w:lineRule="auto"/>
        <w:ind w:left="4770"/>
        <w:rPr>
          <w:rFonts w:ascii="Arial" w:hAnsi="Arial" w:cs="Arial"/>
          <w:b/>
          <w:bCs/>
          <w:snapToGrid w:val="0"/>
          <w:sz w:val="20"/>
          <w:szCs w:val="20"/>
        </w:rPr>
      </w:pPr>
    </w:p>
    <w:p w14:paraId="3C887423" w14:textId="77777777" w:rsidR="00DD14F8" w:rsidRPr="00774C97" w:rsidRDefault="00DD14F8" w:rsidP="00807928">
      <w:pPr>
        <w:spacing w:after="0" w:line="276" w:lineRule="auto"/>
        <w:ind w:left="4770"/>
        <w:rPr>
          <w:rFonts w:ascii="Times New Roman" w:hAnsi="Times New Roman" w:cs="Times New Roman"/>
          <w:b/>
          <w:bCs/>
          <w:snapToGrid w:val="0"/>
          <w:sz w:val="24"/>
          <w:szCs w:val="24"/>
        </w:rPr>
      </w:pPr>
    </w:p>
    <w:p w14:paraId="53A3DC6E" w14:textId="42BA296B" w:rsidR="000A5C28" w:rsidRPr="003111FA" w:rsidRDefault="000A5C28" w:rsidP="00807928">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Приложение № 2</w:t>
      </w:r>
    </w:p>
    <w:p w14:paraId="1C1A1DE4" w14:textId="3FBD140E" w:rsidR="007E3D2A" w:rsidRPr="003111FA" w:rsidRDefault="004C089A" w:rsidP="00807928">
      <w:pPr>
        <w:spacing w:after="0" w:line="276" w:lineRule="auto"/>
        <w:ind w:left="7088"/>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 xml:space="preserve">към Заповед </w:t>
      </w:r>
      <w:r w:rsidR="00E3365C" w:rsidRPr="00E3365C">
        <w:rPr>
          <w:rFonts w:ascii="Times New Roman" w:hAnsi="Times New Roman" w:cs="Times New Roman"/>
          <w:b/>
          <w:bCs/>
          <w:snapToGrid w:val="0"/>
          <w:sz w:val="24"/>
          <w:szCs w:val="24"/>
        </w:rPr>
        <w:t>№ МДР-ПП-09-58/14.08.2025</w:t>
      </w:r>
      <w:bookmarkStart w:id="0" w:name="_GoBack"/>
      <w:bookmarkEnd w:id="0"/>
      <w:r w:rsidR="00686461" w:rsidRPr="003111FA">
        <w:rPr>
          <w:rFonts w:ascii="Times New Roman" w:hAnsi="Times New Roman" w:cs="Times New Roman"/>
          <w:b/>
          <w:bCs/>
          <w:snapToGrid w:val="0"/>
          <w:sz w:val="24"/>
          <w:szCs w:val="24"/>
        </w:rPr>
        <w:t xml:space="preserve"> </w:t>
      </w:r>
    </w:p>
    <w:p w14:paraId="30F982F4" w14:textId="77777777" w:rsidR="007E3D2A" w:rsidRPr="003111FA" w:rsidRDefault="007E3D2A" w:rsidP="00807928">
      <w:pPr>
        <w:spacing w:after="0" w:line="276" w:lineRule="auto"/>
        <w:jc w:val="center"/>
        <w:rPr>
          <w:rFonts w:ascii="Times New Roman" w:hAnsi="Times New Roman" w:cs="Times New Roman"/>
          <w:b/>
          <w:bCs/>
          <w:snapToGrid w:val="0"/>
          <w:sz w:val="24"/>
          <w:szCs w:val="24"/>
        </w:rPr>
      </w:pPr>
    </w:p>
    <w:p w14:paraId="6F219D49" w14:textId="322A5F27" w:rsidR="00706643" w:rsidRPr="003111FA" w:rsidRDefault="00706643" w:rsidP="00807928">
      <w:pPr>
        <w:spacing w:after="0" w:line="276" w:lineRule="auto"/>
        <w:jc w:val="center"/>
        <w:rPr>
          <w:rFonts w:ascii="Times New Roman" w:hAnsi="Times New Roman" w:cs="Times New Roman"/>
          <w:b/>
          <w:bCs/>
          <w:sz w:val="24"/>
          <w:szCs w:val="24"/>
        </w:rPr>
      </w:pPr>
    </w:p>
    <w:p w14:paraId="1E912832" w14:textId="312D04CF" w:rsidR="00DD14F8" w:rsidRPr="003111FA" w:rsidRDefault="00DD14F8" w:rsidP="00807928">
      <w:pPr>
        <w:spacing w:after="0" w:line="276" w:lineRule="auto"/>
        <w:jc w:val="center"/>
        <w:rPr>
          <w:rFonts w:ascii="Times New Roman" w:hAnsi="Times New Roman" w:cs="Times New Roman"/>
          <w:b/>
          <w:bCs/>
          <w:sz w:val="24"/>
          <w:szCs w:val="24"/>
        </w:rPr>
      </w:pPr>
    </w:p>
    <w:p w14:paraId="271E3FEF" w14:textId="6F8E1528" w:rsidR="00DD14F8" w:rsidRPr="003111FA" w:rsidRDefault="00DD14F8" w:rsidP="00807928">
      <w:pPr>
        <w:spacing w:after="0" w:line="276" w:lineRule="auto"/>
        <w:jc w:val="center"/>
        <w:rPr>
          <w:rFonts w:ascii="Times New Roman" w:hAnsi="Times New Roman" w:cs="Times New Roman"/>
          <w:b/>
          <w:bCs/>
          <w:sz w:val="24"/>
          <w:szCs w:val="24"/>
        </w:rPr>
      </w:pPr>
    </w:p>
    <w:p w14:paraId="38CEA1C2" w14:textId="6A205DA0" w:rsidR="00DD14F8" w:rsidRPr="003111FA" w:rsidRDefault="00DD14F8" w:rsidP="00807928">
      <w:pPr>
        <w:spacing w:after="0" w:line="276" w:lineRule="auto"/>
        <w:jc w:val="center"/>
        <w:rPr>
          <w:rFonts w:ascii="Times New Roman" w:hAnsi="Times New Roman" w:cs="Times New Roman"/>
          <w:b/>
          <w:bCs/>
          <w:sz w:val="24"/>
          <w:szCs w:val="24"/>
        </w:rPr>
      </w:pPr>
    </w:p>
    <w:p w14:paraId="76B4AE45" w14:textId="77777777" w:rsidR="00DD14F8" w:rsidRPr="003111FA" w:rsidRDefault="00DD14F8" w:rsidP="00807928">
      <w:pPr>
        <w:spacing w:after="0" w:line="276" w:lineRule="auto"/>
        <w:jc w:val="center"/>
        <w:rPr>
          <w:rFonts w:ascii="Times New Roman" w:hAnsi="Times New Roman" w:cs="Times New Roman"/>
          <w:b/>
          <w:bCs/>
          <w:sz w:val="24"/>
          <w:szCs w:val="24"/>
        </w:rPr>
      </w:pPr>
    </w:p>
    <w:p w14:paraId="779BE0C5" w14:textId="77777777" w:rsidR="00706643" w:rsidRPr="003111FA" w:rsidRDefault="00706643" w:rsidP="00807928">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УСЛОВИЯ ЗА ИЗПЪЛНЕНИЕ</w:t>
      </w:r>
    </w:p>
    <w:p w14:paraId="320ACB18" w14:textId="2110865F" w:rsidR="006F034F" w:rsidRPr="003111FA" w:rsidRDefault="006F034F" w:rsidP="00807928">
      <w:pPr>
        <w:spacing w:after="0" w:line="276" w:lineRule="auto"/>
        <w:jc w:val="center"/>
        <w:rPr>
          <w:rFonts w:ascii="Times New Roman" w:hAnsi="Times New Roman" w:cs="Times New Roman"/>
          <w:b/>
          <w:bCs/>
          <w:sz w:val="24"/>
          <w:szCs w:val="24"/>
        </w:rPr>
      </w:pPr>
    </w:p>
    <w:p w14:paraId="11FFA6E8" w14:textId="77777777" w:rsidR="00DD14F8" w:rsidRPr="003111FA" w:rsidRDefault="00DD14F8" w:rsidP="00807928">
      <w:pPr>
        <w:spacing w:after="0" w:line="276" w:lineRule="auto"/>
        <w:jc w:val="center"/>
        <w:rPr>
          <w:rFonts w:ascii="Times New Roman" w:hAnsi="Times New Roman" w:cs="Times New Roman"/>
          <w:b/>
          <w:bCs/>
          <w:sz w:val="24"/>
          <w:szCs w:val="24"/>
        </w:rPr>
      </w:pPr>
    </w:p>
    <w:p w14:paraId="7DE146FE" w14:textId="0372889D" w:rsidR="00614B64" w:rsidRPr="003111FA" w:rsidRDefault="00706643" w:rsidP="00807928">
      <w:pPr>
        <w:spacing w:after="0" w:line="276" w:lineRule="auto"/>
        <w:jc w:val="center"/>
        <w:rPr>
          <w:rFonts w:ascii="Times New Roman" w:hAnsi="Times New Roman" w:cs="Times New Roman"/>
          <w:b/>
          <w:sz w:val="24"/>
          <w:szCs w:val="24"/>
        </w:rPr>
      </w:pPr>
      <w:r w:rsidRPr="003111FA">
        <w:rPr>
          <w:rFonts w:ascii="Times New Roman" w:hAnsi="Times New Roman" w:cs="Times New Roman"/>
          <w:b/>
          <w:bCs/>
          <w:sz w:val="24"/>
          <w:szCs w:val="24"/>
        </w:rPr>
        <w:t>на проекти по</w:t>
      </w:r>
      <w:r w:rsidRPr="003111FA" w:rsidDel="00352D2A">
        <w:rPr>
          <w:rFonts w:ascii="Times New Roman" w:hAnsi="Times New Roman" w:cs="Times New Roman"/>
          <w:b/>
          <w:bCs/>
          <w:sz w:val="24"/>
          <w:szCs w:val="24"/>
        </w:rPr>
        <w:t xml:space="preserve"> </w:t>
      </w:r>
      <w:r w:rsidR="00DD14F8" w:rsidRPr="003111FA">
        <w:rPr>
          <w:rFonts w:ascii="Times New Roman" w:hAnsi="Times New Roman" w:cs="Times New Roman"/>
          <w:b/>
          <w:sz w:val="24"/>
          <w:szCs w:val="24"/>
        </w:rPr>
        <w:t>п</w:t>
      </w:r>
      <w:r w:rsidR="00614B64" w:rsidRPr="003111FA">
        <w:rPr>
          <w:rFonts w:ascii="Times New Roman" w:hAnsi="Times New Roman" w:cs="Times New Roman"/>
          <w:b/>
          <w:sz w:val="24"/>
          <w:szCs w:val="24"/>
        </w:rPr>
        <w:t>роцедура за подбор на проекти</w:t>
      </w:r>
    </w:p>
    <w:p w14:paraId="0CFD3844" w14:textId="476B70FB" w:rsidR="00DD14F8" w:rsidRPr="003111FA" w:rsidRDefault="00E646EF" w:rsidP="00807928">
      <w:pPr>
        <w:tabs>
          <w:tab w:val="left" w:pos="-180"/>
        </w:tabs>
        <w:spacing w:after="100" w:afterAutospacing="1"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BG14MFPR001-1.008 „Защита на екологичното състояние на морската среда“</w:t>
      </w:r>
    </w:p>
    <w:p w14:paraId="45D8BD30" w14:textId="77777777" w:rsidR="00E646EF" w:rsidRPr="003111FA" w:rsidRDefault="00E646EF" w:rsidP="00807928">
      <w:pPr>
        <w:spacing w:before="120" w:after="12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t>Вид дейност 1.6.2. „Защита на екологичното състояние на морската среда”</w:t>
      </w:r>
    </w:p>
    <w:p w14:paraId="79CFFE29" w14:textId="0242A7A2" w:rsidR="00DD14F8" w:rsidRPr="003111FA" w:rsidRDefault="00DD14F8" w:rsidP="00807928">
      <w:pPr>
        <w:spacing w:after="0" w:line="276" w:lineRule="auto"/>
        <w:jc w:val="center"/>
        <w:rPr>
          <w:rFonts w:ascii="Times New Roman" w:hAnsi="Times New Roman" w:cs="Times New Roman"/>
          <w:b/>
          <w:bCs/>
          <w:snapToGrid w:val="0"/>
          <w:sz w:val="24"/>
          <w:szCs w:val="24"/>
        </w:rPr>
      </w:pPr>
      <w:r w:rsidRPr="003111FA">
        <w:rPr>
          <w:rFonts w:ascii="Times New Roman" w:hAnsi="Times New Roman" w:cs="Times New Roman"/>
          <w:b/>
          <w:bCs/>
          <w:snapToGrid w:val="0"/>
          <w:sz w:val="24"/>
          <w:szCs w:val="24"/>
        </w:rPr>
        <w:t>Програма за морско дело, рибарство и аквакултури 2021-2027</w:t>
      </w:r>
    </w:p>
    <w:p w14:paraId="1BA18DEE" w14:textId="77777777" w:rsidR="006F034F" w:rsidRPr="003111FA" w:rsidRDefault="006F034F" w:rsidP="00807928">
      <w:pPr>
        <w:spacing w:after="0" w:line="276" w:lineRule="auto"/>
        <w:jc w:val="center"/>
        <w:rPr>
          <w:rFonts w:ascii="Times New Roman" w:hAnsi="Times New Roman" w:cs="Times New Roman"/>
          <w:b/>
          <w:bCs/>
          <w:sz w:val="24"/>
          <w:szCs w:val="24"/>
        </w:rPr>
      </w:pPr>
    </w:p>
    <w:p w14:paraId="1FCE9BE2" w14:textId="77777777" w:rsidR="00F158FD" w:rsidRPr="003111FA" w:rsidRDefault="006F034F" w:rsidP="00807928">
      <w:pPr>
        <w:spacing w:after="0" w:line="276" w:lineRule="auto"/>
        <w:jc w:val="center"/>
        <w:rPr>
          <w:rFonts w:ascii="Times New Roman" w:hAnsi="Times New Roman" w:cs="Times New Roman"/>
          <w:b/>
          <w:bCs/>
          <w:sz w:val="24"/>
          <w:szCs w:val="24"/>
        </w:rPr>
      </w:pPr>
      <w:r w:rsidRPr="003111FA">
        <w:rPr>
          <w:rFonts w:ascii="Times New Roman" w:hAnsi="Times New Roman" w:cs="Times New Roman"/>
          <w:b/>
          <w:bCs/>
          <w:sz w:val="24"/>
          <w:szCs w:val="24"/>
        </w:rPr>
        <w:br w:type="page"/>
      </w:r>
    </w:p>
    <w:p w14:paraId="0FAF8C19" w14:textId="77777777" w:rsidR="006F034F" w:rsidRPr="003111FA" w:rsidRDefault="006F034F" w:rsidP="00807928">
      <w:pPr>
        <w:spacing w:after="0" w:line="276" w:lineRule="auto"/>
        <w:jc w:val="center"/>
        <w:rPr>
          <w:rFonts w:ascii="Times New Roman" w:hAnsi="Times New Roman" w:cs="Times New Roman"/>
          <w:sz w:val="24"/>
          <w:szCs w:val="24"/>
        </w:rPr>
      </w:pPr>
    </w:p>
    <w:p w14:paraId="5C9E5BAB" w14:textId="77777777" w:rsidR="00706643" w:rsidRPr="003111FA" w:rsidRDefault="00706643" w:rsidP="00807928">
      <w:pPr>
        <w:pStyle w:val="TOCHeading"/>
        <w:spacing w:before="0"/>
        <w:rPr>
          <w:rFonts w:ascii="Times New Roman" w:hAnsi="Times New Roman"/>
          <w:sz w:val="24"/>
          <w:szCs w:val="24"/>
          <w:lang w:val="bg-BG"/>
        </w:rPr>
      </w:pPr>
      <w:r w:rsidRPr="003111FA">
        <w:rPr>
          <w:rFonts w:ascii="Times New Roman" w:hAnsi="Times New Roman"/>
          <w:sz w:val="24"/>
          <w:szCs w:val="24"/>
          <w:lang w:val="bg-BG"/>
        </w:rPr>
        <w:t>Съдържание</w:t>
      </w:r>
    </w:p>
    <w:p w14:paraId="422F9EFD" w14:textId="77777777" w:rsidR="00706643" w:rsidRPr="003111FA" w:rsidRDefault="00706643" w:rsidP="00807928">
      <w:pPr>
        <w:spacing w:after="0" w:line="276" w:lineRule="auto"/>
        <w:rPr>
          <w:rFonts w:ascii="Times New Roman" w:hAnsi="Times New Roman" w:cs="Times New Roman"/>
          <w:sz w:val="24"/>
          <w:szCs w:val="24"/>
          <w:lang w:eastAsia="bg-BG"/>
        </w:rPr>
      </w:pPr>
    </w:p>
    <w:p w14:paraId="37F33105" w14:textId="77777777" w:rsidR="001C0916" w:rsidRPr="003111FA" w:rsidRDefault="00706643" w:rsidP="00807928">
      <w:pPr>
        <w:pStyle w:val="TOC2"/>
        <w:tabs>
          <w:tab w:val="left" w:pos="440"/>
        </w:tabs>
        <w:spacing w:after="0" w:line="276" w:lineRule="auto"/>
        <w:rPr>
          <w:rFonts w:ascii="Times New Roman" w:eastAsia="Times New Roman" w:hAnsi="Times New Roman" w:cs="Times New Roman"/>
          <w:sz w:val="24"/>
          <w:szCs w:val="24"/>
        </w:rPr>
      </w:pPr>
      <w:r w:rsidRPr="003111FA">
        <w:rPr>
          <w:rFonts w:ascii="Times New Roman" w:hAnsi="Times New Roman" w:cs="Times New Roman"/>
          <w:sz w:val="24"/>
          <w:szCs w:val="24"/>
        </w:rPr>
        <w:fldChar w:fldCharType="begin"/>
      </w:r>
      <w:r w:rsidRPr="003111FA">
        <w:rPr>
          <w:rFonts w:ascii="Times New Roman" w:hAnsi="Times New Roman" w:cs="Times New Roman"/>
          <w:sz w:val="24"/>
          <w:szCs w:val="24"/>
        </w:rPr>
        <w:instrText xml:space="preserve"> TOC \o "1-3" \h \z \u </w:instrText>
      </w:r>
      <w:r w:rsidRPr="003111FA">
        <w:rPr>
          <w:rFonts w:ascii="Times New Roman" w:hAnsi="Times New Roman" w:cs="Times New Roman"/>
          <w:sz w:val="24"/>
          <w:szCs w:val="24"/>
        </w:rPr>
        <w:fldChar w:fldCharType="separate"/>
      </w:r>
      <w:hyperlink w:anchor="_Toc509920774" w:history="1">
        <w:r w:rsidR="001C0916" w:rsidRPr="003111FA">
          <w:rPr>
            <w:rStyle w:val="Hyperlink"/>
            <w:rFonts w:ascii="Times New Roman" w:hAnsi="Times New Roman" w:cs="Times New Roman"/>
            <w:b/>
            <w:bCs/>
            <w:color w:val="auto"/>
            <w:sz w:val="24"/>
            <w:szCs w:val="24"/>
            <w:u w:val="none"/>
          </w:rPr>
          <w:t>1.</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Техническо изпълнение на проектите</w:t>
        </w:r>
        <w:r w:rsidR="001C0916" w:rsidRPr="003111FA">
          <w:rPr>
            <w:rFonts w:ascii="Times New Roman" w:hAnsi="Times New Roman" w:cs="Times New Roman"/>
            <w:webHidden/>
            <w:sz w:val="24"/>
            <w:szCs w:val="24"/>
          </w:rPr>
          <w:tab/>
        </w:r>
      </w:hyperlink>
      <w:r w:rsidR="00A1293D" w:rsidRPr="003111FA">
        <w:rPr>
          <w:rStyle w:val="Hyperlink"/>
          <w:rFonts w:ascii="Times New Roman" w:hAnsi="Times New Roman" w:cs="Times New Roman"/>
          <w:color w:val="auto"/>
          <w:sz w:val="24"/>
          <w:szCs w:val="24"/>
          <w:u w:val="none"/>
        </w:rPr>
        <w:t>3</w:t>
      </w:r>
    </w:p>
    <w:p w14:paraId="07AC4FE2" w14:textId="301DB17B" w:rsidR="001C0916" w:rsidRPr="003111FA" w:rsidRDefault="00E3365C" w:rsidP="00807928">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3111FA">
          <w:rPr>
            <w:rStyle w:val="Hyperlink"/>
            <w:rFonts w:ascii="Times New Roman" w:hAnsi="Times New Roman" w:cs="Times New Roman"/>
            <w:b/>
            <w:bCs/>
            <w:color w:val="auto"/>
            <w:sz w:val="24"/>
            <w:szCs w:val="24"/>
            <w:u w:val="none"/>
          </w:rPr>
          <w:t>2.</w:t>
        </w:r>
        <w:r w:rsidR="00510E20" w:rsidRPr="003111FA">
          <w:rPr>
            <w:rFonts w:ascii="Times New Roman" w:eastAsia="Times New Roman" w:hAnsi="Times New Roman" w:cs="Times New Roman"/>
            <w:sz w:val="24"/>
            <w:szCs w:val="24"/>
            <w:lang w:val="en-US"/>
          </w:rPr>
          <w:t xml:space="preserve"> </w:t>
        </w:r>
        <w:r w:rsidR="00510E20" w:rsidRPr="003111FA">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3111FA">
          <w:rPr>
            <w:rFonts w:ascii="Times New Roman" w:hAnsi="Times New Roman" w:cs="Times New Roman"/>
            <w:webHidden/>
            <w:sz w:val="24"/>
            <w:szCs w:val="24"/>
          </w:rPr>
          <w:tab/>
          <w:t>12</w:t>
        </w:r>
      </w:hyperlink>
    </w:p>
    <w:p w14:paraId="78813404" w14:textId="6EB2B154" w:rsidR="00A1293D" w:rsidRPr="003111FA" w:rsidRDefault="00E3365C" w:rsidP="00807928">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3111FA">
          <w:rPr>
            <w:rStyle w:val="Hyperlink"/>
            <w:rFonts w:ascii="Times New Roman" w:hAnsi="Times New Roman" w:cs="Times New Roman"/>
            <w:b/>
            <w:bCs/>
            <w:color w:val="auto"/>
            <w:sz w:val="24"/>
            <w:szCs w:val="24"/>
            <w:u w:val="none"/>
          </w:rPr>
          <w:t>3.</w:t>
        </w:r>
        <w:r w:rsidR="006F034F" w:rsidRPr="003111FA">
          <w:rPr>
            <w:rFonts w:ascii="Times New Roman" w:eastAsia="Times New Roman" w:hAnsi="Times New Roman" w:cs="Times New Roman"/>
            <w:sz w:val="24"/>
            <w:szCs w:val="24"/>
            <w:lang w:val="en-US"/>
          </w:rPr>
          <w:t xml:space="preserve"> </w:t>
        </w:r>
        <w:r w:rsidR="001C0916" w:rsidRPr="003111FA">
          <w:rPr>
            <w:rStyle w:val="Hyperlink"/>
            <w:rFonts w:ascii="Times New Roman" w:hAnsi="Times New Roman" w:cs="Times New Roman"/>
            <w:b/>
            <w:bCs/>
            <w:color w:val="auto"/>
            <w:sz w:val="24"/>
            <w:szCs w:val="24"/>
            <w:u w:val="none"/>
          </w:rPr>
          <w:t>Мерки за информиране и публичност</w:t>
        </w:r>
        <w:r w:rsidR="001C0916" w:rsidRPr="003111FA">
          <w:rPr>
            <w:rFonts w:ascii="Times New Roman" w:hAnsi="Times New Roman" w:cs="Times New Roman"/>
            <w:webHidden/>
            <w:sz w:val="24"/>
            <w:szCs w:val="24"/>
          </w:rPr>
          <w:tab/>
        </w:r>
      </w:hyperlink>
      <w:r w:rsidR="00510E20" w:rsidRPr="003111FA">
        <w:rPr>
          <w:rStyle w:val="Hyperlink"/>
          <w:rFonts w:ascii="Times New Roman" w:hAnsi="Times New Roman" w:cs="Times New Roman"/>
          <w:color w:val="auto"/>
          <w:sz w:val="24"/>
          <w:szCs w:val="24"/>
          <w:u w:val="none"/>
        </w:rPr>
        <w:t>12</w:t>
      </w:r>
    </w:p>
    <w:p w14:paraId="0FB57006" w14:textId="5849DD7F" w:rsidR="001C0916" w:rsidRPr="003111FA" w:rsidRDefault="00E3365C" w:rsidP="00807928">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3111FA">
          <w:rPr>
            <w:rStyle w:val="Hyperlink"/>
            <w:rFonts w:ascii="Times New Roman" w:hAnsi="Times New Roman" w:cs="Times New Roman"/>
            <w:b/>
            <w:bCs/>
            <w:color w:val="auto"/>
            <w:sz w:val="24"/>
            <w:szCs w:val="24"/>
            <w:u w:val="none"/>
          </w:rPr>
          <w:t>4.</w:t>
        </w:r>
        <w:r w:rsidR="00510E20" w:rsidRPr="003111FA">
          <w:rPr>
            <w:rStyle w:val="Hyperlink"/>
            <w:rFonts w:ascii="Times New Roman" w:hAnsi="Times New Roman" w:cs="Times New Roman"/>
            <w:b/>
            <w:bCs/>
            <w:color w:val="auto"/>
            <w:sz w:val="24"/>
            <w:szCs w:val="24"/>
            <w:u w:val="none"/>
            <w:lang w:val="en-US"/>
          </w:rPr>
          <w:t xml:space="preserve"> </w:t>
        </w:r>
        <w:r w:rsidR="00510E20" w:rsidRPr="003111FA">
          <w:rPr>
            <w:rStyle w:val="Hyperlink"/>
            <w:rFonts w:ascii="Times New Roman" w:hAnsi="Times New Roman" w:cs="Times New Roman"/>
            <w:b/>
            <w:bCs/>
            <w:color w:val="auto"/>
            <w:sz w:val="24"/>
            <w:szCs w:val="24"/>
            <w:u w:val="none"/>
          </w:rPr>
          <w:t>Приложения към Условията за изпълнение:</w:t>
        </w:r>
        <w:r w:rsidR="00510E20" w:rsidRPr="003111FA">
          <w:rPr>
            <w:rFonts w:ascii="Times New Roman" w:hAnsi="Times New Roman" w:cs="Times New Roman"/>
            <w:webHidden/>
            <w:sz w:val="24"/>
            <w:szCs w:val="24"/>
          </w:rPr>
          <w:tab/>
        </w:r>
        <w:r w:rsidR="00510E20" w:rsidRPr="003111FA">
          <w:rPr>
            <w:rFonts w:ascii="Times New Roman" w:hAnsi="Times New Roman" w:cs="Times New Roman"/>
            <w:webHidden/>
            <w:sz w:val="24"/>
            <w:szCs w:val="24"/>
          </w:rPr>
          <w:fldChar w:fldCharType="begin"/>
        </w:r>
        <w:r w:rsidR="00510E20" w:rsidRPr="003111FA">
          <w:rPr>
            <w:rFonts w:ascii="Times New Roman" w:hAnsi="Times New Roman" w:cs="Times New Roman"/>
            <w:webHidden/>
            <w:sz w:val="24"/>
            <w:szCs w:val="24"/>
          </w:rPr>
          <w:instrText xml:space="preserve"> PAGEREF _Toc509920777 \h </w:instrText>
        </w:r>
        <w:r w:rsidR="00510E20" w:rsidRPr="003111FA">
          <w:rPr>
            <w:rFonts w:ascii="Times New Roman" w:hAnsi="Times New Roman" w:cs="Times New Roman"/>
            <w:webHidden/>
            <w:sz w:val="24"/>
            <w:szCs w:val="24"/>
          </w:rPr>
        </w:r>
        <w:r w:rsidR="00510E20" w:rsidRPr="003111FA">
          <w:rPr>
            <w:rFonts w:ascii="Times New Roman" w:hAnsi="Times New Roman" w:cs="Times New Roman"/>
            <w:webHidden/>
            <w:sz w:val="24"/>
            <w:szCs w:val="24"/>
          </w:rPr>
          <w:fldChar w:fldCharType="separate"/>
        </w:r>
        <w:r w:rsidR="00510E20" w:rsidRPr="003111FA">
          <w:rPr>
            <w:rFonts w:ascii="Times New Roman" w:hAnsi="Times New Roman" w:cs="Times New Roman"/>
            <w:webHidden/>
            <w:sz w:val="24"/>
            <w:szCs w:val="24"/>
          </w:rPr>
          <w:t>13</w:t>
        </w:r>
        <w:r w:rsidR="00510E20" w:rsidRPr="003111FA">
          <w:rPr>
            <w:rFonts w:ascii="Times New Roman" w:hAnsi="Times New Roman" w:cs="Times New Roman"/>
            <w:webHidden/>
            <w:sz w:val="24"/>
            <w:szCs w:val="24"/>
          </w:rPr>
          <w:fldChar w:fldCharType="end"/>
        </w:r>
      </w:hyperlink>
    </w:p>
    <w:p w14:paraId="3E973F51" w14:textId="74B0C76C" w:rsidR="00706643" w:rsidRPr="003111FA" w:rsidRDefault="00706643" w:rsidP="00807928">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fldChar w:fldCharType="end"/>
      </w:r>
    </w:p>
    <w:p w14:paraId="3CDF5DF7" w14:textId="7939158A" w:rsidR="00DD14F8" w:rsidRPr="003111FA" w:rsidRDefault="00DD14F8" w:rsidP="00807928">
      <w:pPr>
        <w:spacing w:after="0" w:line="276" w:lineRule="auto"/>
        <w:rPr>
          <w:rFonts w:ascii="Times New Roman" w:hAnsi="Times New Roman" w:cs="Times New Roman"/>
          <w:sz w:val="24"/>
          <w:szCs w:val="24"/>
        </w:rPr>
      </w:pPr>
    </w:p>
    <w:p w14:paraId="1DFC5389" w14:textId="2F343BF6" w:rsidR="00DD14F8" w:rsidRPr="003111FA" w:rsidRDefault="00DD14F8" w:rsidP="00807928">
      <w:pPr>
        <w:spacing w:after="0" w:line="276" w:lineRule="auto"/>
        <w:rPr>
          <w:rFonts w:ascii="Times New Roman" w:hAnsi="Times New Roman" w:cs="Times New Roman"/>
          <w:sz w:val="24"/>
          <w:szCs w:val="24"/>
        </w:rPr>
      </w:pPr>
      <w:r w:rsidRPr="003111FA">
        <w:rPr>
          <w:rFonts w:ascii="Times New Roman" w:hAnsi="Times New Roman" w:cs="Times New Roman"/>
          <w:sz w:val="24"/>
          <w:szCs w:val="24"/>
        </w:rPr>
        <w:br w:type="page"/>
      </w:r>
    </w:p>
    <w:p w14:paraId="53716CC4" w14:textId="1D4E7357" w:rsidR="00DD14F8" w:rsidRPr="003111FA" w:rsidRDefault="00DD14F8" w:rsidP="00807928">
      <w:pPr>
        <w:keepNext/>
        <w:keepLines/>
        <w:spacing w:after="0" w:line="276" w:lineRule="auto"/>
        <w:jc w:val="both"/>
        <w:outlineLvl w:val="1"/>
        <w:rPr>
          <w:rFonts w:ascii="Times New Roman" w:hAnsi="Times New Roman" w:cs="Times New Roman"/>
          <w:b/>
          <w:bCs/>
          <w:color w:val="0070C0"/>
          <w:sz w:val="24"/>
          <w:szCs w:val="24"/>
        </w:rPr>
      </w:pPr>
      <w:r w:rsidRPr="003111FA">
        <w:rPr>
          <w:rFonts w:ascii="Times New Roman" w:hAnsi="Times New Roman" w:cs="Times New Roman"/>
          <w:b/>
          <w:bCs/>
          <w:color w:val="0070C0"/>
          <w:sz w:val="24"/>
          <w:szCs w:val="24"/>
        </w:rPr>
        <w:t>1.</w:t>
      </w:r>
      <w:r w:rsidR="00E02A98" w:rsidRPr="003111FA">
        <w:rPr>
          <w:rFonts w:ascii="Times New Roman" w:hAnsi="Times New Roman" w:cs="Times New Roman"/>
          <w:b/>
          <w:bCs/>
          <w:color w:val="0070C0"/>
          <w:sz w:val="24"/>
          <w:szCs w:val="24"/>
        </w:rPr>
        <w:t xml:space="preserve"> </w:t>
      </w:r>
      <w:r w:rsidRPr="003111FA">
        <w:rPr>
          <w:rFonts w:ascii="Times New Roman" w:hAnsi="Times New Roman" w:cs="Times New Roman"/>
          <w:b/>
          <w:bCs/>
          <w:color w:val="0070C0"/>
          <w:sz w:val="24"/>
          <w:szCs w:val="24"/>
        </w:rPr>
        <w:t>Техническо изпълнение на проектите</w:t>
      </w:r>
    </w:p>
    <w:p w14:paraId="6D24F018" w14:textId="77777777" w:rsidR="00D421A6" w:rsidRPr="003111FA" w:rsidRDefault="00DD14F8" w:rsidP="00807928">
      <w:pPr>
        <w:spacing w:before="120" w:after="120" w:line="276" w:lineRule="auto"/>
        <w:ind w:firstLine="567"/>
        <w:jc w:val="both"/>
        <w:rPr>
          <w:rFonts w:ascii="Times New Roman" w:hAnsi="Times New Roman" w:cs="Times New Roman"/>
          <w:sz w:val="24"/>
          <w:szCs w:val="24"/>
        </w:rPr>
      </w:pPr>
      <w:r w:rsidRPr="003111FA">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782D185F" w14:textId="762154D3" w:rsidR="00F64ECF" w:rsidRPr="00E9716C" w:rsidRDefault="00F64ECF" w:rsidP="00807928">
      <w:pPr>
        <w:spacing w:after="0" w:line="276" w:lineRule="auto"/>
        <w:ind w:firstLine="708"/>
        <w:jc w:val="both"/>
        <w:rPr>
          <w:rFonts w:ascii="Times New Roman" w:hAnsi="Times New Roman" w:cs="Times New Roman"/>
          <w:bCs/>
          <w:noProof/>
          <w:sz w:val="24"/>
          <w:szCs w:val="24"/>
        </w:rPr>
      </w:pPr>
      <w:r w:rsidRPr="003111FA">
        <w:rPr>
          <w:rFonts w:ascii="Times New Roman" w:hAnsi="Times New Roman" w:cs="Times New Roman"/>
          <w:bCs/>
          <w:noProof/>
          <w:sz w:val="24"/>
          <w:szCs w:val="24"/>
        </w:rPr>
        <w:t>Бенефициентите трябва да зачитат посочените 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4520D865" w14:textId="0A350357" w:rsidR="00F64ECF" w:rsidRPr="00E9716C" w:rsidRDefault="00F64ECF"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D291BDA" w14:textId="77777777"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Съгласно чл. 33, параграф 1, букви „а“, „б“ и „в“ на Финансовия регламент:</w:t>
      </w:r>
    </w:p>
    <w:p w14:paraId="1D1E4580" w14:textId="77C02AB8"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2D5D0808" w14:textId="77777777"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1D326FBE" w14:textId="6509EE26" w:rsidR="00291DBD" w:rsidRPr="00E9716C" w:rsidRDefault="00291DBD" w:rsidP="00807928">
      <w:pPr>
        <w:spacing w:after="0" w:line="276" w:lineRule="auto"/>
        <w:ind w:firstLine="708"/>
        <w:jc w:val="both"/>
        <w:rPr>
          <w:rFonts w:ascii="Times New Roman" w:hAnsi="Times New Roman" w:cs="Times New Roman"/>
          <w:bCs/>
          <w:noProof/>
          <w:sz w:val="24"/>
          <w:szCs w:val="24"/>
        </w:rPr>
      </w:pPr>
      <w:r w:rsidRPr="00E9716C">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7C942A8E" w14:textId="38B2086B" w:rsidR="006958D3" w:rsidRPr="004D1FFD" w:rsidRDefault="006958D3" w:rsidP="00807928">
      <w:pPr>
        <w:spacing w:before="120" w:after="120" w:line="276" w:lineRule="auto"/>
        <w:jc w:val="both"/>
        <w:rPr>
          <w:rFonts w:ascii="Times New Roman" w:hAnsi="Times New Roman" w:cs="Times New Roman"/>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sz w:val="24"/>
          <w:szCs w:val="24"/>
        </w:rPr>
        <w:t xml:space="preserve"> На кандидатите се предоставя възможност да проведат процедури за избор на </w:t>
      </w:r>
      <w:r w:rsidRPr="007C7631">
        <w:rPr>
          <w:rFonts w:ascii="Times New Roman" w:hAnsi="Times New Roman" w:cs="Times New Roman"/>
          <w:sz w:val="24"/>
          <w:szCs w:val="24"/>
        </w:rPr>
        <w:t>изпълнители преди сключване на административния договор за предоставяне безвъзмездна</w:t>
      </w:r>
      <w:r w:rsidRPr="004D1FFD">
        <w:rPr>
          <w:rFonts w:ascii="Times New Roman" w:hAnsi="Times New Roman" w:cs="Times New Roman"/>
          <w:sz w:val="24"/>
          <w:szCs w:val="24"/>
        </w:rPr>
        <w:t xml:space="preserve"> финансова помощ</w:t>
      </w:r>
      <w:r w:rsidR="00505833" w:rsidRPr="004D1FFD">
        <w:rPr>
          <w:rFonts w:ascii="Times New Roman" w:hAnsi="Times New Roman" w:cs="Times New Roman"/>
          <w:sz w:val="24"/>
          <w:szCs w:val="24"/>
        </w:rPr>
        <w:t xml:space="preserve"> (АДПБФП)</w:t>
      </w:r>
      <w:r w:rsidRPr="004D1FFD">
        <w:rPr>
          <w:rFonts w:ascii="Times New Roman" w:hAnsi="Times New Roman" w:cs="Times New Roman"/>
          <w:sz w:val="24"/>
          <w:szCs w:val="24"/>
        </w:rPr>
        <w:t xml:space="preserve">. Бенефициентите, възложители съгласно ЗОП са длъжни да обявят чрез Централизираната автоматизирана информационна система </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електронни обществени поръчки</w:t>
      </w:r>
      <w:r w:rsidR="00520E26" w:rsidRPr="004D1FFD">
        <w:rPr>
          <w:rFonts w:ascii="Times New Roman" w:hAnsi="Times New Roman" w:cs="Times New Roman"/>
          <w:sz w:val="24"/>
          <w:szCs w:val="24"/>
        </w:rPr>
        <w:t>“</w:t>
      </w:r>
      <w:r w:rsidRPr="004D1FFD">
        <w:rPr>
          <w:rFonts w:ascii="Times New Roman" w:hAnsi="Times New Roman" w:cs="Times New Roman"/>
          <w:sz w:val="24"/>
          <w:szCs w:val="24"/>
        </w:rPr>
        <w:t xml:space="preserve"> (ЦАИС ЕОП) обществени поръчки за избор на изпълнител.</w:t>
      </w:r>
    </w:p>
    <w:p w14:paraId="727D8DA1" w14:textId="1CF2F09F" w:rsidR="006958D3" w:rsidRPr="004D1FFD" w:rsidRDefault="006958D3" w:rsidP="00807928">
      <w:pPr>
        <w:spacing w:before="120" w:after="120" w:line="276" w:lineRule="auto"/>
        <w:jc w:val="both"/>
        <w:rPr>
          <w:rFonts w:ascii="Times New Roman" w:hAnsi="Times New Roman" w:cs="Times New Roman"/>
          <w:sz w:val="24"/>
          <w:szCs w:val="24"/>
        </w:rPr>
      </w:pPr>
      <w:r w:rsidRPr="00817DBA">
        <w:rPr>
          <w:rFonts w:ascii="Times New Roman" w:hAnsi="Times New Roman" w:cs="Times New Roman"/>
          <w:b/>
          <w:sz w:val="24"/>
          <w:szCs w:val="24"/>
        </w:rPr>
        <w:t>ВАЖНО:</w:t>
      </w:r>
      <w:r w:rsidRPr="004D1FFD">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 към Условията за кандидатстване</w:t>
      </w:r>
      <w:r w:rsidR="00520E26" w:rsidRPr="004D1FFD">
        <w:rPr>
          <w:rFonts w:ascii="Times New Roman" w:hAnsi="Times New Roman" w:cs="Times New Roman"/>
          <w:sz w:val="24"/>
          <w:szCs w:val="24"/>
        </w:rPr>
        <w:t xml:space="preserve"> (УК)</w:t>
      </w:r>
      <w:r w:rsidRPr="004D1FFD">
        <w:rPr>
          <w:rFonts w:ascii="Times New Roman" w:hAnsi="Times New Roman" w:cs="Times New Roman"/>
          <w:sz w:val="24"/>
          <w:szCs w:val="24"/>
        </w:rPr>
        <w:t xml:space="preserve"> и времевия график за изпълнение на проекта във Формуляра за кандидатстване.</w:t>
      </w:r>
    </w:p>
    <w:p w14:paraId="29DF313A" w14:textId="444F0FCB" w:rsidR="00F97C68" w:rsidRDefault="006958D3" w:rsidP="00807928">
      <w:pPr>
        <w:spacing w:before="120" w:after="120" w:line="276" w:lineRule="auto"/>
        <w:jc w:val="both"/>
        <w:rPr>
          <w:rFonts w:ascii="Times New Roman" w:hAnsi="Times New Roman" w:cs="Times New Roman"/>
          <w:sz w:val="24"/>
          <w:szCs w:val="24"/>
        </w:rPr>
      </w:pPr>
      <w:r w:rsidRPr="00817DBA">
        <w:rPr>
          <w:rFonts w:ascii="Times New Roman" w:hAnsi="Times New Roman" w:cs="Times New Roman"/>
          <w:b/>
          <w:color w:val="4F6228" w:themeColor="accent3" w:themeShade="80"/>
          <w:sz w:val="24"/>
          <w:szCs w:val="24"/>
        </w:rPr>
        <w:t xml:space="preserve"> </w:t>
      </w:r>
      <w:r w:rsidRPr="00817DBA">
        <w:rPr>
          <w:rFonts w:ascii="Times New Roman" w:hAnsi="Times New Roman" w:cs="Times New Roman"/>
          <w:b/>
          <w:sz w:val="24"/>
          <w:szCs w:val="24"/>
        </w:rPr>
        <w:t>ВАЖНО:</w:t>
      </w:r>
      <w:r w:rsidRPr="004D1FFD">
        <w:rPr>
          <w:rFonts w:ascii="Times New Roman" w:hAnsi="Times New Roman" w:cs="Times New Roman"/>
          <w:sz w:val="24"/>
          <w:szCs w:val="24"/>
        </w:rPr>
        <w:t xml:space="preserve"> </w:t>
      </w:r>
      <w:r w:rsidR="00B62E82" w:rsidRPr="004D1FFD">
        <w:rPr>
          <w:rFonts w:ascii="Times New Roman" w:hAnsi="Times New Roman" w:cs="Times New Roman"/>
          <w:sz w:val="24"/>
          <w:szCs w:val="24"/>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w:t>
      </w:r>
    </w:p>
    <w:p w14:paraId="2D00677E" w14:textId="77777777" w:rsidR="009C0062" w:rsidRPr="000E133E" w:rsidRDefault="009C0062" w:rsidP="00807928">
      <w:pPr>
        <w:keepNext/>
        <w:keepLines/>
        <w:spacing w:after="0" w:line="276" w:lineRule="auto"/>
        <w:ind w:firstLine="708"/>
        <w:jc w:val="both"/>
        <w:outlineLvl w:val="1"/>
        <w:rPr>
          <w:rFonts w:ascii="Times New Roman" w:hAnsi="Times New Roman" w:cs="Times New Roman"/>
          <w:bCs/>
          <w:sz w:val="24"/>
          <w:szCs w:val="24"/>
        </w:rPr>
      </w:pPr>
      <w:r w:rsidRPr="000F49D1">
        <w:rPr>
          <w:rFonts w:ascii="Times New Roman" w:hAnsi="Times New Roman" w:cs="Times New Roman"/>
          <w:sz w:val="24"/>
          <w:szCs w:val="24"/>
        </w:rPr>
        <w:t xml:space="preserve">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 В срок до 20 работни дни от датата на получаването на документацията по проведените процедури за избор на изпълнители, УО на ПМДРА извършва проверка. Срокът спира да тече, в случай че е изискана допълнителна информация. В резултат на извършената проверка, УО на ПМДРА уведомява с писмо чрез ИСУН бенефициента за резултата от извършения последващ контрол, като посочва на кои процедури за избор на изпълнител е осъществен такъв.  </w:t>
      </w:r>
      <w:r w:rsidRPr="000E133E">
        <w:rPr>
          <w:rFonts w:ascii="Times New Roman" w:hAnsi="Times New Roman" w:cs="Times New Roman"/>
          <w:sz w:val="24"/>
          <w:szCs w:val="24"/>
        </w:rPr>
        <w:t xml:space="preserve"> </w:t>
      </w:r>
    </w:p>
    <w:p w14:paraId="038F0D4A" w14:textId="77777777" w:rsidR="009C0062" w:rsidRPr="00BE2E73" w:rsidRDefault="009C0062" w:rsidP="00807928">
      <w:pPr>
        <w:spacing w:before="120" w:line="276" w:lineRule="auto"/>
        <w:ind w:right="113" w:firstLine="709"/>
        <w:jc w:val="both"/>
        <w:rPr>
          <w:rFonts w:ascii="Times New Roman" w:hAnsi="Times New Roman" w:cs="Times New Roman"/>
          <w:sz w:val="24"/>
          <w:szCs w:val="24"/>
        </w:rPr>
      </w:pPr>
      <w:r>
        <w:rPr>
          <w:rFonts w:ascii="Times New Roman" w:hAnsi="Times New Roman" w:cs="Times New Roman"/>
          <w:b/>
          <w:bCs/>
          <w:sz w:val="24"/>
          <w:szCs w:val="24"/>
        </w:rPr>
        <w:t>В</w:t>
      </w:r>
      <w:r w:rsidRPr="000E133E">
        <w:rPr>
          <w:rFonts w:ascii="Times New Roman" w:hAnsi="Times New Roman" w:cs="Times New Roman"/>
          <w:b/>
          <w:bCs/>
          <w:sz w:val="24"/>
          <w:szCs w:val="24"/>
        </w:rPr>
        <w:t>АЖНО:</w:t>
      </w:r>
      <w:r w:rsidRPr="000E133E">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r w:rsidRPr="000E133E">
        <w:rPr>
          <w:rFonts w:ascii="Times New Roman" w:hAnsi="Times New Roman" w:cs="Times New Roman"/>
          <w:sz w:val="24"/>
          <w:szCs w:val="24"/>
        </w:rPr>
        <w:t xml:space="preserve">Съгласно чл. 39, ал. 4 от Закона за управление на средствата от </w:t>
      </w:r>
      <w:r w:rsidRPr="004D6AFD">
        <w:rPr>
          <w:rFonts w:ascii="Times New Roman" w:hAnsi="Times New Roman" w:cs="Times New Roman"/>
          <w:sz w:val="24"/>
          <w:szCs w:val="24"/>
        </w:rPr>
        <w:t xml:space="preserve">Европейските фондове при споделено управление, </w:t>
      </w:r>
      <w:r>
        <w:rPr>
          <w:rFonts w:ascii="Times New Roman" w:hAnsi="Times New Roman" w:cs="Times New Roman"/>
          <w:sz w:val="24"/>
          <w:szCs w:val="24"/>
        </w:rPr>
        <w:t>(ЗУС</w:t>
      </w:r>
      <w:r w:rsidRPr="000E133E">
        <w:rPr>
          <w:rFonts w:ascii="Times New Roman" w:hAnsi="Times New Roman" w:cs="Times New Roman"/>
          <w:sz w:val="24"/>
          <w:szCs w:val="24"/>
        </w:rPr>
        <w:t>ЕФСУ</w:t>
      </w:r>
      <w:r>
        <w:rPr>
          <w:rFonts w:ascii="Times New Roman" w:hAnsi="Times New Roman" w:cs="Times New Roman"/>
          <w:sz w:val="24"/>
          <w:szCs w:val="24"/>
        </w:rPr>
        <w:t>)</w:t>
      </w:r>
      <w:r w:rsidRPr="000E133E">
        <w:rPr>
          <w:rFonts w:ascii="Times New Roman" w:hAnsi="Times New Roman" w:cs="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23/13.02.2013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75E5627E" w14:textId="376DAC08" w:rsidR="009C0062" w:rsidRDefault="009C0062" w:rsidP="00807928">
      <w:pPr>
        <w:spacing w:before="120" w:after="120" w:line="276" w:lineRule="auto"/>
        <w:jc w:val="both"/>
        <w:rPr>
          <w:rFonts w:ascii="Times New Roman" w:hAnsi="Times New Roman" w:cs="Times New Roman"/>
          <w:sz w:val="24"/>
          <w:szCs w:val="24"/>
        </w:rPr>
      </w:pPr>
    </w:p>
    <w:p w14:paraId="056D8E38" w14:textId="77777777" w:rsidR="009C0062" w:rsidRPr="004D1FFD" w:rsidRDefault="009C0062" w:rsidP="00807928">
      <w:pPr>
        <w:spacing w:before="120" w:after="120" w:line="276" w:lineRule="auto"/>
        <w:jc w:val="both"/>
        <w:rPr>
          <w:rFonts w:ascii="Times New Roman" w:hAnsi="Times New Roman" w:cs="Times New Roman"/>
          <w:sz w:val="24"/>
          <w:szCs w:val="24"/>
        </w:rPr>
      </w:pPr>
    </w:p>
    <w:p w14:paraId="78D992A0" w14:textId="13C38105" w:rsidR="006726A5" w:rsidRPr="00E9716C" w:rsidRDefault="006726A5" w:rsidP="00807928">
      <w:pPr>
        <w:keepNext/>
        <w:keepLines/>
        <w:spacing w:before="120" w:after="12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 xml:space="preserve">1.1. </w:t>
      </w:r>
      <w:r w:rsidR="000F2EA8" w:rsidRPr="00E9716C">
        <w:rPr>
          <w:rFonts w:ascii="Times New Roman" w:hAnsi="Times New Roman" w:cs="Times New Roman"/>
          <w:b/>
          <w:bCs/>
          <w:color w:val="5B9BD5"/>
          <w:sz w:val="24"/>
          <w:szCs w:val="24"/>
        </w:rPr>
        <w:t xml:space="preserve">Процедури </w:t>
      </w:r>
      <w:r w:rsidRPr="00E9716C">
        <w:rPr>
          <w:rFonts w:ascii="Times New Roman" w:hAnsi="Times New Roman" w:cs="Times New Roman"/>
          <w:b/>
          <w:bCs/>
          <w:color w:val="5B9BD5"/>
          <w:sz w:val="24"/>
          <w:szCs w:val="24"/>
        </w:rPr>
        <w:t>за избор на изпълнител.</w:t>
      </w:r>
    </w:p>
    <w:p w14:paraId="4DDB0154" w14:textId="311A66A6"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Бенефициентите могат да изберат изпълнител по следния ред:</w:t>
      </w:r>
    </w:p>
    <w:p w14:paraId="1B675C3C" w14:textId="1E77BB1F" w:rsidR="006958D3" w:rsidRPr="004D1FFD" w:rsidRDefault="006958D3" w:rsidP="00807928">
      <w:pPr>
        <w:spacing w:before="120" w:after="120" w:line="276" w:lineRule="auto"/>
        <w:ind w:firstLine="567"/>
        <w:jc w:val="both"/>
        <w:rPr>
          <w:rFonts w:ascii="Times New Roman" w:hAnsi="Times New Roman" w:cs="Times New Roman"/>
          <w:b/>
          <w:bCs/>
          <w:sz w:val="24"/>
          <w:szCs w:val="24"/>
          <w:u w:val="single"/>
        </w:rPr>
      </w:pPr>
      <w:r w:rsidRPr="004D1FFD">
        <w:rPr>
          <w:rFonts w:ascii="Times New Roman" w:hAnsi="Times New Roman" w:cs="Times New Roman"/>
          <w:b/>
          <w:bCs/>
          <w:sz w:val="24"/>
          <w:szCs w:val="24"/>
          <w:u w:val="single"/>
        </w:rPr>
        <w:t>А. Избор на изпълнител по реда на Закона за обществените поръчки:</w:t>
      </w:r>
    </w:p>
    <w:p w14:paraId="6DDC5203" w14:textId="674A2EE1"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
          <w:bCs/>
          <w:sz w:val="24"/>
          <w:szCs w:val="24"/>
        </w:rPr>
        <w:t>ВАЖНО:</w:t>
      </w:r>
      <w:r w:rsidRPr="004D1FFD">
        <w:rPr>
          <w:rFonts w:ascii="Times New Roman" w:hAnsi="Times New Roman" w:cs="Times New Roman"/>
          <w:bCs/>
          <w:sz w:val="24"/>
          <w:szCs w:val="24"/>
        </w:rPr>
        <w:t xml:space="preserve"> Преди подаване на проектното предложение по настоящата процедура на кандидатите, възложители съгласно ЗОП се дава възможност да обявят обществените поръчки за дейностите, които ще се изпълняват по проекта. </w:t>
      </w:r>
    </w:p>
    <w:p w14:paraId="38432A7C" w14:textId="1CB5351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За целта, в срок до 5 работни дни от сключване на договор с избрания изпълнител бенефициентите са длъжни да уведомят писмено УО на ПМДРА за подписания договор, чрез въвеждането му в</w:t>
      </w:r>
      <w:r w:rsidR="00505833" w:rsidRPr="004D1FFD">
        <w:rPr>
          <w:rFonts w:ascii="Times New Roman" w:hAnsi="Times New Roman" w:cs="Times New Roman"/>
          <w:bCs/>
          <w:sz w:val="24"/>
          <w:szCs w:val="24"/>
        </w:rPr>
        <w:t xml:space="preserve"> Информационната система за управление и наблюдение на средствата от Европейските структурни и инвестиционни фондове</w:t>
      </w:r>
      <w:r w:rsidRPr="004D1FFD">
        <w:rPr>
          <w:rFonts w:ascii="Times New Roman" w:hAnsi="Times New Roman" w:cs="Times New Roman"/>
          <w:bCs/>
          <w:sz w:val="24"/>
          <w:szCs w:val="24"/>
        </w:rPr>
        <w:t xml:space="preserve">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ИСУН</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w:t>
      </w:r>
    </w:p>
    <w:p w14:paraId="03C1B862" w14:textId="7777777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Цялата документация, свързана с провеждането на обществената поръчка, следва да бъде представена от бенефициента на УО на ПМДРА чрез ИСУН,</w:t>
      </w:r>
      <w:r w:rsidRPr="004D1FFD">
        <w:rPr>
          <w:rFonts w:ascii="Times New Roman" w:hAnsi="Times New Roman" w:cs="Times New Roman"/>
          <w:b/>
          <w:bCs/>
          <w:sz w:val="24"/>
          <w:szCs w:val="24"/>
        </w:rPr>
        <w:t xml:space="preserve"> </w:t>
      </w:r>
      <w:r w:rsidRPr="004D1FFD">
        <w:rPr>
          <w:rFonts w:ascii="Times New Roman" w:hAnsi="Times New Roman" w:cs="Times New Roman"/>
          <w:bCs/>
          <w:sz w:val="24"/>
          <w:szCs w:val="24"/>
        </w:rPr>
        <w:t>като задължително го уведомява за това чрез модул „Комуникация“.</w:t>
      </w:r>
    </w:p>
    <w:p w14:paraId="39CB3934" w14:textId="77777777"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ПМДРА.</w:t>
      </w:r>
    </w:p>
    <w:p w14:paraId="445E632C" w14:textId="09C8CE35"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Когато Бенефициентът не е представил изисканите допълнителни документи/информация и разяснения в посочения по-горе срок, УО на ПМДРА може </w:t>
      </w:r>
      <w:r w:rsidR="00505833" w:rsidRPr="004D1FFD">
        <w:rPr>
          <w:rFonts w:ascii="Times New Roman" w:hAnsi="Times New Roman" w:cs="Times New Roman"/>
          <w:bCs/>
          <w:sz w:val="24"/>
          <w:szCs w:val="24"/>
        </w:rPr>
        <w:t>да</w:t>
      </w:r>
      <w:r w:rsidRPr="004D1FFD">
        <w:rPr>
          <w:rFonts w:ascii="Times New Roman" w:hAnsi="Times New Roman" w:cs="Times New Roman"/>
          <w:bCs/>
          <w:sz w:val="24"/>
          <w:szCs w:val="24"/>
        </w:rPr>
        <w:t xml:space="preserve">                                                                                          предостави повторна възможност на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за предоставяне на същата в срок от 5 работни дни. В случай че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40F5C4F" w14:textId="47AAD4CB"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В случай на установяване на нередности по смисъла на чл. 2, параграф 31 от Регламент (ЕС) № 2021/1060  в проведената процедура, УО на ПМДРА налага финансова корекция по реда на чл. 70 и следващите от ЗУСЕФСУ.</w:t>
      </w:r>
    </w:p>
    <w:p w14:paraId="0C552DED" w14:textId="3494216B"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Правата и задълженията, които възникват за </w:t>
      </w:r>
      <w:r w:rsidR="00505833" w:rsidRPr="004D1FFD">
        <w:rPr>
          <w:rFonts w:ascii="Times New Roman" w:hAnsi="Times New Roman" w:cs="Times New Roman"/>
          <w:bCs/>
          <w:sz w:val="24"/>
          <w:szCs w:val="24"/>
        </w:rPr>
        <w:t>б</w:t>
      </w:r>
      <w:r w:rsidRPr="004D1FFD">
        <w:rPr>
          <w:rFonts w:ascii="Times New Roman" w:hAnsi="Times New Roman" w:cs="Times New Roman"/>
          <w:bCs/>
          <w:sz w:val="24"/>
          <w:szCs w:val="24"/>
        </w:rPr>
        <w:t xml:space="preserve">енефициента, са описани в приложения образец на </w:t>
      </w:r>
      <w:r w:rsidR="00505833" w:rsidRPr="004D1FFD">
        <w:rPr>
          <w:rFonts w:ascii="Times New Roman" w:hAnsi="Times New Roman" w:cs="Times New Roman"/>
          <w:bCs/>
          <w:sz w:val="24"/>
          <w:szCs w:val="24"/>
        </w:rPr>
        <w:t>АДПБФП</w:t>
      </w:r>
      <w:r w:rsidRPr="004D1FFD">
        <w:rPr>
          <w:rFonts w:ascii="Times New Roman" w:hAnsi="Times New Roman" w:cs="Times New Roman"/>
          <w:bCs/>
          <w:sz w:val="24"/>
          <w:szCs w:val="24"/>
        </w:rPr>
        <w:t xml:space="preserve"> по </w:t>
      </w:r>
      <w:r w:rsidR="00505833" w:rsidRPr="004D1FFD">
        <w:rPr>
          <w:rFonts w:ascii="Times New Roman" w:hAnsi="Times New Roman" w:cs="Times New Roman"/>
          <w:bCs/>
          <w:sz w:val="24"/>
          <w:szCs w:val="24"/>
        </w:rPr>
        <w:t>ПМДРА</w:t>
      </w:r>
      <w:r w:rsidRPr="004D1FFD">
        <w:rPr>
          <w:rFonts w:ascii="Times New Roman" w:hAnsi="Times New Roman" w:cs="Times New Roman"/>
          <w:bCs/>
          <w:sz w:val="24"/>
          <w:szCs w:val="24"/>
        </w:rPr>
        <w:t xml:space="preserve"> 2021-2027 (Приложение № </w:t>
      </w:r>
      <w:r w:rsidR="00C904CE" w:rsidRPr="004D1FFD">
        <w:rPr>
          <w:rFonts w:ascii="Times New Roman" w:hAnsi="Times New Roman" w:cs="Times New Roman"/>
          <w:bCs/>
          <w:sz w:val="24"/>
          <w:szCs w:val="24"/>
        </w:rPr>
        <w:t>8</w:t>
      </w:r>
      <w:r w:rsidRPr="004D1FFD">
        <w:rPr>
          <w:rFonts w:ascii="Times New Roman" w:hAnsi="Times New Roman" w:cs="Times New Roman"/>
          <w:bCs/>
          <w:sz w:val="24"/>
          <w:szCs w:val="24"/>
        </w:rPr>
        <w:t xml:space="preserve">) и Общите условия към финансираните по процедурата договори за безвъзмездна финансова помощ (Приложение № </w:t>
      </w:r>
      <w:r w:rsidR="00C904CE" w:rsidRPr="004D1FFD">
        <w:rPr>
          <w:rFonts w:ascii="Times New Roman" w:hAnsi="Times New Roman" w:cs="Times New Roman"/>
          <w:bCs/>
          <w:sz w:val="24"/>
          <w:szCs w:val="24"/>
        </w:rPr>
        <w:t>9</w:t>
      </w:r>
      <w:r w:rsidRPr="004D1FFD">
        <w:rPr>
          <w:rFonts w:ascii="Times New Roman" w:hAnsi="Times New Roman" w:cs="Times New Roman"/>
          <w:bCs/>
          <w:sz w:val="24"/>
          <w:szCs w:val="24"/>
        </w:rPr>
        <w:t>).</w:t>
      </w:r>
    </w:p>
    <w:p w14:paraId="5CE0C632" w14:textId="31D2E39C" w:rsidR="006958D3" w:rsidRPr="004D1FFD" w:rsidRDefault="006958D3" w:rsidP="00807928">
      <w:pPr>
        <w:spacing w:before="120" w:after="120" w:line="276" w:lineRule="auto"/>
        <w:ind w:firstLine="567"/>
        <w:jc w:val="both"/>
        <w:rPr>
          <w:rFonts w:ascii="Times New Roman" w:hAnsi="Times New Roman" w:cs="Times New Roman"/>
          <w:bCs/>
          <w:sz w:val="24"/>
          <w:szCs w:val="24"/>
        </w:rPr>
      </w:pPr>
      <w:r w:rsidRPr="004D1FFD">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ЗУСЕФСУ </w:t>
      </w:r>
      <w:r w:rsidR="00505833" w:rsidRPr="004D1FFD">
        <w:rPr>
          <w:rFonts w:ascii="Times New Roman" w:hAnsi="Times New Roman" w:cs="Times New Roman"/>
          <w:bCs/>
          <w:sz w:val="24"/>
          <w:szCs w:val="24"/>
        </w:rPr>
        <w:t>–</w:t>
      </w:r>
      <w:r w:rsidRPr="004D1FFD">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 приета с Постановление № 11 от 10.08.2023 г. на Министерския съвет, и съобразно подписаната от него Декларация за нередности по образец.</w:t>
      </w:r>
    </w:p>
    <w:p w14:paraId="6F63B651" w14:textId="18072C9C" w:rsidR="00F2796C" w:rsidRPr="00807928" w:rsidRDefault="00E55634" w:rsidP="00807928">
      <w:pPr>
        <w:spacing w:before="120" w:after="120" w:line="276" w:lineRule="auto"/>
        <w:ind w:firstLine="567"/>
        <w:jc w:val="both"/>
        <w:rPr>
          <w:rFonts w:ascii="Times New Roman" w:hAnsi="Times New Roman" w:cs="Times New Roman"/>
          <w:bCs/>
          <w:sz w:val="24"/>
          <w:szCs w:val="24"/>
        </w:rPr>
      </w:pPr>
      <w:r w:rsidRPr="00647209">
        <w:rPr>
          <w:rFonts w:ascii="Times New Roman" w:hAnsi="Times New Roman" w:cs="Times New Roman"/>
          <w:b/>
          <w:bCs/>
          <w:sz w:val="24"/>
          <w:szCs w:val="24"/>
          <w:u w:val="single"/>
        </w:rPr>
        <w:t>Б</w:t>
      </w:r>
      <w:r w:rsidR="006726A5" w:rsidRPr="00647209">
        <w:rPr>
          <w:rFonts w:ascii="Times New Roman" w:hAnsi="Times New Roman" w:cs="Times New Roman"/>
          <w:b/>
          <w:bCs/>
          <w:sz w:val="24"/>
          <w:szCs w:val="24"/>
          <w:u w:val="single"/>
        </w:rPr>
        <w:t>.</w:t>
      </w:r>
      <w:r w:rsidR="006726A5" w:rsidRPr="00647209">
        <w:rPr>
          <w:rFonts w:ascii="Times New Roman" w:hAnsi="Times New Roman" w:cs="Times New Roman"/>
          <w:bCs/>
          <w:sz w:val="24"/>
          <w:szCs w:val="24"/>
          <w:u w:val="single"/>
        </w:rPr>
        <w:t xml:space="preserve"> </w:t>
      </w:r>
      <w:r w:rsidR="006726A5" w:rsidRPr="00647209">
        <w:rPr>
          <w:rFonts w:ascii="Times New Roman" w:hAnsi="Times New Roman" w:cs="Times New Roman"/>
          <w:b/>
          <w:bCs/>
          <w:sz w:val="24"/>
          <w:szCs w:val="24"/>
          <w:u w:val="single"/>
        </w:rPr>
        <w:t>„Процедура за избор с публична покана“</w:t>
      </w:r>
      <w:r w:rsidR="006726A5" w:rsidRPr="00E9716C">
        <w:rPr>
          <w:rFonts w:ascii="Times New Roman" w:hAnsi="Times New Roman" w:cs="Times New Roman"/>
          <w:b/>
          <w:bCs/>
          <w:sz w:val="24"/>
          <w:szCs w:val="24"/>
        </w:rPr>
        <w:t xml:space="preserve"> </w:t>
      </w:r>
      <w:r w:rsidR="006726A5" w:rsidRPr="00E9716C">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363FA06F" w:rsidR="006726A5" w:rsidRPr="00E9716C" w:rsidRDefault="006726A5"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с публична покана, на кандидатите се предоставя възможност да проведат процедури за из</w:t>
      </w:r>
      <w:r w:rsidR="00143F5B" w:rsidRPr="00E9716C">
        <w:rPr>
          <w:rFonts w:ascii="Times New Roman" w:hAnsi="Times New Roman" w:cs="Times New Roman"/>
          <w:bCs/>
          <w:sz w:val="24"/>
          <w:szCs w:val="24"/>
        </w:rPr>
        <w:t xml:space="preserve">бор на изпълнител по реда на </w:t>
      </w:r>
      <w:r w:rsidRPr="00E9716C">
        <w:rPr>
          <w:rFonts w:ascii="Times New Roman" w:hAnsi="Times New Roman" w:cs="Times New Roman"/>
          <w:bCs/>
          <w:sz w:val="24"/>
          <w:szCs w:val="24"/>
        </w:rPr>
        <w:t>ПМС № 4 от 2024 г</w:t>
      </w:r>
      <w:r w:rsidR="001A2B47">
        <w:rPr>
          <w:rFonts w:ascii="Times New Roman" w:hAnsi="Times New Roman" w:cs="Times New Roman"/>
          <w:bCs/>
          <w:sz w:val="24"/>
          <w:szCs w:val="24"/>
        </w:rPr>
        <w:t>.</w:t>
      </w:r>
      <w:r w:rsidR="00647209">
        <w:rPr>
          <w:rFonts w:ascii="Times New Roman" w:hAnsi="Times New Roman" w:cs="Times New Roman"/>
          <w:bCs/>
          <w:sz w:val="24"/>
          <w:szCs w:val="24"/>
        </w:rPr>
        <w:t xml:space="preserve"> </w:t>
      </w:r>
      <w:r w:rsidR="00647209" w:rsidRPr="001A2B47">
        <w:rPr>
          <w:rFonts w:ascii="Times New Roman" w:hAnsi="Times New Roman" w:cs="Times New Roman"/>
          <w:bCs/>
          <w:sz w:val="24"/>
          <w:szCs w:val="24"/>
        </w:rPr>
        <w:t>преди</w:t>
      </w:r>
      <w:r w:rsidRPr="00807928">
        <w:rPr>
          <w:rFonts w:ascii="Times New Roman" w:hAnsi="Times New Roman" w:cs="Times New Roman"/>
          <w:bCs/>
          <w:sz w:val="24"/>
          <w:szCs w:val="24"/>
        </w:rPr>
        <w:t xml:space="preserve"> </w:t>
      </w:r>
      <w:r w:rsidRPr="001A2B47">
        <w:rPr>
          <w:rFonts w:ascii="Times New Roman" w:hAnsi="Times New Roman" w:cs="Times New Roman"/>
          <w:bCs/>
          <w:sz w:val="24"/>
          <w:szCs w:val="24"/>
        </w:rPr>
        <w:t>подаване</w:t>
      </w:r>
      <w:r w:rsidRPr="00E9716C">
        <w:rPr>
          <w:rFonts w:ascii="Times New Roman" w:hAnsi="Times New Roman" w:cs="Times New Roman"/>
          <w:bCs/>
          <w:sz w:val="24"/>
          <w:szCs w:val="24"/>
        </w:rPr>
        <w:t xml:space="preserve"> на формуляра за кандидатстване.</w:t>
      </w:r>
    </w:p>
    <w:p w14:paraId="626BD305" w14:textId="6B332855"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При избор на изпълнител бенефициентите задължително прилагат разпоредбите на настоящите Условия за изпълнение</w:t>
      </w:r>
      <w:r w:rsidR="00505833" w:rsidRPr="00E9716C">
        <w:rPr>
          <w:rFonts w:ascii="Times New Roman" w:hAnsi="Times New Roman" w:cs="Times New Roman"/>
          <w:bCs/>
          <w:sz w:val="24"/>
          <w:szCs w:val="24"/>
        </w:rPr>
        <w:t xml:space="preserve"> (УИ)</w:t>
      </w:r>
      <w:r w:rsidRPr="00E9716C">
        <w:rPr>
          <w:rFonts w:ascii="Times New Roman" w:hAnsi="Times New Roman" w:cs="Times New Roman"/>
          <w:bCs/>
          <w:sz w:val="24"/>
          <w:szCs w:val="24"/>
        </w:rPr>
        <w:t xml:space="preserve">. </w:t>
      </w:r>
    </w:p>
    <w:p w14:paraId="3A66187D" w14:textId="0D2E6913" w:rsidR="00944D07" w:rsidRPr="00E9716C" w:rsidRDefault="006726A5"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E9716C">
        <w:rPr>
          <w:rFonts w:ascii="Times New Roman" w:hAnsi="Times New Roman" w:cs="Times New Roman"/>
          <w:bCs/>
          <w:sz w:val="24"/>
          <w:szCs w:val="24"/>
        </w:rPr>
        <w:t>ПМС № 4 от 2024 г.</w:t>
      </w:r>
      <w:r w:rsidRPr="00E9716C">
        <w:rPr>
          <w:rFonts w:ascii="Times New Roman" w:hAnsi="Times New Roman" w:cs="Times New Roman"/>
          <w:bCs/>
          <w:sz w:val="24"/>
          <w:szCs w:val="24"/>
        </w:rPr>
        <w:t xml:space="preserve"> Същото може да бъде намерено на следния интернет адрес: </w:t>
      </w:r>
      <w:hyperlink r:id="rId8" w:history="1">
        <w:r w:rsidRPr="003111FA">
          <w:rPr>
            <w:rStyle w:val="Hyperlink"/>
            <w:rFonts w:ascii="Times New Roman" w:hAnsi="Times New Roman" w:cs="Times New Roman"/>
            <w:bCs/>
            <w:i/>
            <w:color w:val="auto"/>
            <w:sz w:val="24"/>
            <w:szCs w:val="24"/>
          </w:rPr>
          <w:t>https://eufunds.bg/bg/pmdr/node/15348</w:t>
        </w:r>
      </w:hyperlink>
      <w:r w:rsidRPr="003111FA">
        <w:rPr>
          <w:rFonts w:ascii="Times New Roman" w:hAnsi="Times New Roman" w:cs="Times New Roman"/>
          <w:bCs/>
          <w:i/>
          <w:sz w:val="24"/>
          <w:szCs w:val="24"/>
        </w:rPr>
        <w:t>.</w:t>
      </w:r>
      <w:r w:rsidRPr="003111FA">
        <w:rPr>
          <w:rFonts w:ascii="Times New Roman" w:hAnsi="Times New Roman" w:cs="Times New Roman"/>
          <w:bCs/>
          <w:sz w:val="24"/>
          <w:szCs w:val="24"/>
        </w:rPr>
        <w:t xml:space="preserve"> </w:t>
      </w:r>
    </w:p>
    <w:p w14:paraId="5A2F2256"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491FA4CE" w14:textId="77777777" w:rsidR="0026492C" w:rsidRPr="009A23BE"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w:t>
      </w:r>
      <w:r w:rsidRPr="009A23BE">
        <w:rPr>
          <w:rFonts w:ascii="Times New Roman" w:hAnsi="Times New Roman" w:cs="Times New Roman"/>
          <w:bCs/>
          <w:sz w:val="24"/>
          <w:szCs w:val="24"/>
        </w:rPr>
        <w:t xml:space="preserve">е по-голям от 50 на сто от общата сума на одобрения проект и прогнозната стойност за: </w:t>
      </w:r>
    </w:p>
    <w:p w14:paraId="5E02458E" w14:textId="28893BD1" w:rsidR="0026492C" w:rsidRPr="009A23BE" w:rsidRDefault="0026492C" w:rsidP="00807928">
      <w:pPr>
        <w:spacing w:before="120" w:after="120" w:line="276" w:lineRule="auto"/>
        <w:ind w:firstLine="567"/>
        <w:jc w:val="both"/>
        <w:rPr>
          <w:rFonts w:ascii="Times New Roman" w:hAnsi="Times New Roman" w:cs="Times New Roman"/>
          <w:bCs/>
          <w:sz w:val="24"/>
          <w:szCs w:val="24"/>
        </w:rPr>
      </w:pPr>
      <w:r w:rsidRPr="009A23BE">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р</w:t>
      </w:r>
      <w:r w:rsidR="00860980">
        <w:rPr>
          <w:rFonts w:ascii="Times New Roman" w:hAnsi="Times New Roman" w:cs="Times New Roman"/>
          <w:bCs/>
          <w:sz w:val="24"/>
          <w:szCs w:val="24"/>
        </w:rPr>
        <w:t>авна или по-висока от 50 000 лв.</w:t>
      </w:r>
      <w:r w:rsidR="00CB656D">
        <w:rPr>
          <w:rFonts w:ascii="Times New Roman" w:hAnsi="Times New Roman" w:cs="Times New Roman"/>
          <w:bCs/>
          <w:sz w:val="24"/>
          <w:szCs w:val="24"/>
        </w:rPr>
        <w:t xml:space="preserve"> </w:t>
      </w:r>
      <w:r w:rsidR="00F67B3E">
        <w:rPr>
          <w:rFonts w:ascii="Times New Roman" w:hAnsi="Times New Roman" w:cs="Times New Roman"/>
          <w:bCs/>
          <w:sz w:val="24"/>
          <w:szCs w:val="24"/>
        </w:rPr>
        <w:t>(или евровата равностойност на 50 000 лв.)</w:t>
      </w:r>
      <w:r w:rsidRPr="009A23BE">
        <w:rPr>
          <w:rFonts w:ascii="Times New Roman" w:hAnsi="Times New Roman" w:cs="Times New Roman"/>
          <w:bCs/>
          <w:sz w:val="24"/>
          <w:szCs w:val="24"/>
        </w:rPr>
        <w:t>;</w:t>
      </w:r>
    </w:p>
    <w:p w14:paraId="183346CF" w14:textId="5F3E39F4" w:rsidR="0026492C" w:rsidRPr="009A23BE" w:rsidRDefault="0026492C" w:rsidP="00807928">
      <w:pPr>
        <w:spacing w:before="120" w:after="120" w:line="276" w:lineRule="auto"/>
        <w:ind w:firstLine="567"/>
        <w:jc w:val="both"/>
        <w:rPr>
          <w:rFonts w:ascii="Times New Roman" w:hAnsi="Times New Roman" w:cs="Times New Roman"/>
          <w:bCs/>
          <w:sz w:val="24"/>
          <w:szCs w:val="24"/>
        </w:rPr>
      </w:pPr>
      <w:r w:rsidRPr="009A23BE">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r w:rsidR="00F67B3E" w:rsidRPr="00F67B3E">
        <w:t xml:space="preserve"> </w:t>
      </w:r>
      <w:r w:rsidR="00F67B3E" w:rsidRPr="00F67B3E">
        <w:rPr>
          <w:rFonts w:ascii="Times New Roman" w:hAnsi="Times New Roman" w:cs="Times New Roman"/>
          <w:bCs/>
          <w:sz w:val="24"/>
          <w:szCs w:val="24"/>
        </w:rPr>
        <w:t>(</w:t>
      </w:r>
      <w:r w:rsidR="00F67B3E">
        <w:rPr>
          <w:rFonts w:ascii="Times New Roman" w:hAnsi="Times New Roman" w:cs="Times New Roman"/>
          <w:bCs/>
          <w:sz w:val="24"/>
          <w:szCs w:val="24"/>
        </w:rPr>
        <w:t>или евровата равностойност на 30</w:t>
      </w:r>
      <w:r w:rsidR="00F67B3E" w:rsidRPr="00F67B3E">
        <w:rPr>
          <w:rFonts w:ascii="Times New Roman" w:hAnsi="Times New Roman" w:cs="Times New Roman"/>
          <w:bCs/>
          <w:sz w:val="24"/>
          <w:szCs w:val="24"/>
        </w:rPr>
        <w:t xml:space="preserve"> 000 лв.)</w:t>
      </w:r>
      <w:r w:rsidR="00F67B3E">
        <w:rPr>
          <w:rFonts w:ascii="Times New Roman" w:hAnsi="Times New Roman" w:cs="Times New Roman"/>
          <w:bCs/>
          <w:sz w:val="24"/>
          <w:szCs w:val="24"/>
        </w:rPr>
        <w:t>.</w:t>
      </w:r>
    </w:p>
    <w:p w14:paraId="5F2F4E28" w14:textId="0A0452A2" w:rsidR="00B12E4D"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Крайният срок за подаване на офертите в процедурата не може да бъде по-кратък от 7 дни от публикуването на поканата. </w:t>
      </w:r>
    </w:p>
    <w:p w14:paraId="40901B69" w14:textId="07CBE0A2"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0C5A823C" w14:textId="2D1CF728" w:rsidR="006726A5"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75988AA3" w14:textId="47891A14" w:rsidR="009C0284" w:rsidRDefault="009C0284" w:rsidP="00807928">
      <w:pPr>
        <w:spacing w:before="120" w:after="120" w:line="276" w:lineRule="auto"/>
        <w:ind w:firstLine="567"/>
        <w:jc w:val="both"/>
        <w:rPr>
          <w:rFonts w:ascii="Times New Roman" w:hAnsi="Times New Roman" w:cs="Times New Roman"/>
          <w:bCs/>
          <w:sz w:val="24"/>
          <w:szCs w:val="24"/>
        </w:rPr>
      </w:pPr>
      <w:r w:rsidRPr="009C0284">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на изпълнител/и.</w:t>
      </w:r>
    </w:p>
    <w:p w14:paraId="36DF744A" w14:textId="4B428F79" w:rsidR="0026492C" w:rsidRPr="00807928" w:rsidRDefault="005F2867" w:rsidP="00807928">
      <w:pPr>
        <w:spacing w:before="120" w:after="120" w:line="276" w:lineRule="auto"/>
        <w:ind w:firstLine="567"/>
        <w:jc w:val="both"/>
        <w:rPr>
          <w:rFonts w:ascii="Times New Roman" w:hAnsi="Times New Roman" w:cs="Times New Roman"/>
          <w:b/>
          <w:bCs/>
          <w:sz w:val="24"/>
          <w:szCs w:val="24"/>
          <w:u w:val="single"/>
        </w:rPr>
      </w:pPr>
      <w:r w:rsidRPr="00807928">
        <w:rPr>
          <w:rFonts w:ascii="Times New Roman" w:hAnsi="Times New Roman" w:cs="Times New Roman"/>
          <w:b/>
          <w:bCs/>
          <w:sz w:val="24"/>
          <w:szCs w:val="24"/>
          <w:u w:val="single"/>
        </w:rPr>
        <w:t>В</w:t>
      </w:r>
      <w:r w:rsidR="0026492C" w:rsidRPr="00807928">
        <w:rPr>
          <w:rFonts w:ascii="Times New Roman" w:hAnsi="Times New Roman" w:cs="Times New Roman"/>
          <w:b/>
          <w:bCs/>
          <w:sz w:val="24"/>
          <w:szCs w:val="24"/>
          <w:u w:val="single"/>
        </w:rPr>
        <w:t>. Избор на изпълнител „Чрез представяне на поне три съпоставими независими и конкурентни оферти“:</w:t>
      </w:r>
    </w:p>
    <w:p w14:paraId="357D04FD"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w:t>
      </w:r>
      <w:r w:rsidRPr="00D34476">
        <w:rPr>
          <w:rFonts w:ascii="Times New Roman" w:hAnsi="Times New Roman" w:cs="Times New Roman"/>
          <w:bCs/>
          <w:sz w:val="24"/>
          <w:szCs w:val="24"/>
          <w:u w:val="single"/>
        </w:rPr>
        <w:t>„Чрез представяне на поне три съпоставими, независими и конкурентни оферти“</w:t>
      </w:r>
      <w:r w:rsidRPr="0026492C">
        <w:rPr>
          <w:rFonts w:ascii="Times New Roman" w:hAnsi="Times New Roman" w:cs="Times New Roman"/>
          <w:bCs/>
          <w:sz w:val="24"/>
          <w:szCs w:val="24"/>
        </w:rPr>
        <w:t xml:space="preserve">, бенефициентите предоставят поне три съпоставими, независими и конкурентни оферти, когато: </w:t>
      </w:r>
    </w:p>
    <w:p w14:paraId="18352A0A"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4A9A8A17"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25B060A2" w14:textId="74597AD9" w:rsidR="0026492C" w:rsidRPr="0026492C" w:rsidRDefault="0026492C" w:rsidP="00CB656D">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r w:rsidR="00CB656D">
        <w:rPr>
          <w:rFonts w:ascii="Times New Roman" w:hAnsi="Times New Roman" w:cs="Times New Roman"/>
          <w:bCs/>
          <w:sz w:val="24"/>
          <w:szCs w:val="24"/>
        </w:rPr>
        <w:t xml:space="preserve"> (или евровата равностойност на 50 000 лв.)</w:t>
      </w:r>
      <w:r w:rsidR="00CB656D" w:rsidRPr="009A23BE">
        <w:rPr>
          <w:rFonts w:ascii="Times New Roman" w:hAnsi="Times New Roman" w:cs="Times New Roman"/>
          <w:bCs/>
          <w:sz w:val="24"/>
          <w:szCs w:val="24"/>
        </w:rPr>
        <w:t>;</w:t>
      </w:r>
    </w:p>
    <w:p w14:paraId="7A77FD3E" w14:textId="48282782" w:rsidR="0026492C" w:rsidRPr="0026492C" w:rsidRDefault="0026492C" w:rsidP="00CB656D">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по-ниска от 30 000 лв. </w:t>
      </w:r>
      <w:r w:rsidR="00CB656D">
        <w:rPr>
          <w:rFonts w:ascii="Times New Roman" w:hAnsi="Times New Roman" w:cs="Times New Roman"/>
          <w:bCs/>
          <w:sz w:val="24"/>
          <w:szCs w:val="24"/>
        </w:rPr>
        <w:t>(или евровата равностойност на 50 000 лв.)</w:t>
      </w:r>
      <w:r w:rsidR="00CB656D" w:rsidRPr="009A23BE">
        <w:rPr>
          <w:rFonts w:ascii="Times New Roman" w:hAnsi="Times New Roman" w:cs="Times New Roman"/>
          <w:bCs/>
          <w:sz w:val="24"/>
          <w:szCs w:val="24"/>
        </w:rPr>
        <w:t>;</w:t>
      </w:r>
    </w:p>
    <w:p w14:paraId="683B1DE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3A4D633B" w14:textId="37FDC9E9" w:rsidR="0026492C" w:rsidRPr="0026492C" w:rsidRDefault="0026492C" w:rsidP="009A23BE">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45E48F2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„Съпоставими оферти“ са оферти, които съдържат:</w:t>
      </w:r>
    </w:p>
    <w:p w14:paraId="6C55626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22ADC877"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7FF04130"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3F01C4F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41EE6C15"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 /функционалност, предложена цена, срок на валидност на офертата, датата на издаване на офертата, подпис/електронен подпис на оферента. Офертата трябва да е подписана от лице с право да представлява оферента. Цената трябва да бъде определена в лева или евро с описан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72B5437C"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EEACE6E"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00FE187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2EFD8A83"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този случай бенефициентът представя на УО на ПМДРА, чрез ИСУН, минимум следните документи:</w:t>
      </w:r>
    </w:p>
    <w:p w14:paraId="4FB7920A"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запитване за оферта;</w:t>
      </w:r>
    </w:p>
    <w:p w14:paraId="506A75CB"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събраните поне 3 оферти; </w:t>
      </w:r>
    </w:p>
    <w:p w14:paraId="1F35BAF9"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обосновка в свободен текст за направения избор на база на събраните оферти; </w:t>
      </w:r>
    </w:p>
    <w:p w14:paraId="6B52AE35" w14:textId="77777777" w:rsidR="0026492C" w:rsidRPr="0026492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 xml:space="preserve">- договор с избрания изпълнител. </w:t>
      </w:r>
    </w:p>
    <w:p w14:paraId="00E99504" w14:textId="5DF21998" w:rsidR="0026492C" w:rsidRPr="00E9716C" w:rsidRDefault="0026492C" w:rsidP="00807928">
      <w:pPr>
        <w:spacing w:before="120" w:after="120" w:line="276" w:lineRule="auto"/>
        <w:ind w:firstLine="567"/>
        <w:jc w:val="both"/>
        <w:rPr>
          <w:rFonts w:ascii="Times New Roman" w:hAnsi="Times New Roman" w:cs="Times New Roman"/>
          <w:bCs/>
          <w:sz w:val="24"/>
          <w:szCs w:val="24"/>
        </w:rPr>
      </w:pPr>
      <w:r w:rsidRPr="0026492C">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до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5BE3799A" w14:textId="08A7AEEB" w:rsidR="009C0284" w:rsidRDefault="009C0284" w:rsidP="00807928">
      <w:pPr>
        <w:spacing w:before="120" w:after="120" w:line="276" w:lineRule="auto"/>
        <w:ind w:firstLine="567"/>
        <w:jc w:val="both"/>
        <w:rPr>
          <w:rFonts w:ascii="Times New Roman" w:hAnsi="Times New Roman" w:cs="Times New Roman"/>
          <w:bCs/>
          <w:sz w:val="24"/>
          <w:szCs w:val="24"/>
        </w:rPr>
      </w:pPr>
      <w:r w:rsidRPr="009C0284">
        <w:rPr>
          <w:rFonts w:ascii="Times New Roman" w:hAnsi="Times New Roman" w:cs="Times New Roman"/>
          <w:bCs/>
          <w:sz w:val="24"/>
          <w:szCs w:val="24"/>
        </w:rPr>
        <w:t>ВАЖНО: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5386FBE8"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Правата и задълженията, които възникват за бенефициента, са описани в приложения образец на </w:t>
      </w:r>
      <w:r w:rsidR="00505833" w:rsidRPr="00E9716C">
        <w:rPr>
          <w:rFonts w:ascii="Times New Roman" w:hAnsi="Times New Roman" w:cs="Times New Roman"/>
          <w:bCs/>
          <w:sz w:val="24"/>
          <w:szCs w:val="24"/>
        </w:rPr>
        <w:t>АДПБФП</w:t>
      </w:r>
      <w:r w:rsidRPr="00E9716C">
        <w:rPr>
          <w:rFonts w:ascii="Times New Roman" w:hAnsi="Times New Roman" w:cs="Times New Roman"/>
          <w:bCs/>
          <w:sz w:val="24"/>
          <w:szCs w:val="24"/>
        </w:rPr>
        <w:t xml:space="preserve"> по </w:t>
      </w:r>
      <w:r w:rsidR="00505833" w:rsidRPr="00E9716C">
        <w:rPr>
          <w:rFonts w:ascii="Times New Roman" w:hAnsi="Times New Roman" w:cs="Times New Roman"/>
          <w:bCs/>
          <w:sz w:val="24"/>
          <w:szCs w:val="24"/>
        </w:rPr>
        <w:t>ПМДРА</w:t>
      </w:r>
      <w:r w:rsidRPr="00E9716C">
        <w:rPr>
          <w:rFonts w:ascii="Times New Roman" w:hAnsi="Times New Roman" w:cs="Times New Roman"/>
          <w:bCs/>
          <w:sz w:val="24"/>
          <w:szCs w:val="24"/>
        </w:rPr>
        <w:t xml:space="preserve"> (Приложение № 8) и Общите условия към финансираните по процедурата договори за безвъзмездна финансова помощ (Приложение № 9).</w:t>
      </w:r>
    </w:p>
    <w:p w14:paraId="7EB0CF63" w14:textId="38717C5D"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E9716C">
        <w:rPr>
          <w:rFonts w:ascii="Times New Roman" w:hAnsi="Times New Roman" w:cs="Times New Roman"/>
          <w:sz w:val="24"/>
          <w:szCs w:val="24"/>
        </w:rPr>
        <w:t>П</w:t>
      </w:r>
      <w:r w:rsidR="00714CE8" w:rsidRPr="00E9716C">
        <w:rPr>
          <w:rFonts w:ascii="Times New Roman" w:hAnsi="Times New Roman" w:cs="Times New Roman"/>
          <w:sz w:val="24"/>
          <w:szCs w:val="24"/>
        </w:rPr>
        <w:t>остановление</w:t>
      </w:r>
      <w:r w:rsidRPr="00E9716C">
        <w:rPr>
          <w:rFonts w:ascii="Times New Roman" w:hAnsi="Times New Roman" w:cs="Times New Roman"/>
          <w:sz w:val="24"/>
          <w:szCs w:val="24"/>
        </w:rPr>
        <w:t xml:space="preserve"> № 111 </w:t>
      </w:r>
      <w:r w:rsidR="00714CE8" w:rsidRPr="00E9716C">
        <w:rPr>
          <w:rFonts w:ascii="Times New Roman" w:hAnsi="Times New Roman" w:cs="Times New Roman"/>
          <w:sz w:val="24"/>
          <w:szCs w:val="24"/>
        </w:rPr>
        <w:t xml:space="preserve">на Министерския съвет </w:t>
      </w:r>
      <w:r w:rsidRPr="00E9716C">
        <w:rPr>
          <w:rFonts w:ascii="Times New Roman" w:hAnsi="Times New Roman" w:cs="Times New Roman"/>
          <w:sz w:val="24"/>
          <w:szCs w:val="24"/>
        </w:rPr>
        <w:t>от</w:t>
      </w:r>
      <w:r w:rsidR="005F2867">
        <w:rPr>
          <w:rFonts w:ascii="Times New Roman" w:hAnsi="Times New Roman" w:cs="Times New Roman"/>
          <w:sz w:val="24"/>
          <w:szCs w:val="24"/>
        </w:rPr>
        <w:t xml:space="preserve"> </w:t>
      </w:r>
      <w:r w:rsidR="001B0AA4" w:rsidRPr="00E9716C">
        <w:rPr>
          <w:rFonts w:ascii="Times New Roman" w:hAnsi="Times New Roman" w:cs="Times New Roman"/>
          <w:sz w:val="24"/>
          <w:szCs w:val="24"/>
        </w:rPr>
        <w:t>10.08.</w:t>
      </w:r>
      <w:r w:rsidRPr="00E9716C">
        <w:rPr>
          <w:rFonts w:ascii="Times New Roman" w:hAnsi="Times New Roman" w:cs="Times New Roman"/>
          <w:sz w:val="24"/>
          <w:szCs w:val="24"/>
        </w:rPr>
        <w:t xml:space="preserve"> 2023 г.</w:t>
      </w:r>
      <w:r w:rsidRPr="00E9716C">
        <w:rPr>
          <w:rFonts w:ascii="Times New Roman" w:hAnsi="Times New Roman" w:cs="Times New Roman"/>
          <w:bCs/>
          <w:sz w:val="24"/>
          <w:szCs w:val="24"/>
        </w:rPr>
        <w:t xml:space="preserve">, и съобразно подписаната от него Декларация за нередности по образец (част от Приложение № </w:t>
      </w:r>
      <w:r w:rsidR="000D5536" w:rsidRPr="00E9716C">
        <w:rPr>
          <w:rFonts w:ascii="Times New Roman" w:hAnsi="Times New Roman" w:cs="Times New Roman"/>
          <w:bCs/>
          <w:sz w:val="24"/>
          <w:szCs w:val="24"/>
        </w:rPr>
        <w:t>12</w:t>
      </w:r>
      <w:r w:rsidRPr="00E9716C">
        <w:rPr>
          <w:rFonts w:ascii="Times New Roman" w:hAnsi="Times New Roman" w:cs="Times New Roman"/>
          <w:bCs/>
          <w:sz w:val="24"/>
          <w:szCs w:val="24"/>
        </w:rPr>
        <w:t>).</w:t>
      </w:r>
    </w:p>
    <w:p w14:paraId="60111741" w14:textId="77777777" w:rsidR="006726A5" w:rsidRPr="00E9716C" w:rsidRDefault="006726A5" w:rsidP="00807928">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
          <w:bCs/>
          <w:sz w:val="24"/>
          <w:szCs w:val="24"/>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C7AE325"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Следва да се има предвид, че когато се придобива патент или полезен модел</w:t>
      </w:r>
      <w:r w:rsidR="0026492C">
        <w:rPr>
          <w:rFonts w:ascii="Times New Roman" w:hAnsi="Times New Roman" w:cs="Times New Roman"/>
          <w:bCs/>
          <w:sz w:val="24"/>
          <w:szCs w:val="24"/>
        </w:rPr>
        <w:t>,</w:t>
      </w:r>
      <w:r w:rsidRPr="00E9716C">
        <w:rPr>
          <w:rFonts w:ascii="Times New Roman" w:hAnsi="Times New Roman" w:cs="Times New Roman"/>
          <w:bCs/>
          <w:sz w:val="24"/>
          <w:szCs w:val="24"/>
        </w:rPr>
        <w:t xml:space="preserve"> се представят документи издадени от Патентното ведомство на Република България за тяхното доказване:</w:t>
      </w:r>
    </w:p>
    <w:p w14:paraId="00C721F4"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патент за изобретение,</w:t>
      </w:r>
    </w:p>
    <w:p w14:paraId="726E5173"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или </w:t>
      </w:r>
    </w:p>
    <w:p w14:paraId="0D379162" w14:textId="77777777" w:rsidR="006726A5" w:rsidRPr="00E9716C" w:rsidRDefault="006726A5"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E9716C" w:rsidRDefault="006726A5" w:rsidP="00807928">
      <w:pPr>
        <w:spacing w:before="120" w:after="120" w:line="276" w:lineRule="auto"/>
        <w:ind w:firstLine="567"/>
        <w:jc w:val="both"/>
        <w:rPr>
          <w:rFonts w:ascii="Times New Roman" w:hAnsi="Times New Roman" w:cs="Times New Roman"/>
          <w:b/>
          <w:bCs/>
          <w:sz w:val="24"/>
          <w:szCs w:val="24"/>
        </w:rPr>
      </w:pPr>
      <w:r w:rsidRPr="00E9716C">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E9716C">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p>
    <w:p w14:paraId="19A4E97A"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При придобиване на ноу-хау, следва изрично да се посочи кой е притежателят му – юридическо лице или физическо/и лице/а в трудовоправни отношения със същото юридическо лице.</w:t>
      </w:r>
    </w:p>
    <w:p w14:paraId="669DA3CB"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8A17E9C" w14:textId="77777777" w:rsidR="006726A5"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договорът е вписан в техния регистър.</w:t>
      </w:r>
    </w:p>
    <w:p w14:paraId="50F7EAB2" w14:textId="116A2032" w:rsidR="00DD14F8" w:rsidRPr="00E9716C" w:rsidRDefault="006726A5"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61E340" w14:textId="77777777" w:rsidR="00391075" w:rsidRPr="00E9716C" w:rsidRDefault="00391075" w:rsidP="00807928">
      <w:pPr>
        <w:spacing w:before="120" w:after="120" w:line="276" w:lineRule="auto"/>
        <w:ind w:firstLine="567"/>
        <w:jc w:val="both"/>
        <w:rPr>
          <w:rFonts w:ascii="Times New Roman" w:hAnsi="Times New Roman" w:cs="Times New Roman"/>
          <w:bCs/>
          <w:sz w:val="24"/>
          <w:szCs w:val="24"/>
        </w:rPr>
      </w:pPr>
    </w:p>
    <w:p w14:paraId="29767351" w14:textId="7D0E660E" w:rsidR="00D421A6" w:rsidRPr="00E9716C" w:rsidRDefault="00D421A6" w:rsidP="00807928">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1.2.</w:t>
      </w:r>
      <w:r w:rsidR="00E02A98" w:rsidRPr="00E9716C">
        <w:rPr>
          <w:rFonts w:ascii="Times New Roman" w:hAnsi="Times New Roman" w:cs="Times New Roman"/>
          <w:b/>
          <w:bCs/>
          <w:color w:val="0070C0"/>
          <w:sz w:val="24"/>
          <w:szCs w:val="24"/>
        </w:rPr>
        <w:t xml:space="preserve"> </w:t>
      </w:r>
      <w:r w:rsidRPr="00E9716C">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5F211D9A" w14:textId="628DD843" w:rsidR="0067135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w:t>
      </w:r>
      <w:r w:rsidR="00505833" w:rsidRPr="00E9716C">
        <w:rPr>
          <w:rFonts w:ascii="Times New Roman" w:hAnsi="Times New Roman" w:cs="Times New Roman"/>
          <w:bCs/>
          <w:sz w:val="24"/>
          <w:szCs w:val="24"/>
        </w:rPr>
        <w:t xml:space="preserve">УО </w:t>
      </w:r>
      <w:r w:rsidRPr="00E9716C">
        <w:rPr>
          <w:rFonts w:ascii="Times New Roman" w:hAnsi="Times New Roman" w:cs="Times New Roman"/>
          <w:bCs/>
          <w:sz w:val="24"/>
          <w:szCs w:val="24"/>
        </w:rPr>
        <w:t xml:space="preserve">на ПМДРА или на </w:t>
      </w:r>
      <w:r w:rsidR="00505833" w:rsidRPr="00E9716C">
        <w:rPr>
          <w:rFonts w:ascii="Times New Roman" w:hAnsi="Times New Roman" w:cs="Times New Roman"/>
          <w:bCs/>
          <w:sz w:val="24"/>
          <w:szCs w:val="24"/>
        </w:rPr>
        <w:t>б</w:t>
      </w:r>
      <w:r w:rsidRPr="00E9716C">
        <w:rPr>
          <w:rFonts w:ascii="Times New Roman" w:hAnsi="Times New Roman" w:cs="Times New Roman"/>
          <w:bCs/>
          <w:sz w:val="24"/>
          <w:szCs w:val="24"/>
        </w:rPr>
        <w:t>енефициента, при условията на чл. 39 от ЗУСЕФСУ</w:t>
      </w:r>
      <w:r w:rsidRPr="00E9716C">
        <w:rPr>
          <w:rFonts w:ascii="Times New Roman" w:hAnsi="Times New Roman" w:cs="Times New Roman"/>
          <w:sz w:val="24"/>
          <w:szCs w:val="24"/>
        </w:rPr>
        <w:t xml:space="preserve"> </w:t>
      </w:r>
      <w:r w:rsidRPr="00E9716C">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937DE6C" w14:textId="0DE4E085" w:rsidR="00441945" w:rsidRPr="008D1DF7" w:rsidRDefault="006958D3" w:rsidP="00807928">
      <w:pPr>
        <w:spacing w:line="276" w:lineRule="auto"/>
        <w:jc w:val="both"/>
        <w:rPr>
          <w:rFonts w:ascii="Times New Roman" w:hAnsi="Times New Roman" w:cs="Times New Roman"/>
          <w:bCs/>
          <w:sz w:val="24"/>
          <w:szCs w:val="24"/>
        </w:rPr>
      </w:pPr>
      <w:r w:rsidRPr="008D1DF7">
        <w:rPr>
          <w:rFonts w:ascii="Times New Roman" w:hAnsi="Times New Roman" w:cs="Times New Roman"/>
          <w:bCs/>
          <w:sz w:val="24"/>
          <w:szCs w:val="24"/>
        </w:rPr>
        <w:t xml:space="preserve">В случай на необходимост от изменение и/или допълнение на АДПБФП, (включително при необходимост от промяна, замяна или отпадане на първоначално одобрените разходи/дейности по проекта), </w:t>
      </w:r>
      <w:r w:rsidR="008D1DF7">
        <w:rPr>
          <w:rFonts w:ascii="Times New Roman" w:hAnsi="Times New Roman" w:cs="Times New Roman"/>
          <w:bCs/>
          <w:sz w:val="24"/>
          <w:szCs w:val="24"/>
        </w:rPr>
        <w:t>б</w:t>
      </w:r>
      <w:r w:rsidRPr="008D1DF7">
        <w:rPr>
          <w:rFonts w:ascii="Times New Roman" w:hAnsi="Times New Roman" w:cs="Times New Roman"/>
          <w:bCs/>
          <w:sz w:val="24"/>
          <w:szCs w:val="24"/>
        </w:rPr>
        <w:t>енефициентът представя чрез ИСУН мотивирано искане до УО на ПМДРА. УО на ПМДРА преценява за необходимостта от сключване на допълнително споразумение към административния договор за предоставяне на безвъзмездна финансова помощ (АДПБФП), съгласува/не съгласува искането на бенефициента, като го уведомява с писмо.</w:t>
      </w:r>
    </w:p>
    <w:p w14:paraId="1C46BE91" w14:textId="77777777" w:rsidR="00D421A6" w:rsidRPr="00E9716C" w:rsidRDefault="00D421A6" w:rsidP="00807928">
      <w:pPr>
        <w:keepNext/>
        <w:keepLines/>
        <w:spacing w:after="0" w:line="276" w:lineRule="auto"/>
        <w:jc w:val="both"/>
        <w:outlineLvl w:val="1"/>
        <w:rPr>
          <w:rFonts w:ascii="Times New Roman" w:hAnsi="Times New Roman" w:cs="Times New Roman"/>
          <w:b/>
          <w:bCs/>
          <w:color w:val="0070C0"/>
          <w:sz w:val="24"/>
          <w:szCs w:val="24"/>
        </w:rPr>
      </w:pPr>
      <w:r w:rsidRPr="00E9716C">
        <w:rPr>
          <w:rFonts w:ascii="Times New Roman" w:hAnsi="Times New Roman" w:cs="Times New Roman"/>
          <w:b/>
          <w:bCs/>
          <w:color w:val="0070C0"/>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02E4BEF9"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E9716C">
        <w:rPr>
          <w:rFonts w:ascii="Times New Roman" w:hAnsi="Times New Roman" w:cs="Times New Roman"/>
          <w:bCs/>
          <w:sz w:val="24"/>
          <w:szCs w:val="24"/>
        </w:rPr>
        <w:t>(</w:t>
      </w:r>
      <w:r w:rsidRPr="00E9716C">
        <w:rPr>
          <w:rFonts w:ascii="Times New Roman" w:hAnsi="Times New Roman" w:cs="Times New Roman"/>
          <w:bCs/>
          <w:sz w:val="24"/>
          <w:szCs w:val="24"/>
        </w:rPr>
        <w:t>ДФЗ</w:t>
      </w:r>
      <w:r w:rsidR="00505833" w:rsidRPr="00E9716C">
        <w:rPr>
          <w:rFonts w:ascii="Times New Roman" w:hAnsi="Times New Roman" w:cs="Times New Roman"/>
          <w:bCs/>
          <w:sz w:val="24"/>
          <w:szCs w:val="24"/>
        </w:rPr>
        <w:t>-</w:t>
      </w:r>
      <w:r w:rsidRPr="00E9716C">
        <w:rPr>
          <w:rFonts w:ascii="Times New Roman" w:hAnsi="Times New Roman" w:cs="Times New Roman"/>
          <w:bCs/>
          <w:sz w:val="24"/>
          <w:szCs w:val="24"/>
        </w:rPr>
        <w:t>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3AA3B956" w14:textId="35A39F15"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5D5721" w:rsidRPr="00E9716C">
        <w:rPr>
          <w:rFonts w:ascii="Times New Roman" w:hAnsi="Times New Roman" w:cs="Times New Roman"/>
          <w:bCs/>
          <w:sz w:val="24"/>
          <w:szCs w:val="24"/>
        </w:rPr>
        <w:t>ДФЗ-РА</w:t>
      </w:r>
      <w:r w:rsidRPr="00E9716C">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9676EF3" w14:textId="505DC758" w:rsidR="00391075"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26F600E" w14:textId="01733435" w:rsidR="00160B5A" w:rsidRPr="00D03BF0" w:rsidRDefault="00160B5A" w:rsidP="00160B5A">
      <w:pPr>
        <w:spacing w:before="120" w:after="120" w:line="276" w:lineRule="auto"/>
        <w:ind w:firstLine="567"/>
        <w:jc w:val="both"/>
        <w:rPr>
          <w:rFonts w:ascii="Times New Roman" w:hAnsi="Times New Roman" w:cs="Times New Roman"/>
          <w:bCs/>
          <w:noProof/>
          <w:sz w:val="24"/>
          <w:szCs w:val="24"/>
        </w:rPr>
      </w:pPr>
      <w:r w:rsidRPr="007462A9">
        <w:rPr>
          <w:rFonts w:ascii="Times New Roman" w:hAnsi="Times New Roman" w:cs="Times New Roman"/>
          <w:b/>
          <w:bCs/>
          <w:noProof/>
          <w:sz w:val="24"/>
          <w:szCs w:val="24"/>
        </w:rPr>
        <w:t>ВАЖНО:</w:t>
      </w:r>
      <w:r>
        <w:rPr>
          <w:rFonts w:ascii="Times New Roman" w:hAnsi="Times New Roman" w:cs="Times New Roman"/>
          <w:bCs/>
          <w:noProof/>
          <w:sz w:val="24"/>
          <w:szCs w:val="24"/>
        </w:rPr>
        <w:t xml:space="preserve"> Бенефициентът е задължен да осигури и предостави в ИСУН снимков материал с включена геолокация, видими дата и час на заснемането по време на изпълнение на дейностите по проекта, свързани с повишаване на осведомеността и извършване на научни дейности.</w:t>
      </w:r>
    </w:p>
    <w:p w14:paraId="38B55B54" w14:textId="77777777" w:rsidR="00740DE8" w:rsidRPr="00E9716C" w:rsidRDefault="00740DE8" w:rsidP="00807928">
      <w:pPr>
        <w:spacing w:before="120" w:after="120" w:line="276" w:lineRule="auto"/>
        <w:ind w:firstLine="567"/>
        <w:jc w:val="both"/>
        <w:rPr>
          <w:rFonts w:ascii="Times New Roman" w:hAnsi="Times New Roman" w:cs="Times New Roman"/>
          <w:bCs/>
          <w:sz w:val="24"/>
          <w:szCs w:val="24"/>
        </w:rPr>
      </w:pPr>
    </w:p>
    <w:p w14:paraId="00C0547F" w14:textId="23EB2A02" w:rsidR="00D421A6" w:rsidRPr="00E9716C" w:rsidRDefault="00D421A6" w:rsidP="00807928">
      <w:pPr>
        <w:keepNext/>
        <w:keepLines/>
        <w:spacing w:after="0" w:line="276" w:lineRule="auto"/>
        <w:jc w:val="both"/>
        <w:outlineLvl w:val="1"/>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2.</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Финансово изпълнение на проектите и плащане.</w:t>
      </w:r>
    </w:p>
    <w:p w14:paraId="6E59BA3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9A021E" w:rsidRPr="00E9716C">
        <w:rPr>
          <w:rFonts w:ascii="Times New Roman" w:hAnsi="Times New Roman" w:cs="Times New Roman"/>
          <w:b/>
          <w:bCs/>
          <w:sz w:val="24"/>
          <w:szCs w:val="24"/>
        </w:rPr>
        <w:t xml:space="preserve"> </w:t>
      </w:r>
      <w:r w:rsidRPr="00E9716C">
        <w:rPr>
          <w:rFonts w:ascii="Times New Roman" w:hAnsi="Times New Roman" w:cs="Times New Roman"/>
          <w:b/>
          <w:bCs/>
          <w:sz w:val="24"/>
          <w:szCs w:val="24"/>
        </w:rPr>
        <w:t>6 от ЗУСЕФСУ.</w:t>
      </w:r>
    </w:p>
    <w:p w14:paraId="6DFA098D"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1E6C56E2" w:rsidR="00CD0344" w:rsidRPr="00E9716C" w:rsidRDefault="00D421A6"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w:t>
      </w:r>
      <w:r w:rsidR="00CF34C2">
        <w:rPr>
          <w:rFonts w:ascii="Times New Roman" w:hAnsi="Times New Roman" w:cs="Times New Roman"/>
          <w:bCs/>
          <w:sz w:val="24"/>
          <w:szCs w:val="24"/>
        </w:rPr>
        <w:t>нта</w:t>
      </w:r>
      <w:r w:rsidRPr="00E9716C">
        <w:rPr>
          <w:rFonts w:ascii="Times New Roman" w:hAnsi="Times New Roman" w:cs="Times New Roman"/>
          <w:bCs/>
          <w:sz w:val="24"/>
          <w:szCs w:val="24"/>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072FF2E5" w14:textId="09004A13" w:rsidR="00740DE8" w:rsidRPr="00E9716C" w:rsidRDefault="00D421A6" w:rsidP="006F5817">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изпълнение на Решение </w:t>
      </w:r>
      <w:r w:rsidR="009A021E" w:rsidRPr="00E9716C">
        <w:rPr>
          <w:rFonts w:ascii="Times New Roman" w:hAnsi="Times New Roman" w:cs="Times New Roman"/>
          <w:bCs/>
          <w:sz w:val="24"/>
          <w:szCs w:val="24"/>
        </w:rPr>
        <w:t xml:space="preserve">№ 592 </w:t>
      </w:r>
      <w:r w:rsidRPr="00E9716C">
        <w:rPr>
          <w:rFonts w:ascii="Times New Roman" w:hAnsi="Times New Roman" w:cs="Times New Roman"/>
          <w:bCs/>
          <w:sz w:val="24"/>
          <w:szCs w:val="24"/>
        </w:rPr>
        <w:t>на Министерски съвет от 2018 г. след сключване на договор на стойност, равна или надвишаваща 10 000,00 лв.</w:t>
      </w:r>
      <w:r w:rsidR="006F5817">
        <w:rPr>
          <w:rFonts w:ascii="Times New Roman" w:hAnsi="Times New Roman" w:cs="Times New Roman"/>
          <w:bCs/>
          <w:sz w:val="24"/>
          <w:szCs w:val="24"/>
        </w:rPr>
        <w:t xml:space="preserve"> (или евровата равностойност на 100 000 лв.) </w:t>
      </w:r>
      <w:r w:rsidRPr="00E9716C">
        <w:rPr>
          <w:rFonts w:ascii="Times New Roman" w:hAnsi="Times New Roman" w:cs="Times New Roman"/>
          <w:bCs/>
          <w:sz w:val="24"/>
          <w:szCs w:val="24"/>
        </w:rPr>
        <w:t xml:space="preserve">и преди извършване на плащане, </w:t>
      </w:r>
      <w:r w:rsidR="003279A5">
        <w:rPr>
          <w:rFonts w:ascii="Times New Roman" w:hAnsi="Times New Roman" w:cs="Times New Roman"/>
          <w:bCs/>
          <w:sz w:val="24"/>
          <w:szCs w:val="24"/>
        </w:rPr>
        <w:t>УО на ПМДРА чрез ДФЗ-РА</w:t>
      </w:r>
      <w:r w:rsidR="003279A5" w:rsidRPr="00E9716C">
        <w:rPr>
          <w:rFonts w:ascii="Times New Roman" w:hAnsi="Times New Roman" w:cs="Times New Roman"/>
          <w:bCs/>
          <w:sz w:val="24"/>
          <w:szCs w:val="24"/>
        </w:rPr>
        <w:t xml:space="preserve"> </w:t>
      </w:r>
      <w:r w:rsidRPr="00E9716C">
        <w:rPr>
          <w:rFonts w:ascii="Times New Roman" w:hAnsi="Times New Roman" w:cs="Times New Roman"/>
          <w:bCs/>
          <w:sz w:val="24"/>
          <w:szCs w:val="24"/>
        </w:rPr>
        <w:t xml:space="preserve">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w:t>
      </w:r>
      <w:r w:rsidR="00834F02">
        <w:rPr>
          <w:rFonts w:ascii="Times New Roman" w:hAnsi="Times New Roman" w:cs="Times New Roman"/>
          <w:bCs/>
          <w:sz w:val="24"/>
          <w:szCs w:val="24"/>
        </w:rPr>
        <w:t>УО на ПМДРА чрез ДФЗ-РА</w:t>
      </w:r>
      <w:r w:rsidRPr="00E9716C">
        <w:rPr>
          <w:rFonts w:ascii="Times New Roman" w:hAnsi="Times New Roman" w:cs="Times New Roman"/>
          <w:bCs/>
          <w:sz w:val="24"/>
          <w:szCs w:val="24"/>
        </w:rPr>
        <w:t xml:space="preserve">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2651412E" w14:textId="78AE324E" w:rsidR="00D421A6" w:rsidRPr="00E9716C" w:rsidRDefault="00D421A6" w:rsidP="00807928">
      <w:pPr>
        <w:spacing w:after="0" w:line="276" w:lineRule="auto"/>
        <w:jc w:val="both"/>
        <w:rPr>
          <w:rFonts w:ascii="Times New Roman" w:hAnsi="Times New Roman" w:cs="Times New Roman"/>
          <w:b/>
          <w:bCs/>
          <w:color w:val="5B9BD5"/>
          <w:sz w:val="24"/>
          <w:szCs w:val="24"/>
        </w:rPr>
      </w:pPr>
      <w:r w:rsidRPr="00E9716C">
        <w:rPr>
          <w:rFonts w:ascii="Times New Roman" w:hAnsi="Times New Roman" w:cs="Times New Roman"/>
          <w:b/>
          <w:bCs/>
          <w:color w:val="5B9BD5"/>
          <w:sz w:val="24"/>
          <w:szCs w:val="24"/>
        </w:rPr>
        <w:t>3.</w:t>
      </w:r>
      <w:r w:rsidR="00E02A98" w:rsidRPr="00E9716C">
        <w:rPr>
          <w:rFonts w:ascii="Times New Roman" w:hAnsi="Times New Roman" w:cs="Times New Roman"/>
          <w:b/>
          <w:bCs/>
          <w:color w:val="5B9BD5"/>
          <w:sz w:val="24"/>
          <w:szCs w:val="24"/>
        </w:rPr>
        <w:t xml:space="preserve"> </w:t>
      </w:r>
      <w:r w:rsidRPr="00E9716C">
        <w:rPr>
          <w:rFonts w:ascii="Times New Roman" w:hAnsi="Times New Roman" w:cs="Times New Roman"/>
          <w:b/>
          <w:bCs/>
          <w:color w:val="5B9BD5"/>
          <w:sz w:val="24"/>
          <w:szCs w:val="24"/>
        </w:rPr>
        <w:t>Видимост и комуникация</w:t>
      </w:r>
      <w:r w:rsidRPr="00E9716C" w:rsidDel="00F95D0E">
        <w:rPr>
          <w:rFonts w:ascii="Times New Roman" w:hAnsi="Times New Roman" w:cs="Times New Roman"/>
          <w:b/>
          <w:bCs/>
          <w:color w:val="5B9BD5"/>
          <w:sz w:val="24"/>
          <w:szCs w:val="24"/>
        </w:rPr>
        <w:t xml:space="preserve"> </w:t>
      </w:r>
    </w:p>
    <w:p w14:paraId="64606673"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62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2021/1060, като:</w:t>
      </w:r>
    </w:p>
    <w:p w14:paraId="192A8624" w14:textId="611AC9F6"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а) включват на официалния уебсайт на </w:t>
      </w:r>
      <w:r w:rsidR="005D5721" w:rsidRPr="00E9716C">
        <w:rPr>
          <w:rFonts w:ascii="Times New Roman" w:hAnsi="Times New Roman" w:cs="Times New Roman"/>
          <w:bCs/>
          <w:sz w:val="24"/>
          <w:szCs w:val="24"/>
        </w:rPr>
        <w:t>б</w:t>
      </w:r>
      <w:r w:rsidRPr="00E9716C">
        <w:rPr>
          <w:rFonts w:ascii="Times New Roman" w:hAnsi="Times New Roman" w:cs="Times New Roman"/>
          <w:bCs/>
          <w:sz w:val="24"/>
          <w:szCs w:val="24"/>
        </w:rPr>
        <w:t xml:space="preserve">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116909EA"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2021</w:t>
      </w:r>
      <w:r w:rsidR="00A27A07">
        <w:rPr>
          <w:rFonts w:ascii="Times New Roman" w:hAnsi="Times New Roman" w:cs="Times New Roman"/>
          <w:bCs/>
          <w:sz w:val="24"/>
          <w:szCs w:val="24"/>
        </w:rPr>
        <w:t>/1060</w:t>
      </w:r>
      <w:r w:rsidRPr="00E9716C">
        <w:rPr>
          <w:rFonts w:ascii="Times New Roman" w:hAnsi="Times New Roman" w:cs="Times New Roman"/>
          <w:bCs/>
          <w:sz w:val="24"/>
          <w:szCs w:val="24"/>
        </w:rPr>
        <w:t xml:space="preserve">,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E9716C" w:rsidRDefault="00D421A6"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E9716C" w:rsidRDefault="00D421A6" w:rsidP="00807928">
      <w:pPr>
        <w:spacing w:before="120" w:after="120" w:line="276" w:lineRule="auto"/>
        <w:ind w:firstLine="851"/>
        <w:jc w:val="both"/>
        <w:rPr>
          <w:rFonts w:ascii="Times New Roman" w:hAnsi="Times New Roman" w:cs="Times New Roman"/>
          <w:bCs/>
          <w:sz w:val="24"/>
          <w:szCs w:val="24"/>
        </w:rPr>
      </w:pPr>
      <w:r w:rsidRPr="00E9716C">
        <w:rPr>
          <w:rFonts w:ascii="Times New Roman" w:hAnsi="Times New Roman" w:cs="Times New Roman"/>
          <w:bCs/>
          <w:sz w:val="24"/>
          <w:szCs w:val="24"/>
        </w:rPr>
        <w:t>•</w:t>
      </w:r>
      <w:r w:rsidRPr="00E9716C">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E9716C" w:rsidRDefault="00D421A6" w:rsidP="00807928">
      <w:pPr>
        <w:spacing w:before="120" w:after="120" w:line="276" w:lineRule="auto"/>
        <w:ind w:firstLine="709"/>
        <w:jc w:val="both"/>
        <w:rPr>
          <w:rFonts w:ascii="Times New Roman" w:hAnsi="Times New Roman" w:cs="Times New Roman"/>
          <w:bCs/>
          <w:sz w:val="24"/>
          <w:szCs w:val="24"/>
        </w:rPr>
      </w:pPr>
      <w:r w:rsidRPr="00E9716C">
        <w:rPr>
          <w:rFonts w:ascii="Times New Roman" w:hAnsi="Times New Roman" w:cs="Times New Roman"/>
          <w:bCs/>
          <w:sz w:val="24"/>
          <w:szCs w:val="24"/>
        </w:rPr>
        <w:t xml:space="preserve">г) за операции, които не попадат в обхвата на буква </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в</w:t>
      </w:r>
      <w:r w:rsidR="00BF135A" w:rsidRPr="00E9716C">
        <w:rPr>
          <w:rFonts w:ascii="Times New Roman" w:hAnsi="Times New Roman" w:cs="Times New Roman"/>
          <w:bCs/>
          <w:sz w:val="24"/>
          <w:szCs w:val="24"/>
        </w:rPr>
        <w:t>“</w:t>
      </w:r>
      <w:r w:rsidRPr="00E9716C">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E9716C" w:rsidRDefault="00D421A6" w:rsidP="00807928">
      <w:pPr>
        <w:spacing w:before="120" w:after="120" w:line="276" w:lineRule="auto"/>
        <w:jc w:val="both"/>
        <w:rPr>
          <w:rFonts w:ascii="Times New Roman" w:hAnsi="Times New Roman" w:cs="Times New Roman"/>
          <w:bCs/>
          <w:sz w:val="24"/>
          <w:szCs w:val="24"/>
        </w:rPr>
      </w:pPr>
      <w:r w:rsidRPr="00E9716C">
        <w:rPr>
          <w:rFonts w:ascii="Times New Roman" w:hAnsi="Times New Roman" w:cs="Times New Roman"/>
          <w:b/>
          <w:bCs/>
          <w:sz w:val="24"/>
          <w:szCs w:val="24"/>
        </w:rPr>
        <w:t>ВАЖНО:</w:t>
      </w:r>
      <w:r w:rsidRPr="00E9716C">
        <w:rPr>
          <w:rFonts w:ascii="Times New Roman" w:hAnsi="Times New Roman" w:cs="Times New Roman"/>
          <w:bCs/>
          <w:sz w:val="24"/>
          <w:szCs w:val="24"/>
        </w:rPr>
        <w:t xml:space="preserve"> </w:t>
      </w:r>
      <w:r w:rsidRPr="00E9716C">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58733228"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E9716C">
        <w:rPr>
          <w:rFonts w:ascii="Times New Roman" w:hAnsi="Times New Roman" w:cs="Times New Roman"/>
          <w:bCs/>
          <w:sz w:val="24"/>
          <w:szCs w:val="24"/>
        </w:rPr>
        <w:t xml:space="preserve">чл. </w:t>
      </w:r>
      <w:r w:rsidRPr="00E9716C">
        <w:rPr>
          <w:rFonts w:ascii="Times New Roman" w:hAnsi="Times New Roman" w:cs="Times New Roman"/>
          <w:bCs/>
          <w:sz w:val="24"/>
          <w:szCs w:val="24"/>
        </w:rPr>
        <w:t xml:space="preserve">47 или </w:t>
      </w:r>
      <w:r w:rsidR="00BF135A" w:rsidRPr="00E9716C">
        <w:rPr>
          <w:rFonts w:ascii="Times New Roman" w:hAnsi="Times New Roman" w:cs="Times New Roman"/>
          <w:bCs/>
          <w:sz w:val="24"/>
          <w:szCs w:val="24"/>
        </w:rPr>
        <w:t xml:space="preserve">чл. 50, </w:t>
      </w:r>
      <w:r w:rsidRPr="00E9716C">
        <w:rPr>
          <w:rFonts w:ascii="Times New Roman" w:hAnsi="Times New Roman" w:cs="Times New Roman"/>
          <w:bCs/>
          <w:sz w:val="24"/>
          <w:szCs w:val="24"/>
        </w:rPr>
        <w:t xml:space="preserve">параграфи 1 и 2 от Регламент </w:t>
      </w:r>
      <w:r w:rsidR="00BF135A" w:rsidRPr="00E9716C">
        <w:rPr>
          <w:rFonts w:ascii="Times New Roman" w:hAnsi="Times New Roman" w:cs="Times New Roman"/>
          <w:bCs/>
          <w:sz w:val="24"/>
          <w:szCs w:val="24"/>
        </w:rPr>
        <w:t xml:space="preserve">(ЕС) </w:t>
      </w:r>
      <w:r w:rsidRPr="00E9716C">
        <w:rPr>
          <w:rFonts w:ascii="Times New Roman" w:hAnsi="Times New Roman" w:cs="Times New Roman"/>
          <w:bCs/>
          <w:sz w:val="24"/>
          <w:szCs w:val="24"/>
        </w:rPr>
        <w:t>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3FFDE60F"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w:t>
      </w:r>
      <w:r w:rsidR="000D5536" w:rsidRPr="00E9716C">
        <w:rPr>
          <w:rFonts w:ascii="Times New Roman" w:hAnsi="Times New Roman" w:cs="Times New Roman"/>
          <w:bCs/>
          <w:sz w:val="24"/>
          <w:szCs w:val="24"/>
        </w:rPr>
        <w:t>22</w:t>
      </w:r>
      <w:r w:rsidRPr="00E9716C">
        <w:rPr>
          <w:rFonts w:ascii="Times New Roman" w:hAnsi="Times New Roman" w:cs="Times New Roman"/>
          <w:bCs/>
          <w:sz w:val="24"/>
          <w:szCs w:val="24"/>
        </w:rPr>
        <w:t xml:space="preserve">). </w:t>
      </w:r>
    </w:p>
    <w:p w14:paraId="06CA3C50" w14:textId="76D965EA"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3D1C1F" w:rsidRPr="00E9716C">
        <w:rPr>
          <w:rFonts w:ascii="Times New Roman" w:hAnsi="Times New Roman" w:cs="Times New Roman"/>
          <w:bCs/>
          <w:sz w:val="24"/>
          <w:szCs w:val="24"/>
        </w:rPr>
        <w:t>2</w:t>
      </w:r>
      <w:r w:rsidR="000D5536" w:rsidRPr="00E9716C">
        <w:rPr>
          <w:rFonts w:ascii="Times New Roman" w:hAnsi="Times New Roman" w:cs="Times New Roman"/>
          <w:bCs/>
          <w:sz w:val="24"/>
          <w:szCs w:val="24"/>
        </w:rPr>
        <w:t>3</w:t>
      </w:r>
      <w:r w:rsidR="003D1C1F" w:rsidRPr="00E9716C">
        <w:rPr>
          <w:rFonts w:ascii="Times New Roman" w:hAnsi="Times New Roman" w:cs="Times New Roman"/>
          <w:bCs/>
          <w:sz w:val="24"/>
          <w:szCs w:val="24"/>
        </w:rPr>
        <w:t xml:space="preserve"> </w:t>
      </w:r>
      <w:r w:rsidRPr="00E9716C">
        <w:rPr>
          <w:rFonts w:ascii="Times New Roman" w:hAnsi="Times New Roman" w:cs="Times New Roman"/>
          <w:bCs/>
          <w:sz w:val="24"/>
          <w:szCs w:val="24"/>
        </w:rPr>
        <w:t>).</w:t>
      </w:r>
    </w:p>
    <w:p w14:paraId="2B65E846" w14:textId="77777777" w:rsidR="00CD0344"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Двата логотипа следва да бъдат с един и същ размер, измерен по височина или ширина.</w:t>
      </w:r>
    </w:p>
    <w:p w14:paraId="34DC1BB0" w14:textId="226F859F"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3111FA" w:rsidRDefault="00E3365C" w:rsidP="00807928">
      <w:pPr>
        <w:spacing w:before="120" w:after="120" w:line="276" w:lineRule="auto"/>
        <w:jc w:val="both"/>
        <w:rPr>
          <w:rFonts w:ascii="Times New Roman" w:hAnsi="Times New Roman" w:cs="Times New Roman"/>
          <w:bCs/>
          <w:i/>
          <w:sz w:val="24"/>
          <w:szCs w:val="24"/>
        </w:rPr>
      </w:pPr>
      <w:hyperlink r:id="rId9" w:history="1">
        <w:r w:rsidR="00D421A6" w:rsidRPr="003111FA">
          <w:rPr>
            <w:rStyle w:val="Hyperlink"/>
            <w:rFonts w:ascii="Times New Roman" w:hAnsi="Times New Roman" w:cs="Times New Roman"/>
            <w:bCs/>
            <w:i/>
            <w:sz w:val="24"/>
            <w:szCs w:val="24"/>
          </w:rPr>
          <w:t>https://ec.europa.eu/regional_policy/information-sources/logo-download-center_en</w:t>
        </w:r>
      </w:hyperlink>
    </w:p>
    <w:p w14:paraId="6F503B18" w14:textId="77777777" w:rsidR="00D421A6" w:rsidRPr="00E9716C" w:rsidRDefault="00D421A6" w:rsidP="00807928">
      <w:pPr>
        <w:spacing w:before="120" w:after="120" w:line="276" w:lineRule="auto"/>
        <w:ind w:firstLine="567"/>
        <w:jc w:val="both"/>
        <w:rPr>
          <w:rFonts w:ascii="Times New Roman" w:hAnsi="Times New Roman" w:cs="Times New Roman"/>
          <w:bCs/>
          <w:sz w:val="24"/>
          <w:szCs w:val="24"/>
        </w:rPr>
      </w:pPr>
      <w:r w:rsidRPr="00E9716C">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07C9F9C7" w:rsidR="00D421A6" w:rsidRPr="003111FA" w:rsidRDefault="00E3365C" w:rsidP="00807928">
      <w:pPr>
        <w:spacing w:before="120" w:after="120" w:line="276" w:lineRule="auto"/>
        <w:jc w:val="both"/>
        <w:rPr>
          <w:rStyle w:val="Hyperlink"/>
          <w:rFonts w:ascii="Times New Roman" w:hAnsi="Times New Roman" w:cs="Times New Roman"/>
          <w:bCs/>
          <w:i/>
          <w:sz w:val="24"/>
          <w:szCs w:val="24"/>
        </w:rPr>
      </w:pPr>
      <w:hyperlink r:id="rId10" w:history="1">
        <w:r w:rsidR="00D421A6" w:rsidRPr="003111FA">
          <w:rPr>
            <w:rStyle w:val="Hyperlink"/>
            <w:rFonts w:ascii="Times New Roman" w:hAnsi="Times New Roman" w:cs="Times New Roman"/>
            <w:bCs/>
            <w:i/>
            <w:sz w:val="24"/>
            <w:szCs w:val="24"/>
          </w:rPr>
          <w:t>https://commission.europa.eu/system/files/2021-05/eu-emblem-rules</w:t>
        </w:r>
        <w:r w:rsidR="00D421A6" w:rsidRPr="00E9716C">
          <w:rPr>
            <w:rStyle w:val="Hyperlink"/>
            <w:rFonts w:ascii="Times New Roman" w:hAnsi="Times New Roman" w:cs="Times New Roman"/>
            <w:bCs/>
            <w:i/>
            <w:sz w:val="24"/>
            <w:szCs w:val="24"/>
          </w:rPr>
          <w:t>_en.pdf</w:t>
        </w:r>
      </w:hyperlink>
    </w:p>
    <w:p w14:paraId="6A800A94" w14:textId="77777777" w:rsidR="00520E26" w:rsidRPr="00E9716C" w:rsidRDefault="00520E26" w:rsidP="00807928">
      <w:pPr>
        <w:spacing w:before="120" w:after="120" w:line="276" w:lineRule="auto"/>
        <w:jc w:val="both"/>
        <w:rPr>
          <w:rFonts w:ascii="Times New Roman" w:hAnsi="Times New Roman" w:cs="Times New Roman"/>
          <w:i/>
          <w:sz w:val="24"/>
          <w:szCs w:val="24"/>
        </w:rPr>
      </w:pPr>
    </w:p>
    <w:p w14:paraId="3807918B" w14:textId="23F4FF7F" w:rsidR="003817CA" w:rsidRPr="00E9716C" w:rsidRDefault="00D421A6" w:rsidP="00807928">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r w:rsidRPr="00E9716C">
        <w:rPr>
          <w:rFonts w:ascii="Times New Roman" w:hAnsi="Times New Roman" w:cs="Times New Roman"/>
          <w:b/>
          <w:bCs/>
          <w:color w:val="5B9BD5"/>
          <w:sz w:val="24"/>
          <w:szCs w:val="24"/>
        </w:rPr>
        <w:t>4. Приложения към Условията за изпълнение:</w:t>
      </w:r>
      <w:bookmarkEnd w:id="1"/>
      <w:bookmarkEnd w:id="2"/>
    </w:p>
    <w:p w14:paraId="363C658A" w14:textId="1971EC9E" w:rsidR="003817CA" w:rsidRPr="00E9716C" w:rsidRDefault="003817CA"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5</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Декларация по чл. 25, ал. 2</w:t>
      </w:r>
      <w:r w:rsidRPr="003111FA">
        <w:rPr>
          <w:rFonts w:ascii="Times New Roman" w:hAnsi="Times New Roman" w:cs="Times New Roman"/>
          <w:sz w:val="24"/>
          <w:szCs w:val="24"/>
        </w:rPr>
        <w:t xml:space="preserve"> от Закона за управление на средствата от европейските фондове при споделено управление и чл. 7 от ПМС № 23/2023 г;</w:t>
      </w:r>
    </w:p>
    <w:p w14:paraId="2997A1E0" w14:textId="1E60450A" w:rsidR="003817CA" w:rsidRPr="003111FA"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 xml:space="preserve">Приложение № </w:t>
      </w:r>
      <w:r w:rsidR="00187312" w:rsidRPr="000962B8">
        <w:rPr>
          <w:rFonts w:ascii="Times New Roman" w:hAnsi="Times New Roman" w:cs="Times New Roman"/>
          <w:b/>
          <w:sz w:val="24"/>
          <w:szCs w:val="24"/>
        </w:rPr>
        <w:t>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Aдминистративен договор за предоставяне на безвъзмездна финансова помощ по Програма за</w:t>
      </w:r>
      <w:r w:rsidRPr="003111FA">
        <w:rPr>
          <w:rFonts w:ascii="Times New Roman" w:hAnsi="Times New Roman" w:cs="Times New Roman"/>
          <w:sz w:val="24"/>
          <w:szCs w:val="24"/>
        </w:rPr>
        <w:t xml:space="preserve"> морско дело, рибарство и аквакултури 2021-2027;</w:t>
      </w:r>
    </w:p>
    <w:p w14:paraId="3929D39C" w14:textId="4361C2A1" w:rsidR="003817CA" w:rsidRPr="00E9716C" w:rsidRDefault="003817CA"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9</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Общи</w:t>
      </w:r>
      <w:r w:rsidRPr="003111FA">
        <w:rPr>
          <w:rFonts w:ascii="Times New Roman" w:hAnsi="Times New Roman" w:cs="Times New Roman"/>
          <w:sz w:val="24"/>
          <w:szCs w:val="24"/>
        </w:rPr>
        <w:t xml:space="preserve">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310960F2" w14:textId="69DEF22F" w:rsidR="000C1057" w:rsidRPr="003111FA" w:rsidRDefault="00187312"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10</w:t>
      </w:r>
      <w:r w:rsidR="000C1057" w:rsidRPr="00E9716C">
        <w:rPr>
          <w:rFonts w:ascii="Times New Roman" w:hAnsi="Times New Roman" w:cs="Times New Roman"/>
          <w:sz w:val="24"/>
          <w:szCs w:val="24"/>
        </w:rPr>
        <w:t xml:space="preserve"> към Aдминистративен договор </w:t>
      </w:r>
      <w:r w:rsidR="00253AD9"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Таблица за одобрени инвестиционни разходи</w:t>
      </w:r>
      <w:r w:rsidR="00253AD9" w:rsidRPr="00E9716C">
        <w:rPr>
          <w:rFonts w:ascii="Times New Roman" w:hAnsi="Times New Roman" w:cs="Times New Roman"/>
          <w:sz w:val="24"/>
          <w:szCs w:val="24"/>
        </w:rPr>
        <w:t>;</w:t>
      </w:r>
    </w:p>
    <w:p w14:paraId="6A941A3E" w14:textId="3F036F23" w:rsidR="000C1057" w:rsidRPr="00E9716C" w:rsidRDefault="00187312"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11</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Пакет декларации към АДПБФП.</w:t>
      </w:r>
      <w:r w:rsidR="000C1057" w:rsidRPr="003111FA">
        <w:rPr>
          <w:rFonts w:ascii="Times New Roman" w:hAnsi="Times New Roman" w:cs="Times New Roman"/>
          <w:sz w:val="24"/>
          <w:szCs w:val="24"/>
        </w:rPr>
        <w:t xml:space="preserve">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w:t>
      </w:r>
      <w:r w:rsidR="00FB573E" w:rsidRPr="00E9716C">
        <w:rPr>
          <w:rFonts w:ascii="Times New Roman" w:hAnsi="Times New Roman" w:cs="Times New Roman"/>
          <w:sz w:val="24"/>
          <w:szCs w:val="24"/>
        </w:rPr>
        <w:t xml:space="preserve">оговора; Декларация по чл. 11, </w:t>
      </w:r>
      <w:r w:rsidR="000C1057" w:rsidRPr="00E9716C">
        <w:rPr>
          <w:rFonts w:ascii="Times New Roman" w:hAnsi="Times New Roman" w:cs="Times New Roman"/>
          <w:sz w:val="24"/>
          <w:szCs w:val="24"/>
        </w:rPr>
        <w:t xml:space="preserve">параграф 1 и 3 от Регламент (ЕС) № 2021/1139, подписана от </w:t>
      </w:r>
      <w:r w:rsidR="007E3D27" w:rsidRPr="00E9716C">
        <w:rPr>
          <w:rFonts w:ascii="Times New Roman" w:hAnsi="Times New Roman" w:cs="Times New Roman"/>
          <w:sz w:val="24"/>
          <w:szCs w:val="24"/>
        </w:rPr>
        <w:t>кандидата</w:t>
      </w:r>
      <w:r w:rsidR="000C1057" w:rsidRPr="00E9716C">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4EBFAC2B" w14:textId="5754C190" w:rsidR="000C1057" w:rsidRDefault="00187312"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12</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Пакет декларации</w:t>
      </w:r>
      <w:r w:rsidR="000C1057" w:rsidRPr="003111FA">
        <w:rPr>
          <w:rFonts w:ascii="Times New Roman" w:hAnsi="Times New Roman" w:cs="Times New Roman"/>
          <w:sz w:val="24"/>
          <w:szCs w:val="24"/>
        </w:rPr>
        <w:t xml:space="preserve"> към Условията за изпълнение (Декларация за липса на нередности; Декларация за липса на конфликт на интереси по смисъла на чл. 61, параграф 3 от</w:t>
      </w:r>
      <w:r w:rsidR="000C1057" w:rsidRPr="00E9716C">
        <w:rPr>
          <w:rFonts w:ascii="Times New Roman" w:hAnsi="Times New Roman" w:cs="Times New Roman"/>
          <w:sz w:val="24"/>
          <w:szCs w:val="24"/>
        </w:rPr>
        <w:t xml:space="preserve">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69929E55" w14:textId="54B595D3" w:rsidR="00D3296E" w:rsidRPr="00E9716C" w:rsidRDefault="00D3296E"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13</w:t>
      </w:r>
      <w:r>
        <w:rPr>
          <w:rFonts w:ascii="Times New Roman" w:hAnsi="Times New Roman" w:cs="Times New Roman"/>
          <w:sz w:val="24"/>
          <w:szCs w:val="24"/>
        </w:rPr>
        <w:t xml:space="preserve"> – Декларация втора употреба;</w:t>
      </w:r>
    </w:p>
    <w:p w14:paraId="76B1A313" w14:textId="63DFBDB9" w:rsidR="000C1057" w:rsidRPr="003111FA" w:rsidRDefault="001C3772"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14</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000C1057" w:rsidRPr="00E9716C">
        <w:rPr>
          <w:rFonts w:ascii="Times New Roman" w:hAnsi="Times New Roman" w:cs="Times New Roman"/>
          <w:sz w:val="24"/>
          <w:szCs w:val="24"/>
        </w:rPr>
        <w:t xml:space="preserve"> Декларация за упражняване правото на данъчен кредит;</w:t>
      </w:r>
    </w:p>
    <w:p w14:paraId="17C9FE6D" w14:textId="384D7EE0" w:rsidR="000C1057" w:rsidRPr="00E9716C"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 xml:space="preserve">Приложение № </w:t>
      </w:r>
      <w:r w:rsidR="001C3772" w:rsidRPr="000962B8">
        <w:rPr>
          <w:rFonts w:ascii="Times New Roman" w:hAnsi="Times New Roman" w:cs="Times New Roman"/>
          <w:b/>
          <w:sz w:val="24"/>
          <w:szCs w:val="24"/>
        </w:rPr>
        <w:t>15</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ръководител на бенефициента до ИСУН 2020;</w:t>
      </w:r>
    </w:p>
    <w:p w14:paraId="3B324C14" w14:textId="5927762E" w:rsidR="000C1057" w:rsidRPr="003111FA"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 xml:space="preserve">Приложение № </w:t>
      </w:r>
      <w:r w:rsidR="00052FFC" w:rsidRPr="000962B8">
        <w:rPr>
          <w:rFonts w:ascii="Times New Roman" w:hAnsi="Times New Roman" w:cs="Times New Roman"/>
          <w:b/>
          <w:sz w:val="24"/>
          <w:szCs w:val="24"/>
        </w:rPr>
        <w:t>16</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139D62C0" w14:textId="7DCB9BAC" w:rsidR="000C1057" w:rsidRPr="003111FA"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 xml:space="preserve">Приложение № </w:t>
      </w:r>
      <w:r w:rsidR="00052FFC" w:rsidRPr="000962B8">
        <w:rPr>
          <w:rFonts w:ascii="Times New Roman" w:hAnsi="Times New Roman" w:cs="Times New Roman"/>
          <w:b/>
          <w:sz w:val="24"/>
          <w:szCs w:val="24"/>
        </w:rPr>
        <w:t>17</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Образец на банкова гаранция;</w:t>
      </w:r>
    </w:p>
    <w:p w14:paraId="58AC16DC" w14:textId="381D1121" w:rsidR="000C1057" w:rsidRPr="00E9716C"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 xml:space="preserve">Приложение № </w:t>
      </w:r>
      <w:r w:rsidR="00734632" w:rsidRPr="000962B8">
        <w:rPr>
          <w:rFonts w:ascii="Times New Roman" w:hAnsi="Times New Roman" w:cs="Times New Roman"/>
          <w:b/>
          <w:sz w:val="24"/>
          <w:szCs w:val="24"/>
        </w:rPr>
        <w:t>18</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авансово плащане;</w:t>
      </w:r>
    </w:p>
    <w:p w14:paraId="5CF5DB73" w14:textId="2BB7AD7A" w:rsidR="000C1057" w:rsidRPr="003111FA" w:rsidRDefault="000C1057"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w:t>
      </w:r>
      <w:r w:rsidR="00052FFC" w:rsidRPr="000962B8">
        <w:rPr>
          <w:rFonts w:ascii="Times New Roman" w:hAnsi="Times New Roman" w:cs="Times New Roman"/>
          <w:b/>
          <w:sz w:val="24"/>
          <w:szCs w:val="24"/>
        </w:rPr>
        <w:t>риложение № 19</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Списък с изискуеми документи към Искане за междинно/окончателно плащане;</w:t>
      </w:r>
    </w:p>
    <w:p w14:paraId="75BDD7EC" w14:textId="1ACD535C" w:rsidR="000C1057" w:rsidRPr="003111FA" w:rsidRDefault="00052FFC"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20</w:t>
      </w:r>
      <w:r w:rsidR="000C1057" w:rsidRPr="000962B8">
        <w:rPr>
          <w:rFonts w:ascii="Times New Roman" w:hAnsi="Times New Roman" w:cs="Times New Roman"/>
          <w:b/>
          <w:sz w:val="24"/>
          <w:szCs w:val="24"/>
        </w:rPr>
        <w:t xml:space="preserve"> </w:t>
      </w:r>
      <w:r w:rsidR="0061229C" w:rsidRPr="000962B8">
        <w:rPr>
          <w:rFonts w:ascii="Times New Roman" w:hAnsi="Times New Roman" w:cs="Times New Roman"/>
          <w:b/>
          <w:sz w:val="24"/>
          <w:szCs w:val="24"/>
        </w:rPr>
        <w:t>–</w:t>
      </w:r>
      <w:r w:rsidR="000C1057" w:rsidRPr="00E9716C">
        <w:rPr>
          <w:rFonts w:ascii="Times New Roman" w:hAnsi="Times New Roman" w:cs="Times New Roman"/>
          <w:sz w:val="24"/>
          <w:szCs w:val="24"/>
        </w:rPr>
        <w:t xml:space="preserve"> За</w:t>
      </w:r>
      <w:r w:rsidR="0061229C" w:rsidRPr="00E9716C">
        <w:rPr>
          <w:rFonts w:ascii="Times New Roman" w:hAnsi="Times New Roman" w:cs="Times New Roman"/>
          <w:sz w:val="24"/>
          <w:szCs w:val="24"/>
        </w:rPr>
        <w:t>страхователни рискове</w:t>
      </w:r>
      <w:r w:rsidR="0061229C" w:rsidRPr="003111FA">
        <w:rPr>
          <w:rFonts w:ascii="Times New Roman" w:hAnsi="Times New Roman" w:cs="Times New Roman"/>
          <w:sz w:val="24"/>
          <w:szCs w:val="24"/>
        </w:rPr>
        <w:t>;</w:t>
      </w:r>
    </w:p>
    <w:p w14:paraId="3FA69C85" w14:textId="7AB93233" w:rsidR="003817CA" w:rsidRPr="00E9716C" w:rsidRDefault="003817CA"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21</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Инструкция за подписване на договор с електронен подпис;</w:t>
      </w:r>
    </w:p>
    <w:p w14:paraId="0C683FB3" w14:textId="42AEA2F2" w:rsidR="003817CA" w:rsidRPr="00E9716C" w:rsidRDefault="003817CA"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22</w:t>
      </w:r>
      <w:r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w:t>
      </w:r>
      <w:r w:rsidRPr="00E9716C">
        <w:rPr>
          <w:rFonts w:ascii="Times New Roman" w:hAnsi="Times New Roman" w:cs="Times New Roman"/>
          <w:sz w:val="24"/>
          <w:szCs w:val="24"/>
        </w:rPr>
        <w:t xml:space="preserve"> Графични лога на Емблемата на Съюза с изявлението за финансиране: „Съфинансирано от Европейския съюз“;</w:t>
      </w:r>
    </w:p>
    <w:p w14:paraId="3A251C69" w14:textId="0D180A33" w:rsidR="0061229C" w:rsidRDefault="00052FFC" w:rsidP="00807928">
      <w:pPr>
        <w:spacing w:before="120" w:after="120" w:line="276" w:lineRule="auto"/>
        <w:jc w:val="both"/>
        <w:rPr>
          <w:rFonts w:ascii="Times New Roman" w:hAnsi="Times New Roman" w:cs="Times New Roman"/>
          <w:sz w:val="24"/>
          <w:szCs w:val="24"/>
        </w:rPr>
      </w:pPr>
      <w:r w:rsidRPr="000962B8">
        <w:rPr>
          <w:rFonts w:ascii="Times New Roman" w:hAnsi="Times New Roman" w:cs="Times New Roman"/>
          <w:b/>
          <w:sz w:val="24"/>
          <w:szCs w:val="24"/>
        </w:rPr>
        <w:t>Приложение № 23</w:t>
      </w:r>
      <w:r w:rsidR="000C1057" w:rsidRPr="00E9716C">
        <w:rPr>
          <w:rFonts w:ascii="Times New Roman" w:hAnsi="Times New Roman" w:cs="Times New Roman"/>
          <w:sz w:val="24"/>
          <w:szCs w:val="24"/>
        </w:rPr>
        <w:t xml:space="preserve"> </w:t>
      </w:r>
      <w:r w:rsidR="00E77180" w:rsidRPr="00E9716C">
        <w:rPr>
          <w:rFonts w:ascii="Times New Roman" w:hAnsi="Times New Roman" w:cs="Times New Roman"/>
          <w:sz w:val="24"/>
          <w:szCs w:val="24"/>
        </w:rPr>
        <w:t xml:space="preserve">– </w:t>
      </w:r>
      <w:r w:rsidR="000C1057" w:rsidRPr="00E9716C">
        <w:rPr>
          <w:rFonts w:ascii="Times New Roman" w:hAnsi="Times New Roman" w:cs="Times New Roman"/>
          <w:sz w:val="24"/>
          <w:szCs w:val="24"/>
        </w:rPr>
        <w:t>Графични лога на Програмата за морско дело, рибарство и</w:t>
      </w:r>
      <w:r w:rsidR="00172CB5" w:rsidRPr="00E9716C">
        <w:rPr>
          <w:rFonts w:ascii="Times New Roman" w:hAnsi="Times New Roman" w:cs="Times New Roman"/>
          <w:sz w:val="24"/>
          <w:szCs w:val="24"/>
        </w:rPr>
        <w:t xml:space="preserve"> аквакултури 2021-2027.</w:t>
      </w:r>
    </w:p>
    <w:p w14:paraId="7556F724" w14:textId="77777777" w:rsidR="00E8289E" w:rsidRPr="00774C97" w:rsidRDefault="00E8289E" w:rsidP="00807928">
      <w:pPr>
        <w:spacing w:before="120" w:after="120" w:line="276" w:lineRule="auto"/>
        <w:jc w:val="both"/>
        <w:rPr>
          <w:rFonts w:ascii="Times New Roman" w:hAnsi="Times New Roman" w:cs="Times New Roman"/>
          <w:sz w:val="24"/>
          <w:szCs w:val="24"/>
        </w:rPr>
      </w:pPr>
    </w:p>
    <w:sectPr w:rsidR="00E8289E" w:rsidRPr="00774C97" w:rsidSect="00B20B9E">
      <w:footerReference w:type="default" r:id="rId11"/>
      <w:headerReference w:type="first" r:id="rId12"/>
      <w:pgSz w:w="11906" w:h="16838"/>
      <w:pgMar w:top="709" w:right="991" w:bottom="851" w:left="1276" w:header="709" w:footer="708" w:gutter="0"/>
      <w:cols w:space="708"/>
      <w:titlePg/>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3D065" w16cex:dateUtc="2025-03-18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DD20C" w16cid:durableId="2B83D0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82F2C" w14:textId="77777777" w:rsidR="00F17BC1" w:rsidRDefault="00F17BC1" w:rsidP="002325A3">
      <w:pPr>
        <w:spacing w:after="0" w:line="240" w:lineRule="auto"/>
      </w:pPr>
      <w:r>
        <w:separator/>
      </w:r>
    </w:p>
  </w:endnote>
  <w:endnote w:type="continuationSeparator" w:id="0">
    <w:p w14:paraId="55DFAFF6" w14:textId="77777777" w:rsidR="00F17BC1" w:rsidRDefault="00F17BC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0F199409"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E3365C">
      <w:rPr>
        <w:rFonts w:ascii="Arial" w:hAnsi="Arial" w:cs="Arial"/>
        <w:noProof/>
        <w:sz w:val="16"/>
        <w:szCs w:val="16"/>
      </w:rPr>
      <w:t>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842CC" w14:textId="77777777" w:rsidR="00F17BC1" w:rsidRDefault="00F17BC1" w:rsidP="002325A3">
      <w:pPr>
        <w:spacing w:after="0" w:line="240" w:lineRule="auto"/>
      </w:pPr>
      <w:r>
        <w:separator/>
      </w:r>
    </w:p>
  </w:footnote>
  <w:footnote w:type="continuationSeparator" w:id="0">
    <w:p w14:paraId="11C4B0F2" w14:textId="77777777" w:rsidR="00F17BC1" w:rsidRDefault="00F17BC1"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defaultTabStop w:val="708"/>
  <w:hyphenationZone w:val="425"/>
  <w:doNotHyphenateCaps/>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62B8"/>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B5A"/>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6DE7"/>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2B47"/>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312"/>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2A3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5EB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92C"/>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1FA"/>
    <w:rsid w:val="00311558"/>
    <w:rsid w:val="00311B3E"/>
    <w:rsid w:val="00311E71"/>
    <w:rsid w:val="003121EE"/>
    <w:rsid w:val="003128A1"/>
    <w:rsid w:val="0031370F"/>
    <w:rsid w:val="00313B3D"/>
    <w:rsid w:val="0031445C"/>
    <w:rsid w:val="00314619"/>
    <w:rsid w:val="00314CFB"/>
    <w:rsid w:val="00314E45"/>
    <w:rsid w:val="00315DC8"/>
    <w:rsid w:val="00316195"/>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9A5"/>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47E"/>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27B"/>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ACF"/>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CD"/>
    <w:rsid w:val="004002FD"/>
    <w:rsid w:val="00401287"/>
    <w:rsid w:val="0040166A"/>
    <w:rsid w:val="00401D9C"/>
    <w:rsid w:val="00401FFA"/>
    <w:rsid w:val="00402994"/>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36E"/>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4F77"/>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0FF6"/>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1FFD"/>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583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CF1"/>
    <w:rsid w:val="00517DA5"/>
    <w:rsid w:val="00517E57"/>
    <w:rsid w:val="0052041A"/>
    <w:rsid w:val="00520E26"/>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AFB"/>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5356"/>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721"/>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867"/>
    <w:rsid w:val="005F2B8C"/>
    <w:rsid w:val="005F2C88"/>
    <w:rsid w:val="005F340A"/>
    <w:rsid w:val="005F38C5"/>
    <w:rsid w:val="005F496C"/>
    <w:rsid w:val="005F64CA"/>
    <w:rsid w:val="005F65CF"/>
    <w:rsid w:val="005F6813"/>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209"/>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0E2"/>
    <w:rsid w:val="00695294"/>
    <w:rsid w:val="006952CF"/>
    <w:rsid w:val="006958D3"/>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722"/>
    <w:rsid w:val="006F3C61"/>
    <w:rsid w:val="006F3E7E"/>
    <w:rsid w:val="006F4552"/>
    <w:rsid w:val="006F4568"/>
    <w:rsid w:val="006F47B9"/>
    <w:rsid w:val="006F5796"/>
    <w:rsid w:val="006F5817"/>
    <w:rsid w:val="006F701B"/>
    <w:rsid w:val="006F7020"/>
    <w:rsid w:val="006F7490"/>
    <w:rsid w:val="006F7683"/>
    <w:rsid w:val="007000B3"/>
    <w:rsid w:val="007001DF"/>
    <w:rsid w:val="0070026D"/>
    <w:rsid w:val="00700945"/>
    <w:rsid w:val="00700DC9"/>
    <w:rsid w:val="0070101A"/>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6C75"/>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631"/>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446"/>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7"/>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928"/>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17DBA"/>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2"/>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980"/>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970"/>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04"/>
    <w:rsid w:val="008B1CB9"/>
    <w:rsid w:val="008B1F17"/>
    <w:rsid w:val="008B1F3D"/>
    <w:rsid w:val="008B40C4"/>
    <w:rsid w:val="008B486B"/>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DF7"/>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C1"/>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8A5"/>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D07"/>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6A8"/>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39D"/>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23BE"/>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062"/>
    <w:rsid w:val="009C0284"/>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200"/>
    <w:rsid w:val="009C6BB7"/>
    <w:rsid w:val="009C79FD"/>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07"/>
    <w:rsid w:val="00A27AA6"/>
    <w:rsid w:val="00A27DCE"/>
    <w:rsid w:val="00A27E6A"/>
    <w:rsid w:val="00A27FBF"/>
    <w:rsid w:val="00A27FFE"/>
    <w:rsid w:val="00A304A0"/>
    <w:rsid w:val="00A308FD"/>
    <w:rsid w:val="00A31BAC"/>
    <w:rsid w:val="00A3239D"/>
    <w:rsid w:val="00A3244E"/>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A72"/>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CF9"/>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D79A2"/>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077"/>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DA7"/>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8E0"/>
    <w:rsid w:val="00B07BAD"/>
    <w:rsid w:val="00B1084D"/>
    <w:rsid w:val="00B116A9"/>
    <w:rsid w:val="00B121DC"/>
    <w:rsid w:val="00B1282F"/>
    <w:rsid w:val="00B12E3A"/>
    <w:rsid w:val="00B12E4D"/>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82"/>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8D1"/>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B7F22"/>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3A2B"/>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1487"/>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6E9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2DC"/>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04C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56D"/>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DF8"/>
    <w:rsid w:val="00CF0F72"/>
    <w:rsid w:val="00CF1737"/>
    <w:rsid w:val="00CF26A2"/>
    <w:rsid w:val="00CF2915"/>
    <w:rsid w:val="00CF3417"/>
    <w:rsid w:val="00CF34C2"/>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96E"/>
    <w:rsid w:val="00D32D29"/>
    <w:rsid w:val="00D335EC"/>
    <w:rsid w:val="00D33DDF"/>
    <w:rsid w:val="00D34476"/>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1EA"/>
    <w:rsid w:val="00D66396"/>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00F"/>
    <w:rsid w:val="00D7444A"/>
    <w:rsid w:val="00D74898"/>
    <w:rsid w:val="00D74B3D"/>
    <w:rsid w:val="00D7508E"/>
    <w:rsid w:val="00D75C9E"/>
    <w:rsid w:val="00D7695F"/>
    <w:rsid w:val="00D7753D"/>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1F8D"/>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415"/>
    <w:rsid w:val="00DE2873"/>
    <w:rsid w:val="00DE2FCC"/>
    <w:rsid w:val="00DE3287"/>
    <w:rsid w:val="00DE39A7"/>
    <w:rsid w:val="00DE3B2A"/>
    <w:rsid w:val="00DE4A7D"/>
    <w:rsid w:val="00DE513D"/>
    <w:rsid w:val="00DE53E5"/>
    <w:rsid w:val="00DE59FA"/>
    <w:rsid w:val="00DE5F3D"/>
    <w:rsid w:val="00DE5F48"/>
    <w:rsid w:val="00DE6B91"/>
    <w:rsid w:val="00DE6E23"/>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946"/>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65C"/>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634"/>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46EF"/>
    <w:rsid w:val="00E660C5"/>
    <w:rsid w:val="00E66D2E"/>
    <w:rsid w:val="00E676BC"/>
    <w:rsid w:val="00E678C7"/>
    <w:rsid w:val="00E705F4"/>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77180"/>
    <w:rsid w:val="00E8101D"/>
    <w:rsid w:val="00E814E7"/>
    <w:rsid w:val="00E81837"/>
    <w:rsid w:val="00E8231B"/>
    <w:rsid w:val="00E8289E"/>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16C"/>
    <w:rsid w:val="00E97299"/>
    <w:rsid w:val="00E97544"/>
    <w:rsid w:val="00E97596"/>
    <w:rsid w:val="00E97EA8"/>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6C2"/>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1E47"/>
    <w:rsid w:val="00EE221A"/>
    <w:rsid w:val="00EE2CC9"/>
    <w:rsid w:val="00EE2CD2"/>
    <w:rsid w:val="00EE3028"/>
    <w:rsid w:val="00EE30D9"/>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17BC1"/>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96C"/>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497"/>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0B6F"/>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B3E"/>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381973458">
      <w:bodyDiv w:val="1"/>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82E94-EB0F-4892-B01C-A09E3E296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13</Pages>
  <Words>4947</Words>
  <Characters>28198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33079</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2025-08-14T12:08:00Z</dcterms:modified>
</cp:coreProperties>
</file>