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DE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ВЪПРОСИ И ОТГОВОРИ</w:t>
      </w:r>
    </w:p>
    <w:p w:rsidR="00B50EDE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7777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по процедура</w:t>
      </w:r>
    </w:p>
    <w:p w:rsidR="00EA7777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чрез подбор на проекти</w:t>
      </w:r>
    </w:p>
    <w:p w:rsidR="00EA7777" w:rsidRDefault="002961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961DE">
        <w:rPr>
          <w:rFonts w:ascii="Times New Roman" w:hAnsi="Times New Roman" w:cs="Times New Roman"/>
          <w:b/>
          <w:sz w:val="24"/>
          <w:szCs w:val="24"/>
          <w:lang w:val="bg-BG"/>
        </w:rPr>
        <w:t>BG14MFPR001-1.008 „Защита на екологичното състояние на морската среда“</w:t>
      </w:r>
      <w:r w:rsidR="00B943A0" w:rsidRPr="00B943A0">
        <w:rPr>
          <w:rFonts w:ascii="Times New Roman" w:hAnsi="Times New Roman" w:cs="Times New Roman"/>
          <w:b/>
          <w:sz w:val="24"/>
          <w:szCs w:val="24"/>
          <w:lang w:val="bg-BG"/>
        </w:rPr>
        <w:t>по Програма за морско дело, рибарство и аквакултури 2021-2027 (ПМДРА)</w:t>
      </w:r>
      <w:r w:rsidR="00EA7777" w:rsidRPr="00B50EDE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:rsidR="00B943A0" w:rsidRPr="00B50EDE" w:rsidRDefault="00B943A0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7777" w:rsidRPr="002A64D1" w:rsidRDefault="00EA7777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>одобрен</w:t>
      </w:r>
      <w:r w:rsidR="00B50EDE" w:rsidRPr="002A64D1"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от Ръководителя на Управляващия орган на ПМДРА</w:t>
      </w:r>
    </w:p>
    <w:p w:rsidR="00EA7777" w:rsidRPr="002A64D1" w:rsidRDefault="00EA7777" w:rsidP="002A64D1">
      <w:pPr>
        <w:tabs>
          <w:tab w:val="center" w:pos="4844"/>
          <w:tab w:val="left" w:pos="872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 докладна записка </w:t>
      </w:r>
      <w:r w:rsidR="002A64D1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2F50F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93-4199/25.08.2025</w:t>
      </w:r>
      <w:r w:rsidR="00432B3E">
        <w:rPr>
          <w:rFonts w:ascii="Times New Roman" w:hAnsi="Times New Roman" w:cs="Times New Roman"/>
          <w:b/>
          <w:sz w:val="24"/>
          <w:szCs w:val="24"/>
          <w:lang w:val="bg-BG"/>
        </w:rPr>
        <w:t>г.,</w:t>
      </w:r>
      <w:r w:rsidR="00F818F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</w:t>
      </w:r>
      <w:r w:rsidR="00F818FA" w:rsidRPr="00F818FA">
        <w:rPr>
          <w:rFonts w:ascii="Times New Roman" w:hAnsi="Times New Roman" w:cs="Times New Roman"/>
          <w:b/>
          <w:sz w:val="24"/>
          <w:szCs w:val="24"/>
          <w:lang w:val="bg-BG"/>
        </w:rPr>
        <w:t>№ 93-4506/16.09.2025 г.</w:t>
      </w:r>
      <w:r w:rsidR="00432B3E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="004237FB" w:rsidRPr="004237FB">
        <w:rPr>
          <w:rFonts w:ascii="Times New Roman" w:hAnsi="Times New Roman" w:cs="Times New Roman"/>
          <w:b/>
          <w:sz w:val="24"/>
          <w:szCs w:val="24"/>
          <w:lang w:val="bg-BG"/>
        </w:rPr>
        <w:t>№ 93-4683/29.09.2025г</w:t>
      </w:r>
      <w:r w:rsidR="004237FB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4237FB" w:rsidRPr="004237F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4237F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№ 93-4680/29.09.2025г.</w:t>
      </w:r>
      <w:r w:rsidR="00F818FA" w:rsidRPr="00F818F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</w:t>
      </w:r>
    </w:p>
    <w:p w:rsidR="00B50EDE" w:rsidRPr="00B50EDE" w:rsidRDefault="00B50EDE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331BD1" w:rsidRPr="00E01D00" w:rsidRDefault="00331BD1" w:rsidP="00331BD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A1040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Зададен въпрос чрез </w:t>
      </w:r>
      <w:r w:rsidR="003638AC" w:rsidRPr="00A1040E">
        <w:rPr>
          <w:rFonts w:ascii="Times New Roman" w:hAnsi="Times New Roman" w:cs="Times New Roman"/>
          <w:noProof/>
          <w:sz w:val="24"/>
          <w:szCs w:val="24"/>
          <w:lang w:val="bg-BG"/>
        </w:rPr>
        <w:t>Информационната система за управление и наблюдение на средствата от Европейските фондове при споделено управление</w:t>
      </w:r>
      <w:r w:rsidR="003638AC" w:rsidRPr="00E01D00">
        <w:rPr>
          <w:rFonts w:ascii="Times New Roman" w:hAnsi="Times New Roman" w:cs="Times New Roman"/>
          <w:noProof/>
          <w:sz w:val="24"/>
          <w:szCs w:val="24"/>
          <w:lang w:val="bg-BG"/>
        </w:rPr>
        <w:t>.</w:t>
      </w:r>
    </w:p>
    <w:p w:rsidR="00E01D00" w:rsidRPr="00E01D00" w:rsidRDefault="00331BD1" w:rsidP="00331BD1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Рег. номер: </w:t>
      </w:r>
      <w:r w:rsidR="0073025A" w:rsidRPr="0073025A">
        <w:rPr>
          <w:rFonts w:ascii="Times New Roman" w:eastAsia="Calibri" w:hAnsi="Times New Roman" w:cs="Times New Roman"/>
          <w:bCs/>
          <w:sz w:val="24"/>
          <w:szCs w:val="24"/>
        </w:rPr>
        <w:t>BG</w:t>
      </w:r>
      <w:r w:rsidR="0073025A" w:rsidRPr="00B83A2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14</w:t>
      </w:r>
      <w:r w:rsidR="0073025A" w:rsidRPr="0073025A">
        <w:rPr>
          <w:rFonts w:ascii="Times New Roman" w:eastAsia="Calibri" w:hAnsi="Times New Roman" w:cs="Times New Roman"/>
          <w:bCs/>
          <w:sz w:val="24"/>
          <w:szCs w:val="24"/>
        </w:rPr>
        <w:t>MFPR</w:t>
      </w:r>
      <w:r w:rsidR="0073025A" w:rsidRPr="00B83A2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001-1.008-</w:t>
      </w:r>
      <w:r w:rsidR="0073025A" w:rsidRPr="0073025A">
        <w:rPr>
          <w:rFonts w:ascii="Times New Roman" w:eastAsia="Calibri" w:hAnsi="Times New Roman" w:cs="Times New Roman"/>
          <w:bCs/>
          <w:sz w:val="24"/>
          <w:szCs w:val="24"/>
        </w:rPr>
        <w:t>Q</w:t>
      </w:r>
      <w:r w:rsidR="0073025A" w:rsidRPr="00B83A2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001</w:t>
      </w:r>
    </w:p>
    <w:p w:rsidR="0073025A" w:rsidRPr="00B83A29" w:rsidRDefault="00331BD1" w:rsidP="00331BD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Подател: </w:t>
      </w:r>
      <w:r w:rsidRPr="00E01D00">
        <w:rPr>
          <w:rFonts w:ascii="Times New Roman" w:eastAsia="Calibri" w:hAnsi="Times New Roman" w:cs="Times New Roman"/>
          <w:bCs/>
          <w:sz w:val="24"/>
          <w:szCs w:val="24"/>
          <w:lang w:val="pt-PT"/>
        </w:rPr>
        <w:t>e-mail</w:t>
      </w: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:</w:t>
      </w:r>
      <w:r w:rsidRPr="00A1040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8" w:history="1">
        <w:r w:rsidR="0073025A" w:rsidRPr="00A27B74">
          <w:rPr>
            <w:rStyle w:val="Hyperlink"/>
            <w:rFonts w:ascii="Times New Roman" w:hAnsi="Times New Roman" w:cs="Times New Roman"/>
            <w:sz w:val="24"/>
            <w:szCs w:val="24"/>
          </w:rPr>
          <w:t>flag</w:t>
        </w:r>
        <w:r w:rsidR="0073025A" w:rsidRPr="00B83A29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.</w:t>
        </w:r>
        <w:r w:rsidR="0073025A" w:rsidRPr="00A27B74">
          <w:rPr>
            <w:rStyle w:val="Hyperlink"/>
            <w:rFonts w:ascii="Times New Roman" w:hAnsi="Times New Roman" w:cs="Times New Roman"/>
            <w:sz w:val="24"/>
            <w:szCs w:val="24"/>
          </w:rPr>
          <w:t>shabla</w:t>
        </w:r>
        <w:r w:rsidR="0073025A" w:rsidRPr="00B83A29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@</w:t>
        </w:r>
        <w:r w:rsidR="0073025A" w:rsidRPr="00A27B74">
          <w:rPr>
            <w:rStyle w:val="Hyperlink"/>
            <w:rFonts w:ascii="Times New Roman" w:hAnsi="Times New Roman" w:cs="Times New Roman"/>
            <w:sz w:val="24"/>
            <w:szCs w:val="24"/>
          </w:rPr>
          <w:t>gmail</w:t>
        </w:r>
        <w:r w:rsidR="0073025A" w:rsidRPr="00B83A29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.</w:t>
        </w:r>
        <w:r w:rsidR="0073025A" w:rsidRPr="00A27B74">
          <w:rPr>
            <w:rStyle w:val="Hyperlink"/>
            <w:rFonts w:ascii="Times New Roman" w:hAnsi="Times New Roman" w:cs="Times New Roman"/>
            <w:sz w:val="24"/>
            <w:szCs w:val="24"/>
          </w:rPr>
          <w:t>com</w:t>
        </w:r>
      </w:hyperlink>
    </w:p>
    <w:p w:rsidR="00B943A0" w:rsidRPr="00E01D00" w:rsidRDefault="00331BD1" w:rsidP="00A558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A1040E">
        <w:rPr>
          <w:rFonts w:ascii="Times New Roman" w:eastAsia="Calibri" w:hAnsi="Times New Roman" w:cs="Times New Roman"/>
          <w:sz w:val="24"/>
          <w:szCs w:val="24"/>
          <w:lang w:val="bg-BG"/>
        </w:rPr>
        <w:t>Дата:</w:t>
      </w:r>
      <w:r w:rsidRPr="00A1040E">
        <w:rPr>
          <w:lang w:val="bg-BG"/>
        </w:rPr>
        <w:t xml:space="preserve"> </w:t>
      </w:r>
      <w:r w:rsidR="0073025A" w:rsidRPr="0073025A">
        <w:rPr>
          <w:rFonts w:ascii="Times New Roman" w:eastAsia="Calibri" w:hAnsi="Times New Roman" w:cs="Times New Roman"/>
          <w:sz w:val="24"/>
          <w:szCs w:val="24"/>
          <w:lang w:val="bg-BG"/>
        </w:rPr>
        <w:t>16.08.2025</w:t>
      </w:r>
      <w:r w:rsidR="0073025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</w:t>
      </w:r>
    </w:p>
    <w:p w:rsidR="00B943A0" w:rsidRPr="00E01D00" w:rsidRDefault="00C1644F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Въпрос:</w:t>
      </w:r>
    </w:p>
    <w:p w:rsidR="00B943A0" w:rsidRPr="00F63DA8" w:rsidRDefault="00B943A0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bg-BG"/>
        </w:rPr>
      </w:pPr>
    </w:p>
    <w:p w:rsidR="0099110B" w:rsidRPr="0099110B" w:rsidRDefault="0099110B" w:rsidP="009911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110B">
        <w:rPr>
          <w:rFonts w:ascii="Times New Roman" w:hAnsi="Times New Roman" w:cs="Times New Roman"/>
          <w:sz w:val="24"/>
          <w:szCs w:val="24"/>
          <w:lang w:val="bg-BG"/>
        </w:rPr>
        <w:t>Във връзка с обявена за кандидатстване Процедура BG14MFPR001-1.008 - "Защита на екологичното състояние на морската среда" и текстовете в Условията за кандидатстване, моля да ни бъде дадено становище на следният въпрос:</w:t>
      </w:r>
    </w:p>
    <w:p w:rsidR="0099110B" w:rsidRPr="0099110B" w:rsidRDefault="0099110B" w:rsidP="009911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110B">
        <w:rPr>
          <w:rFonts w:ascii="Times New Roman" w:hAnsi="Times New Roman" w:cs="Times New Roman"/>
          <w:sz w:val="24"/>
          <w:szCs w:val="24"/>
          <w:lang w:val="bg-BG"/>
        </w:rPr>
        <w:t>1. Допустим кандидат ли е Местна инициативна рибарска група Шабла - Каварна - Балчик с ЕИК 176001209, като бенефициент по горепосечената Процедура, при условията на партнорство с посочените в УК.</w:t>
      </w:r>
    </w:p>
    <w:p w:rsidR="0099110B" w:rsidRPr="0099110B" w:rsidRDefault="0099110B" w:rsidP="009911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110B">
        <w:rPr>
          <w:rFonts w:ascii="Times New Roman" w:hAnsi="Times New Roman" w:cs="Times New Roman"/>
          <w:sz w:val="24"/>
          <w:szCs w:val="24"/>
          <w:lang w:val="bg-BG"/>
        </w:rPr>
        <w:t xml:space="preserve">Обръщаме внимание, че в целите на организацията е вменено "Подобряване качеството на околната среда в РО". </w:t>
      </w:r>
    </w:p>
    <w:p w:rsidR="000042BC" w:rsidRDefault="0099110B" w:rsidP="009911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110B">
        <w:rPr>
          <w:rFonts w:ascii="Times New Roman" w:hAnsi="Times New Roman" w:cs="Times New Roman"/>
          <w:sz w:val="24"/>
          <w:szCs w:val="24"/>
          <w:lang w:val="bg-BG"/>
        </w:rPr>
        <w:t>Прилагаме ЕИК, за извършване преглед в Търговски регистър и получавене на конкретен положителен или отрицателен отговор.</w:t>
      </w:r>
    </w:p>
    <w:p w:rsidR="0099110B" w:rsidRDefault="0099110B" w:rsidP="009911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F3C63" w:rsidRPr="00244DEC" w:rsidRDefault="00244DEC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Отговор на въпрос</w:t>
      </w:r>
      <w:r w:rsidR="002F3C63"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:</w:t>
      </w:r>
    </w:p>
    <w:p w:rsidR="00286301" w:rsidRDefault="00286301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86301" w:rsidRDefault="00286301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110B">
        <w:rPr>
          <w:rFonts w:ascii="Times New Roman" w:hAnsi="Times New Roman" w:cs="Times New Roman"/>
          <w:sz w:val="24"/>
          <w:szCs w:val="24"/>
          <w:lang w:val="bg-BG"/>
        </w:rPr>
        <w:t>Местна инициативна рибарска група Шабла - Каварна - Балчик с ЕИК 176001209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е допустим кандидат по </w:t>
      </w:r>
      <w:r w:rsidR="00467814">
        <w:rPr>
          <w:rFonts w:ascii="Times New Roman" w:hAnsi="Times New Roman" w:cs="Times New Roman"/>
          <w:sz w:val="24"/>
          <w:szCs w:val="24"/>
          <w:lang w:val="bg-BG"/>
        </w:rPr>
        <w:t xml:space="preserve">настоящата процедура в партньорство със субектите, посочени в </w:t>
      </w:r>
      <w:r w:rsidR="00741111">
        <w:rPr>
          <w:rFonts w:ascii="Times New Roman" w:hAnsi="Times New Roman" w:cs="Times New Roman"/>
          <w:sz w:val="24"/>
          <w:szCs w:val="24"/>
          <w:lang w:val="bg-BG"/>
        </w:rPr>
        <w:t xml:space="preserve">т.11 от Условията за кандидатстване </w:t>
      </w:r>
      <w:r w:rsidR="00467814">
        <w:rPr>
          <w:rFonts w:ascii="Times New Roman" w:hAnsi="Times New Roman" w:cs="Times New Roman"/>
          <w:sz w:val="24"/>
          <w:szCs w:val="24"/>
          <w:lang w:val="bg-BG"/>
        </w:rPr>
        <w:t>и едновременно с това може да докаже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86301">
        <w:rPr>
          <w:rFonts w:ascii="Times New Roman" w:hAnsi="Times New Roman" w:cs="Times New Roman"/>
          <w:sz w:val="24"/>
          <w:szCs w:val="24"/>
          <w:lang w:val="bg-BG"/>
        </w:rPr>
        <w:t xml:space="preserve">компетенции в областта на </w:t>
      </w:r>
      <w:r w:rsidRPr="00B41287">
        <w:rPr>
          <w:rFonts w:ascii="Times New Roman" w:hAnsi="Times New Roman" w:cs="Times New Roman"/>
          <w:b/>
          <w:sz w:val="24"/>
          <w:szCs w:val="24"/>
          <w:lang w:val="bg-BG"/>
        </w:rPr>
        <w:t>защитата на морската среда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042BC" w:rsidRDefault="000042BC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1784A" w:rsidRDefault="00F818FA" w:rsidP="00A1784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A1040E">
        <w:rPr>
          <w:rFonts w:ascii="Times New Roman" w:hAnsi="Times New Roman" w:cs="Times New Roman"/>
          <w:noProof/>
          <w:sz w:val="24"/>
          <w:szCs w:val="24"/>
          <w:lang w:val="bg-BG"/>
        </w:rPr>
        <w:t>Зададен въпрос чрез Информационната система за управление и наблюдение на средствата от Европейските фондове при споделено управление</w:t>
      </w:r>
      <w:r w:rsidRPr="00E01D00">
        <w:rPr>
          <w:rFonts w:ascii="Times New Roman" w:hAnsi="Times New Roman" w:cs="Times New Roman"/>
          <w:noProof/>
          <w:sz w:val="24"/>
          <w:szCs w:val="24"/>
          <w:lang w:val="bg-BG"/>
        </w:rPr>
        <w:t>.</w:t>
      </w:r>
    </w:p>
    <w:p w:rsidR="00F818FA" w:rsidRPr="00A1784A" w:rsidRDefault="00F818FA" w:rsidP="00A1784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bookmarkStart w:id="0" w:name="_GoBack"/>
      <w:bookmarkEnd w:id="0"/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lastRenderedPageBreak/>
        <w:t xml:space="preserve">Рег. номер: </w:t>
      </w:r>
      <w:r w:rsidRPr="0073025A">
        <w:rPr>
          <w:rFonts w:ascii="Times New Roman" w:eastAsia="Calibri" w:hAnsi="Times New Roman" w:cs="Times New Roman"/>
          <w:bCs/>
          <w:sz w:val="24"/>
          <w:szCs w:val="24"/>
        </w:rPr>
        <w:t>BG</w:t>
      </w:r>
      <w:r w:rsidRPr="00B83A2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14</w:t>
      </w:r>
      <w:r w:rsidRPr="0073025A">
        <w:rPr>
          <w:rFonts w:ascii="Times New Roman" w:eastAsia="Calibri" w:hAnsi="Times New Roman" w:cs="Times New Roman"/>
          <w:bCs/>
          <w:sz w:val="24"/>
          <w:szCs w:val="24"/>
        </w:rPr>
        <w:t>MFPR</w:t>
      </w:r>
      <w:r w:rsidRPr="00B83A2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001-1.008-</w:t>
      </w:r>
      <w:r w:rsidRPr="0073025A">
        <w:rPr>
          <w:rFonts w:ascii="Times New Roman" w:eastAsia="Calibri" w:hAnsi="Times New Roman" w:cs="Times New Roman"/>
          <w:bCs/>
          <w:sz w:val="24"/>
          <w:szCs w:val="24"/>
        </w:rPr>
        <w:t>Q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003</w:t>
      </w:r>
    </w:p>
    <w:p w:rsidR="00F818FA" w:rsidRPr="00D623C8" w:rsidRDefault="00F818FA" w:rsidP="00F818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Подател: </w:t>
      </w:r>
      <w:r w:rsidRPr="00E01D00">
        <w:rPr>
          <w:rFonts w:ascii="Times New Roman" w:eastAsia="Calibri" w:hAnsi="Times New Roman" w:cs="Times New Roman"/>
          <w:bCs/>
          <w:sz w:val="24"/>
          <w:szCs w:val="24"/>
          <w:lang w:val="pt-PT"/>
        </w:rPr>
        <w:t>e-mail</w:t>
      </w: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:</w:t>
      </w:r>
      <w:r w:rsidRPr="00A1040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9" w:history="1">
        <w:r w:rsidRPr="00111C86">
          <w:rPr>
            <w:rStyle w:val="Hyperlink"/>
            <w:rFonts w:ascii="Times New Roman" w:hAnsi="Times New Roman" w:cs="Times New Roman"/>
            <w:sz w:val="24"/>
            <w:szCs w:val="24"/>
          </w:rPr>
          <w:t>clvse</w:t>
        </w:r>
        <w:r w:rsidRPr="00D623C8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@</w:t>
        </w:r>
        <w:r w:rsidRPr="00111C86">
          <w:rPr>
            <w:rStyle w:val="Hyperlink"/>
            <w:rFonts w:ascii="Times New Roman" w:hAnsi="Times New Roman" w:cs="Times New Roman"/>
            <w:sz w:val="24"/>
            <w:szCs w:val="24"/>
          </w:rPr>
          <w:t>bfsa</w:t>
        </w:r>
        <w:r w:rsidRPr="00D623C8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.</w:t>
        </w:r>
        <w:r w:rsidRPr="00111C86">
          <w:rPr>
            <w:rStyle w:val="Hyperlink"/>
            <w:rFonts w:ascii="Times New Roman" w:hAnsi="Times New Roman" w:cs="Times New Roman"/>
            <w:sz w:val="24"/>
            <w:szCs w:val="24"/>
          </w:rPr>
          <w:t>bg</w:t>
        </w:r>
      </w:hyperlink>
      <w:r w:rsidRPr="00D623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818FA" w:rsidRPr="00E01D00" w:rsidRDefault="00F818FA" w:rsidP="00F818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A1040E">
        <w:rPr>
          <w:rFonts w:ascii="Times New Roman" w:eastAsia="Calibri" w:hAnsi="Times New Roman" w:cs="Times New Roman"/>
          <w:sz w:val="24"/>
          <w:szCs w:val="24"/>
          <w:lang w:val="bg-BG"/>
        </w:rPr>
        <w:t>Дата:</w:t>
      </w:r>
      <w:r w:rsidRPr="00A1040E">
        <w:rPr>
          <w:lang w:val="bg-BG"/>
        </w:rPr>
        <w:t xml:space="preserve"> </w:t>
      </w:r>
      <w:r w:rsidRPr="00D623C8">
        <w:rPr>
          <w:rFonts w:ascii="Times New Roman" w:eastAsia="Calibri" w:hAnsi="Times New Roman" w:cs="Times New Roman"/>
          <w:sz w:val="24"/>
          <w:szCs w:val="24"/>
          <w:lang w:val="bg-BG"/>
        </w:rPr>
        <w:t>09</w:t>
      </w:r>
      <w:r w:rsidRPr="0073025A">
        <w:rPr>
          <w:rFonts w:ascii="Times New Roman" w:eastAsia="Calibri" w:hAnsi="Times New Roman" w:cs="Times New Roman"/>
          <w:sz w:val="24"/>
          <w:szCs w:val="24"/>
          <w:lang w:val="bg-BG"/>
        </w:rPr>
        <w:t>.0</w:t>
      </w:r>
      <w:r w:rsidRPr="00D623C8">
        <w:rPr>
          <w:rFonts w:ascii="Times New Roman" w:eastAsia="Calibri" w:hAnsi="Times New Roman" w:cs="Times New Roman"/>
          <w:sz w:val="24"/>
          <w:szCs w:val="24"/>
          <w:lang w:val="bg-BG"/>
        </w:rPr>
        <w:t>9</w:t>
      </w:r>
      <w:r w:rsidRPr="0073025A">
        <w:rPr>
          <w:rFonts w:ascii="Times New Roman" w:eastAsia="Calibri" w:hAnsi="Times New Roman" w:cs="Times New Roman"/>
          <w:sz w:val="24"/>
          <w:szCs w:val="24"/>
          <w:lang w:val="bg-BG"/>
        </w:rPr>
        <w:t>.2025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</w:t>
      </w:r>
    </w:p>
    <w:p w:rsidR="00F818FA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F818FA" w:rsidRPr="00E01D00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Въпрос:</w:t>
      </w:r>
    </w:p>
    <w:p w:rsidR="00F818FA" w:rsidRPr="00F63DA8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bg-BG"/>
        </w:rPr>
      </w:pPr>
    </w:p>
    <w:p w:rsidR="00F818FA" w:rsidRPr="00111C86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11C86">
        <w:rPr>
          <w:rFonts w:ascii="Times New Roman" w:hAnsi="Times New Roman" w:cs="Times New Roman"/>
          <w:sz w:val="24"/>
          <w:szCs w:val="24"/>
          <w:lang w:val="bg-BG"/>
        </w:rPr>
        <w:t>Във връзка с предстоящо кандидатстване с проектно предложение по процедурата, моля да бъде разяснено следното:</w:t>
      </w:r>
    </w:p>
    <w:p w:rsidR="00F818FA" w:rsidRPr="00111C86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818FA" w:rsidRPr="00111C86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11C86">
        <w:rPr>
          <w:rFonts w:ascii="Times New Roman" w:hAnsi="Times New Roman" w:cs="Times New Roman"/>
          <w:sz w:val="24"/>
          <w:szCs w:val="24"/>
          <w:lang w:val="bg-BG"/>
        </w:rPr>
        <w:t>1. Допустимо ли е провеждането на обществени поръчки по реда на ЗОП за дейностите, които ще се изпълняват по проекта след одобрението на проекта от УО и сключване на договор за финансиране ?</w:t>
      </w:r>
    </w:p>
    <w:p w:rsidR="00F818FA" w:rsidRPr="00111C86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818FA" w:rsidRPr="00111C86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11C86">
        <w:rPr>
          <w:rFonts w:ascii="Times New Roman" w:hAnsi="Times New Roman" w:cs="Times New Roman"/>
          <w:sz w:val="24"/>
          <w:szCs w:val="24"/>
          <w:lang w:val="bg-BG"/>
        </w:rPr>
        <w:t>2.  Предвид, че кандидата е възложител по реда на ЗОП и следва да прилага разпоредбите на ЗОП необходимо ли е предоставянето към Формуляра за кандидатстване на две независими, съпоставими и конкурентни оферти с цел определяне основателността на предложените разходи за предварителни разходи по т. 14.1.4.2 от Условията за кандидатстване ?</w:t>
      </w:r>
    </w:p>
    <w:p w:rsidR="00F818FA" w:rsidRPr="00111C86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818FA" w:rsidRPr="00111C86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11C86">
        <w:rPr>
          <w:rFonts w:ascii="Times New Roman" w:hAnsi="Times New Roman" w:cs="Times New Roman"/>
          <w:sz w:val="24"/>
          <w:szCs w:val="24"/>
          <w:lang w:val="bg-BG"/>
        </w:rPr>
        <w:t>С уважение,</w:t>
      </w:r>
    </w:p>
    <w:p w:rsidR="00F818FA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11C86">
        <w:rPr>
          <w:rFonts w:ascii="Times New Roman" w:hAnsi="Times New Roman" w:cs="Times New Roman"/>
          <w:sz w:val="24"/>
          <w:szCs w:val="24"/>
          <w:lang w:val="bg-BG"/>
        </w:rPr>
        <w:t>Централна лаборатория по ветеринарно-санитарна експертиза и екология</w:t>
      </w:r>
    </w:p>
    <w:p w:rsidR="00F818FA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F818FA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F818FA" w:rsidRPr="00244DEC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Отговор на въпрос</w:t>
      </w:r>
      <w:r w:rsidRPr="00D623C8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1</w:t>
      </w:r>
      <w:r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:</w:t>
      </w:r>
    </w:p>
    <w:p w:rsidR="00F818FA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818FA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Съгласно Условията за кандидатстване и условията за изпълнение на </w:t>
      </w:r>
      <w:r w:rsidRPr="00111C86">
        <w:rPr>
          <w:rFonts w:ascii="Times New Roman" w:hAnsi="Times New Roman" w:cs="Times New Roman"/>
          <w:sz w:val="24"/>
          <w:szCs w:val="24"/>
          <w:lang w:val="bg-BG"/>
        </w:rPr>
        <w:t>проекти по процедура за подбор на проекти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11C86">
        <w:rPr>
          <w:rFonts w:ascii="Times New Roman" w:hAnsi="Times New Roman" w:cs="Times New Roman"/>
          <w:sz w:val="24"/>
          <w:szCs w:val="24"/>
          <w:lang w:val="bg-BG"/>
        </w:rPr>
        <w:t xml:space="preserve">BG14MFPR001-1.008 „Защита на екологичното състояние на морската среда“, провеждането на обществени поръчки по реда на Закона за обществените поръчки (ЗОП) </w:t>
      </w:r>
      <w:r w:rsidRPr="002741CD">
        <w:rPr>
          <w:rFonts w:ascii="Times New Roman" w:hAnsi="Times New Roman" w:cs="Times New Roman"/>
          <w:b/>
          <w:sz w:val="24"/>
          <w:szCs w:val="24"/>
          <w:lang w:val="bg-BG"/>
        </w:rPr>
        <w:t>е допустимо</w:t>
      </w:r>
      <w:r w:rsidRPr="00111C86">
        <w:rPr>
          <w:rFonts w:ascii="Times New Roman" w:hAnsi="Times New Roman" w:cs="Times New Roman"/>
          <w:sz w:val="24"/>
          <w:szCs w:val="24"/>
          <w:lang w:val="bg-BG"/>
        </w:rPr>
        <w:t xml:space="preserve"> за дейностите, които ще се изпълняват след одобрението на проекта от Управляващия орган (УО) и сключване на административния договор за предоставяне безвъзмездна финансова помощ (АДПБФП).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Необходимо е да бъдат спазени </w:t>
      </w:r>
      <w:r w:rsidRPr="00111C86">
        <w:rPr>
          <w:rFonts w:ascii="Times New Roman" w:hAnsi="Times New Roman" w:cs="Times New Roman"/>
          <w:sz w:val="24"/>
          <w:szCs w:val="24"/>
          <w:lang w:val="bg-BG"/>
        </w:rPr>
        <w:t>всички установени процедури и изисквания, свързани с провеждането на обществени поръчки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F818FA" w:rsidRPr="00111C86" w:rsidRDefault="00F818FA" w:rsidP="00F818F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допълнение, н</w:t>
      </w:r>
      <w:r w:rsidRPr="00D623C8">
        <w:rPr>
          <w:rFonts w:ascii="Times New Roman" w:hAnsi="Times New Roman" w:cs="Times New Roman"/>
          <w:sz w:val="24"/>
          <w:szCs w:val="24"/>
          <w:lang w:val="bg-BG"/>
        </w:rPr>
        <w:t xml:space="preserve">а кандидатите се предоставя възможност да проведат процедури за избор на изпълнители </w:t>
      </w:r>
      <w:r w:rsidRPr="00111C8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преди подаване на формуляра за кандидатстване. </w:t>
      </w:r>
    </w:p>
    <w:p w:rsidR="00F818FA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F818FA" w:rsidRPr="00D623C8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111C86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Отговор на въпрос </w:t>
      </w:r>
      <w:r w:rsidRPr="00D623C8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</w:t>
      </w:r>
      <w:r w:rsidRPr="00111C86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:</w:t>
      </w:r>
      <w:r w:rsidRPr="00D623C8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</w:p>
    <w:p w:rsidR="00F818FA" w:rsidRPr="00D623C8" w:rsidRDefault="00F818FA" w:rsidP="00F81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F818FA" w:rsidRPr="00111C86" w:rsidRDefault="00F818FA" w:rsidP="00F818F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е посочено в Условията за кандидатстване </w:t>
      </w:r>
      <w:r w:rsidRPr="00111C86">
        <w:rPr>
          <w:rFonts w:ascii="Times New Roman" w:hAnsi="Times New Roman" w:cs="Times New Roman"/>
          <w:sz w:val="24"/>
          <w:szCs w:val="24"/>
          <w:lang w:val="bg-BG"/>
        </w:rPr>
        <w:t>с проектни предложения за предоставяне на безвъзмездна финансова помощ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11C86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111C86">
        <w:rPr>
          <w:rFonts w:ascii="Times New Roman" w:hAnsi="Times New Roman" w:cs="Times New Roman"/>
          <w:sz w:val="24"/>
          <w:szCs w:val="24"/>
          <w:lang w:val="bg-BG"/>
        </w:rPr>
        <w:t>роцедура чрез подбор на проекти BG14MFPR001-1.008 „Защита на екологичното състояние на морската среда“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254D5">
        <w:rPr>
          <w:rFonts w:ascii="Times New Roman" w:hAnsi="Times New Roman" w:cs="Times New Roman"/>
          <w:b/>
          <w:sz w:val="24"/>
          <w:szCs w:val="24"/>
          <w:lang w:val="bg-BG"/>
        </w:rPr>
        <w:t>е задължително</w:t>
      </w:r>
      <w:r w:rsidRPr="00111C86">
        <w:rPr>
          <w:rFonts w:ascii="Times New Roman" w:hAnsi="Times New Roman" w:cs="Times New Roman"/>
          <w:sz w:val="24"/>
          <w:szCs w:val="24"/>
          <w:lang w:val="bg-BG"/>
        </w:rPr>
        <w:t xml:space="preserve"> предоставянето на две независими, с</w:t>
      </w:r>
      <w:r>
        <w:rPr>
          <w:rFonts w:ascii="Times New Roman" w:hAnsi="Times New Roman" w:cs="Times New Roman"/>
          <w:sz w:val="24"/>
          <w:szCs w:val="24"/>
          <w:lang w:val="bg-BG"/>
        </w:rPr>
        <w:t>ъпоставими и конкурентни оферти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111C8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всички предварителни разходи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  <w:r w:rsidRPr="00111C8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Pr="00111C8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андидатът </w:t>
      </w:r>
      <w:r w:rsidRPr="00111C86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прилага към Формуляра за кандидатстване две независими, съпоставими и конкурентни оферти с цел определяне основателността на предложените разходи, както и подписан договор с избрания изпълнител с разбивка на разходите по дейности.</w:t>
      </w:r>
    </w:p>
    <w:p w:rsidR="00F818FA" w:rsidRPr="00111C86" w:rsidRDefault="00F818FA" w:rsidP="00F818FA">
      <w:pPr>
        <w:spacing w:before="120" w:after="120" w:line="276" w:lineRule="auto"/>
        <w:ind w:left="-4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11C86">
        <w:rPr>
          <w:rFonts w:ascii="Times New Roman" w:eastAsia="Calibri" w:hAnsi="Times New Roman" w:cs="Times New Roman"/>
          <w:sz w:val="24"/>
          <w:szCs w:val="24"/>
          <w:lang w:val="bg-BG"/>
        </w:rPr>
        <w:t>Офертите трябва да съдържат минимум името на оферента, ЕИК/БУЛСТАТ, описание на предложението/характеристика/функционалност, предложена цена, срок на валидност на офертата, датата на издаване на офертата, подпис/електронен подпис на оферента. Цената трябва да бъде определена в лева или евро с описан ДДС. Оферентите, трябва да са вписани в Търговския регистър и регистъра на юридическите лица с нестопанска цел към Агенцията по вписванията или в Регистър БУЛСТАТ, в случаите, в които е приложимо, а оферентите - чуждестранни лица, трябва да представят документ за регистрация съгласно националното си законодателство.</w:t>
      </w:r>
    </w:p>
    <w:p w:rsidR="00F818FA" w:rsidRDefault="00F818FA" w:rsidP="00F818FA">
      <w:pPr>
        <w:spacing w:before="120" w:after="120" w:line="276" w:lineRule="auto"/>
        <w:ind w:left="-42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555B7" w:rsidRPr="00691DF4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691DF4">
        <w:rPr>
          <w:rFonts w:ascii="Times New Roman" w:hAnsi="Times New Roman" w:cs="Times New Roman"/>
          <w:noProof/>
          <w:sz w:val="24"/>
          <w:szCs w:val="24"/>
          <w:lang w:val="bg-BG"/>
        </w:rPr>
        <w:t>Зададен въпрос чрез Информационната система за управление и наблюдение на средствата от Европейските фондове при споделено управление.</w:t>
      </w:r>
    </w:p>
    <w:p w:rsidR="000555B7" w:rsidRPr="00691DF4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691DF4">
        <w:rPr>
          <w:rFonts w:ascii="Times New Roman" w:hAnsi="Times New Roman" w:cs="Times New Roman"/>
          <w:noProof/>
          <w:sz w:val="24"/>
          <w:szCs w:val="24"/>
          <w:lang w:val="bg-BG"/>
        </w:rPr>
        <w:t>Рег. номер: BG14MFPR001-1.008-Q004</w:t>
      </w:r>
    </w:p>
    <w:p w:rsidR="000555B7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691DF4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Подател: e-mail: </w:t>
      </w:r>
      <w:hyperlink r:id="rId10" w:history="1">
        <w:r w:rsidRPr="002055ED">
          <w:rPr>
            <w:rStyle w:val="Hyperlink"/>
            <w:rFonts w:ascii="Times New Roman" w:hAnsi="Times New Roman" w:cs="Times New Roman"/>
            <w:noProof/>
            <w:sz w:val="24"/>
            <w:szCs w:val="24"/>
            <w:lang w:val="bg-BG"/>
          </w:rPr>
          <w:t>ndnivmi@bfsa.bg</w:t>
        </w:r>
      </w:hyperlink>
    </w:p>
    <w:p w:rsidR="000555B7" w:rsidRPr="00691DF4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691DF4">
        <w:rPr>
          <w:rFonts w:ascii="Times New Roman" w:hAnsi="Times New Roman" w:cs="Times New Roman"/>
          <w:noProof/>
          <w:sz w:val="24"/>
          <w:szCs w:val="24"/>
          <w:lang w:val="bg-BG"/>
        </w:rPr>
        <w:t>Дата: 10.09.2025 г.</w:t>
      </w:r>
    </w:p>
    <w:p w:rsidR="000555B7" w:rsidRPr="00691DF4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0555B7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val="bg-BG"/>
        </w:rPr>
      </w:pPr>
      <w:r w:rsidRPr="00691DF4">
        <w:rPr>
          <w:rFonts w:ascii="Times New Roman" w:hAnsi="Times New Roman" w:cs="Times New Roman"/>
          <w:b/>
          <w:noProof/>
          <w:sz w:val="24"/>
          <w:szCs w:val="24"/>
          <w:u w:val="single"/>
          <w:lang w:val="bg-BG"/>
        </w:rPr>
        <w:t>Въпрос:</w:t>
      </w:r>
    </w:p>
    <w:p w:rsidR="000555B7" w:rsidRPr="00691DF4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val="bg-BG"/>
        </w:rPr>
      </w:pPr>
    </w:p>
    <w:p w:rsidR="000555B7" w:rsidRPr="00691DF4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691DF4">
        <w:rPr>
          <w:rFonts w:ascii="Times New Roman" w:hAnsi="Times New Roman" w:cs="Times New Roman"/>
          <w:noProof/>
          <w:sz w:val="24"/>
          <w:szCs w:val="24"/>
          <w:lang w:val="bg-BG"/>
        </w:rPr>
        <w:t>Национален Диагностичен Научноизследователски Ветеринарномедицински Институт Проф. Д-р Г. Павлов (НДНИВМИ) е допустим кандидат по процедурата, който се представлява от Доц. д-р Деян Страте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в в качеството му на директор. </w:t>
      </w:r>
    </w:p>
    <w:p w:rsidR="000555B7" w:rsidRPr="00691DF4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691DF4">
        <w:rPr>
          <w:rFonts w:ascii="Times New Roman" w:hAnsi="Times New Roman" w:cs="Times New Roman"/>
          <w:noProof/>
          <w:sz w:val="24"/>
          <w:szCs w:val="24"/>
          <w:lang w:val="bg-BG"/>
        </w:rPr>
        <w:t>Предвид разпоредбата на т.5, буква б. , от Условията за кандидатстване по процедурата, а именно:</w:t>
      </w:r>
    </w:p>
    <w:p w:rsidR="000555B7" w:rsidRPr="00691DF4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691DF4">
        <w:rPr>
          <w:rFonts w:ascii="Times New Roman" w:hAnsi="Times New Roman" w:cs="Times New Roman"/>
          <w:noProof/>
          <w:sz w:val="24"/>
          <w:szCs w:val="24"/>
          <w:lang w:val="bg-BG"/>
        </w:rPr>
        <w:t>"5. Потенциален кандидат не може да участва в процедурата чрез подбор на проекти и да получи безвъзмездна финансова помощ, в случай че:</w:t>
      </w:r>
    </w:p>
    <w:p w:rsidR="000555B7" w:rsidRPr="00691DF4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691DF4">
        <w:rPr>
          <w:rFonts w:ascii="Times New Roman" w:hAnsi="Times New Roman" w:cs="Times New Roman"/>
          <w:noProof/>
          <w:sz w:val="24"/>
          <w:szCs w:val="24"/>
          <w:lang w:val="bg-BG"/>
        </w:rPr>
        <w:t>б) са лице, което е било на трудово или служебно правоотношение в Управляващия орган, Междинното звено и Счетоводния орган до една година от пре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кратяване на правоотношението."</w:t>
      </w:r>
    </w:p>
    <w:p w:rsidR="000555B7" w:rsidRPr="00691DF4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691DF4">
        <w:rPr>
          <w:rFonts w:ascii="Times New Roman" w:hAnsi="Times New Roman" w:cs="Times New Roman"/>
          <w:noProof/>
          <w:sz w:val="24"/>
          <w:szCs w:val="24"/>
          <w:lang w:val="bg-BG"/>
        </w:rPr>
        <w:t>Моля да бъде разяснено НДНИВМИ в качество му на кандидат/бенефициент попада ли в тази хипотеза при условие, че не е лице, което е било на трудово или служебно правоотношение в Управляващия орган, Междин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ното звено и Счетоводния орган.</w:t>
      </w:r>
    </w:p>
    <w:p w:rsidR="000555B7" w:rsidRPr="00691DF4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691DF4">
        <w:rPr>
          <w:rFonts w:ascii="Times New Roman" w:hAnsi="Times New Roman" w:cs="Times New Roman"/>
          <w:noProof/>
          <w:sz w:val="24"/>
          <w:szCs w:val="24"/>
          <w:lang w:val="bg-BG"/>
        </w:rPr>
        <w:t>НДНИВМИ може ли да участва в процедура чрез подбор на проекти № BG14MFPR001-1.008 „Защита на екологичното състояние на морската среда“ ?</w:t>
      </w:r>
    </w:p>
    <w:p w:rsidR="000555B7" w:rsidRPr="00691DF4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0555B7" w:rsidRPr="00691DF4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691DF4">
        <w:rPr>
          <w:rFonts w:ascii="Times New Roman" w:hAnsi="Times New Roman" w:cs="Times New Roman"/>
          <w:noProof/>
          <w:sz w:val="24"/>
          <w:szCs w:val="24"/>
          <w:lang w:val="bg-BG"/>
        </w:rPr>
        <w:t>С уважение,</w:t>
      </w:r>
    </w:p>
    <w:p w:rsidR="000555B7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691DF4">
        <w:rPr>
          <w:rFonts w:ascii="Times New Roman" w:hAnsi="Times New Roman" w:cs="Times New Roman"/>
          <w:noProof/>
          <w:sz w:val="24"/>
          <w:szCs w:val="24"/>
          <w:lang w:val="bg-BG"/>
        </w:rPr>
        <w:t>Екипът на НДНИВМИ</w:t>
      </w:r>
    </w:p>
    <w:p w:rsidR="000555B7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0555B7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Отговор:</w:t>
      </w:r>
    </w:p>
    <w:p w:rsidR="000555B7" w:rsidRPr="007C1D04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0555B7" w:rsidRPr="007C1D04" w:rsidRDefault="000555B7" w:rsidP="000555B7">
      <w:pPr>
        <w:spacing w:after="0" w:line="276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7C1D04">
        <w:rPr>
          <w:rFonts w:ascii="Times New Roman" w:hAnsi="Times New Roman" w:cs="Times New Roman"/>
          <w:noProof/>
          <w:sz w:val="24"/>
          <w:szCs w:val="24"/>
          <w:lang w:val="bg-BG"/>
        </w:rPr>
        <w:lastRenderedPageBreak/>
        <w:t>Съгласно вписаните в Регистър БУЛСТАТ данни и обстоя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телства по отношение актуалното </w:t>
      </w:r>
      <w:r w:rsidRPr="007C1D04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състояние на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Националния диагностичен </w:t>
      </w:r>
      <w:r w:rsidRPr="007C1D04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научноизследователски ветеринарномедицински институт институтът е юридическо лице към БАБХ и се представлява към настоящия момент от г-н Деян Стратев Стратев, в качеството му на директор. </w:t>
      </w:r>
    </w:p>
    <w:p w:rsidR="000555B7" w:rsidRPr="007C1D04" w:rsidRDefault="000555B7" w:rsidP="000555B7">
      <w:pPr>
        <w:spacing w:after="0" w:line="276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7C1D04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Обръщаме внимание, че г-н Деян Стратев Стратев е заемал длъжността заместник-министър на земеделието и храните до дата 14.02.2025 г., както и съгласно заповед на министъра на земеделието и храните му е било възложено да упражнява и правомощията на Ръководител на Управляващия орган на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ПМДРА </w:t>
      </w:r>
      <w:r w:rsidRPr="007C1D04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(Ръководител на УО на ПМДРА). </w:t>
      </w:r>
    </w:p>
    <w:p w:rsidR="000555B7" w:rsidRPr="007C1D04" w:rsidRDefault="000555B7" w:rsidP="000555B7">
      <w:pPr>
        <w:spacing w:after="0" w:line="276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7C1D04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Следва да се има предвид, че на основание чл. 9, ал. 5 от Закона за управление на средствата от европейските фондове при споделено управление (ЗУСЕФСУ) Управляващите органи отговарят за цялостното програмиране, управление и изпълнение на програмата, както и за предотвратяването, откриването и коригирането на нередности, включително за извършването на финансови корекции. В тази връзка при изпълнение на възложените му от министъра на земеделието и храните правомощия като Ръководител на УО на ПМДРА г-н Деян Стратев е имал решаващи функции по отношение на целия процес по предоставяне на БФП по програмата, финансирана от Европейския фонд за морско дело, рибарство и аквакултури.  </w:t>
      </w:r>
    </w:p>
    <w:p w:rsidR="000555B7" w:rsidRPr="007C1D04" w:rsidRDefault="000555B7" w:rsidP="000555B7">
      <w:pPr>
        <w:spacing w:after="0" w:line="276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7C1D04">
        <w:rPr>
          <w:rFonts w:ascii="Times New Roman" w:hAnsi="Times New Roman" w:cs="Times New Roman"/>
          <w:noProof/>
          <w:sz w:val="24"/>
          <w:szCs w:val="24"/>
          <w:lang w:val="bg-BG"/>
        </w:rPr>
        <w:t>От друга страна, съгласно чл. 6, ал. 1, т. 3 от Закона за противодействие на корупцията (ЗПК) заместник-министрите са лица, заемащи публични длъжности по смисъла на посочения закон. В тази връзка в разпоредбата на чл. 87, ал. 1 от ЗПК законодателят е предвидил ограничение след освобождаване от публична длъжност, като е приел, че лице, заемало публична длъжност,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държава,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институцията, в която е заемало длъжността, или пред контролирано от нея юридическо лице.</w:t>
      </w:r>
    </w:p>
    <w:p w:rsidR="000555B7" w:rsidRDefault="000555B7" w:rsidP="000555B7">
      <w:pPr>
        <w:spacing w:after="0" w:line="276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7C1D04">
        <w:rPr>
          <w:rFonts w:ascii="Times New Roman" w:hAnsi="Times New Roman" w:cs="Times New Roman"/>
          <w:noProof/>
          <w:sz w:val="24"/>
          <w:szCs w:val="24"/>
          <w:lang w:val="bg-BG"/>
        </w:rPr>
        <w:t>С оглед на изложеното НДНИВМИ, представлявано към настоящия момент от г-н Деян Стратев Стратев, в качеството му на директор на Института, не може да участва в процедура чрез подбор на проекти като потенциален кандидат и да получи безвъзмездна финансова помощ, съгласно ограничението по чл. 87, ал. 1 от ЗПК във връзка с изискванията по т. 5, буква „б“ от Глава 11.2 „Критерии за недопустимост на кандидатите“ от Условията за кандидатстване с проектни предложения за предоставяне на БФП по ПМДРА, финансирана от Европейския фонд за морско дело, рибарство и аквакултури, вид дейност 1.6.2. „Защита на екологичното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състояние на морската среда”, п</w:t>
      </w:r>
      <w:r w:rsidRPr="007C1D04">
        <w:rPr>
          <w:rFonts w:ascii="Times New Roman" w:hAnsi="Times New Roman" w:cs="Times New Roman"/>
          <w:noProof/>
          <w:sz w:val="24"/>
          <w:szCs w:val="24"/>
          <w:lang w:val="bg-BG"/>
        </w:rPr>
        <w:t>роцедура чрез подбор на проекти BG14MFPR001-1.008 „Защита на екологичното състояние на морската среда“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до изтичането на срока </w:t>
      </w:r>
      <w:r w:rsidRPr="00074530">
        <w:rPr>
          <w:rFonts w:ascii="Times New Roman" w:hAnsi="Times New Roman" w:cs="Times New Roman"/>
          <w:noProof/>
          <w:sz w:val="24"/>
          <w:szCs w:val="24"/>
          <w:lang w:val="bg-BG"/>
        </w:rPr>
        <w:t>по чл. 87, ал. 1 от ЗПК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.</w:t>
      </w:r>
      <w:r w:rsidRPr="00074530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</w:t>
      </w:r>
    </w:p>
    <w:p w:rsidR="000555B7" w:rsidRDefault="000555B7" w:rsidP="000555B7">
      <w:pPr>
        <w:spacing w:after="0" w:line="276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0555B7" w:rsidRDefault="000555B7" w:rsidP="000555B7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0555B7" w:rsidRPr="00E01D00" w:rsidRDefault="000555B7" w:rsidP="000555B7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A1040E">
        <w:rPr>
          <w:rFonts w:ascii="Times New Roman" w:hAnsi="Times New Roman" w:cs="Times New Roman"/>
          <w:noProof/>
          <w:sz w:val="24"/>
          <w:szCs w:val="24"/>
          <w:lang w:val="bg-BG"/>
        </w:rPr>
        <w:t>Зададен въпрос чрез Информационната система за управление и наблюдение на средствата от Европейските фондове при споделено управление</w:t>
      </w:r>
      <w:r w:rsidRPr="00E01D00">
        <w:rPr>
          <w:rFonts w:ascii="Times New Roman" w:hAnsi="Times New Roman" w:cs="Times New Roman"/>
          <w:noProof/>
          <w:sz w:val="24"/>
          <w:szCs w:val="24"/>
          <w:lang w:val="bg-BG"/>
        </w:rPr>
        <w:t>.</w:t>
      </w:r>
    </w:p>
    <w:p w:rsidR="000555B7" w:rsidRPr="00E01D00" w:rsidRDefault="000555B7" w:rsidP="000555B7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lastRenderedPageBreak/>
        <w:t xml:space="preserve">Рег. номер: </w:t>
      </w:r>
      <w:r w:rsidRPr="0073025A">
        <w:rPr>
          <w:rFonts w:ascii="Times New Roman" w:eastAsia="Calibri" w:hAnsi="Times New Roman" w:cs="Times New Roman"/>
          <w:bCs/>
          <w:sz w:val="24"/>
          <w:szCs w:val="24"/>
        </w:rPr>
        <w:t>BG</w:t>
      </w:r>
      <w:r w:rsidRPr="00B83A2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14</w:t>
      </w:r>
      <w:r w:rsidRPr="0073025A">
        <w:rPr>
          <w:rFonts w:ascii="Times New Roman" w:eastAsia="Calibri" w:hAnsi="Times New Roman" w:cs="Times New Roman"/>
          <w:bCs/>
          <w:sz w:val="24"/>
          <w:szCs w:val="24"/>
        </w:rPr>
        <w:t>MFPR</w:t>
      </w:r>
      <w:r w:rsidRPr="00B83A2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001-1.008-</w:t>
      </w:r>
      <w:r w:rsidRPr="0073025A">
        <w:rPr>
          <w:rFonts w:ascii="Times New Roman" w:eastAsia="Calibri" w:hAnsi="Times New Roman" w:cs="Times New Roman"/>
          <w:bCs/>
          <w:sz w:val="24"/>
          <w:szCs w:val="24"/>
        </w:rPr>
        <w:t>Q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005</w:t>
      </w:r>
    </w:p>
    <w:p w:rsidR="000555B7" w:rsidRPr="008246BB" w:rsidRDefault="000555B7" w:rsidP="000555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246B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Подател: </w:t>
      </w:r>
      <w:r w:rsidRPr="008246BB">
        <w:rPr>
          <w:rFonts w:ascii="Times New Roman" w:eastAsia="Calibri" w:hAnsi="Times New Roman" w:cs="Times New Roman"/>
          <w:bCs/>
          <w:sz w:val="24"/>
          <w:szCs w:val="24"/>
          <w:lang w:val="pt-PT"/>
        </w:rPr>
        <w:t>e-mail</w:t>
      </w:r>
      <w:r w:rsidRPr="008246B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:</w:t>
      </w:r>
      <w:r w:rsidRPr="008246B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8246BB">
        <w:rPr>
          <w:rFonts w:ascii="Times New Roman" w:hAnsi="Times New Roman" w:cs="Times New Roman"/>
          <w:sz w:val="24"/>
          <w:szCs w:val="24"/>
        </w:rPr>
        <w:t>m</w:t>
      </w:r>
      <w:r w:rsidRPr="004A6DC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8246BB">
        <w:rPr>
          <w:rFonts w:ascii="Times New Roman" w:hAnsi="Times New Roman" w:cs="Times New Roman"/>
          <w:sz w:val="24"/>
          <w:szCs w:val="24"/>
        </w:rPr>
        <w:t>robinson</w:t>
      </w:r>
      <w:r w:rsidRPr="004A6DC8">
        <w:rPr>
          <w:rFonts w:ascii="Times New Roman" w:hAnsi="Times New Roman" w:cs="Times New Roman"/>
          <w:sz w:val="24"/>
          <w:szCs w:val="24"/>
          <w:lang w:val="bg-BG"/>
        </w:rPr>
        <w:t>@</w:t>
      </w:r>
      <w:r w:rsidRPr="008246BB">
        <w:rPr>
          <w:rFonts w:ascii="Times New Roman" w:hAnsi="Times New Roman" w:cs="Times New Roman"/>
          <w:sz w:val="24"/>
          <w:szCs w:val="24"/>
        </w:rPr>
        <w:t>nvna</w:t>
      </w:r>
      <w:r w:rsidRPr="004A6DC8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8246BB">
        <w:rPr>
          <w:rFonts w:ascii="Times New Roman" w:hAnsi="Times New Roman" w:cs="Times New Roman"/>
          <w:sz w:val="24"/>
          <w:szCs w:val="24"/>
        </w:rPr>
        <w:t>eu</w:t>
      </w:r>
    </w:p>
    <w:p w:rsidR="000555B7" w:rsidRPr="008246BB" w:rsidRDefault="000555B7" w:rsidP="000555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8246BB">
        <w:rPr>
          <w:rFonts w:ascii="Times New Roman" w:eastAsia="Calibri" w:hAnsi="Times New Roman" w:cs="Times New Roman"/>
          <w:sz w:val="24"/>
          <w:szCs w:val="24"/>
          <w:lang w:val="bg-BG"/>
        </w:rPr>
        <w:t>Дата:</w:t>
      </w:r>
      <w:r w:rsidRPr="008246B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18.</w:t>
      </w:r>
      <w:r w:rsidRPr="008246BB">
        <w:rPr>
          <w:rFonts w:ascii="Times New Roman" w:eastAsia="Calibri" w:hAnsi="Times New Roman" w:cs="Times New Roman"/>
          <w:sz w:val="24"/>
          <w:szCs w:val="24"/>
          <w:lang w:val="bg-BG"/>
        </w:rPr>
        <w:t>09.2025 г.</w:t>
      </w:r>
    </w:p>
    <w:p w:rsidR="000555B7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0555B7" w:rsidRPr="00E01D00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Въпрос:</w:t>
      </w:r>
    </w:p>
    <w:p w:rsidR="000555B7" w:rsidRPr="00F63DA8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bg-BG"/>
        </w:rPr>
      </w:pPr>
    </w:p>
    <w:p w:rsidR="000555B7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246BB">
        <w:rPr>
          <w:rFonts w:ascii="Times New Roman" w:hAnsi="Times New Roman" w:cs="Times New Roman"/>
          <w:sz w:val="24"/>
          <w:szCs w:val="24"/>
          <w:lang w:val="bg-BG"/>
        </w:rPr>
        <w:t>Моля, за разяснение по Процедура BG14MFPR001-1.008 - "Защита на екологичното състояние на морската среда"  - с оглед необходимостта от специфична експертиза, допустими ли са разходи за възнаграждения на външни експерти наети на граждански договори.</w:t>
      </w:r>
    </w:p>
    <w:p w:rsidR="000555B7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555B7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0555B7" w:rsidRPr="00244DEC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Отговор:</w:t>
      </w:r>
    </w:p>
    <w:p w:rsidR="000555B7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555B7" w:rsidRPr="007B17C9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Съгласно Условията за кандидатстване и условията за изпълнение на </w:t>
      </w:r>
      <w:r w:rsidRPr="00111C86">
        <w:rPr>
          <w:rFonts w:ascii="Times New Roman" w:hAnsi="Times New Roman" w:cs="Times New Roman"/>
          <w:sz w:val="24"/>
          <w:szCs w:val="24"/>
          <w:lang w:val="bg-BG"/>
        </w:rPr>
        <w:t>проекти по процедура за подбор на проекти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11C86">
        <w:rPr>
          <w:rFonts w:ascii="Times New Roman" w:hAnsi="Times New Roman" w:cs="Times New Roman"/>
          <w:sz w:val="24"/>
          <w:szCs w:val="24"/>
          <w:lang w:val="bg-BG"/>
        </w:rPr>
        <w:t xml:space="preserve">BG14MFPR001-1.008 „Защита на екологичното състояние на морската среда“,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раздел </w:t>
      </w:r>
      <w:r w:rsidRPr="004A6DC8">
        <w:rPr>
          <w:rFonts w:ascii="Times New Roman" w:hAnsi="Times New Roman" w:cs="Times New Roman"/>
          <w:b/>
          <w:sz w:val="24"/>
          <w:szCs w:val="24"/>
          <w:lang w:val="bg-BG"/>
        </w:rPr>
        <w:t>14.1.3. Допустими за финансиране разходи по настоящата процедура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т. </w:t>
      </w:r>
      <w:r w:rsidRPr="004A6DC8">
        <w:rPr>
          <w:rFonts w:ascii="Times New Roman" w:hAnsi="Times New Roman" w:cs="Times New Roman"/>
          <w:b/>
          <w:sz w:val="24"/>
          <w:szCs w:val="24"/>
          <w:lang w:val="bg-BG"/>
        </w:rPr>
        <w:t>14.1.3.4</w:t>
      </w:r>
      <w:r w:rsidRPr="004A6DC8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са допустими като преки разходи за персонал - р</w:t>
      </w:r>
      <w:r w:rsidRPr="004A6DC8">
        <w:rPr>
          <w:rFonts w:ascii="Times New Roman" w:hAnsi="Times New Roman" w:cs="Times New Roman"/>
          <w:sz w:val="24"/>
          <w:szCs w:val="24"/>
          <w:lang w:val="bg-BG"/>
        </w:rPr>
        <w:t xml:space="preserve">азходи за възнаграждения на експерти, ангажирани с извършването на научните дейности в размер </w:t>
      </w:r>
      <w:r w:rsidRPr="004A6DC8">
        <w:rPr>
          <w:rFonts w:ascii="Times New Roman" w:hAnsi="Times New Roman" w:cs="Times New Roman"/>
          <w:b/>
          <w:sz w:val="24"/>
          <w:szCs w:val="24"/>
          <w:lang w:val="bg-BG"/>
        </w:rPr>
        <w:t>на 20 на сто</w:t>
      </w:r>
      <w:r w:rsidRPr="004A6DC8">
        <w:rPr>
          <w:rFonts w:ascii="Times New Roman" w:hAnsi="Times New Roman" w:cs="Times New Roman"/>
          <w:sz w:val="24"/>
          <w:szCs w:val="24"/>
          <w:lang w:val="bg-BG"/>
        </w:rPr>
        <w:t xml:space="preserve"> от общите допустими преки разходи по проекта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Тези разходи </w:t>
      </w:r>
      <w:r w:rsidRPr="008246BB">
        <w:rPr>
          <w:rFonts w:ascii="Times New Roman" w:hAnsi="Times New Roman" w:cs="Times New Roman"/>
          <w:sz w:val="24"/>
          <w:szCs w:val="24"/>
          <w:lang w:val="bg-BG"/>
        </w:rPr>
        <w:t>представляват опростен вид разходи</w:t>
      </w:r>
      <w:r>
        <w:rPr>
          <w:rFonts w:ascii="Times New Roman" w:hAnsi="Times New Roman" w:cs="Times New Roman"/>
          <w:sz w:val="24"/>
          <w:szCs w:val="24"/>
          <w:lang w:val="bg-BG"/>
        </w:rPr>
        <w:t>, т. е. р</w:t>
      </w:r>
      <w:r w:rsidRPr="008246BB">
        <w:rPr>
          <w:rFonts w:ascii="Times New Roman" w:hAnsi="Times New Roman" w:cs="Times New Roman"/>
          <w:sz w:val="24"/>
          <w:szCs w:val="24"/>
          <w:lang w:val="bg-BG"/>
        </w:rPr>
        <w:t>азходите се изчисляват пряко като процентно съотношение от одобрените преки допустими разходи по точки от 14.1.3.1 до 14.1.3.3.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горепосочените Условия за кандидатстване.</w:t>
      </w:r>
      <w:r w:rsidRPr="008246BB">
        <w:rPr>
          <w:rFonts w:ascii="Times New Roman" w:hAnsi="Times New Roman" w:cs="Times New Roman"/>
          <w:sz w:val="24"/>
          <w:szCs w:val="24"/>
          <w:lang w:val="bg-BG"/>
        </w:rPr>
        <w:t xml:space="preserve"> За посочените разходи не е необходима обосновка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8246BB">
        <w:rPr>
          <w:rFonts w:ascii="Times New Roman" w:hAnsi="Times New Roman" w:cs="Times New Roman"/>
          <w:sz w:val="24"/>
          <w:szCs w:val="24"/>
          <w:lang w:val="bg-BG"/>
        </w:rPr>
        <w:t xml:space="preserve"> доказателство за тяхното изпълнение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не </w:t>
      </w:r>
      <w:r w:rsidRPr="008246BB">
        <w:rPr>
          <w:rFonts w:ascii="Times New Roman" w:hAnsi="Times New Roman" w:cs="Times New Roman"/>
          <w:sz w:val="24"/>
          <w:szCs w:val="24"/>
          <w:lang w:val="bg-BG"/>
        </w:rPr>
        <w:t xml:space="preserve">следва да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се </w:t>
      </w:r>
      <w:r w:rsidRPr="008246BB">
        <w:rPr>
          <w:rFonts w:ascii="Times New Roman" w:hAnsi="Times New Roman" w:cs="Times New Roman"/>
          <w:sz w:val="24"/>
          <w:szCs w:val="24"/>
          <w:lang w:val="bg-BG"/>
        </w:rPr>
        <w:t>предоставят разходооправдателни документи.</w:t>
      </w:r>
      <w:r w:rsidRPr="008E7D0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B17C9">
        <w:rPr>
          <w:rFonts w:ascii="Times New Roman" w:hAnsi="Times New Roman" w:cs="Times New Roman"/>
          <w:sz w:val="24"/>
          <w:szCs w:val="24"/>
          <w:lang w:val="bg-BG"/>
        </w:rPr>
        <w:t>Посочените обстоятелства не освобождават бенефи</w:t>
      </w:r>
      <w:r>
        <w:rPr>
          <w:rFonts w:ascii="Times New Roman" w:hAnsi="Times New Roman" w:cs="Times New Roman"/>
          <w:sz w:val="24"/>
          <w:szCs w:val="24"/>
          <w:lang w:val="bg-BG"/>
        </w:rPr>
        <w:t>циента да изпълнява</w:t>
      </w:r>
      <w:r w:rsidRPr="007B17C9">
        <w:rPr>
          <w:rFonts w:ascii="Times New Roman" w:hAnsi="Times New Roman" w:cs="Times New Roman"/>
          <w:sz w:val="24"/>
          <w:szCs w:val="24"/>
          <w:lang w:val="bg-BG"/>
        </w:rPr>
        <w:t xml:space="preserve"> законодателството, що се касае до изплащане на възнаграждения на експерти.</w:t>
      </w:r>
    </w:p>
    <w:p w:rsidR="000555B7" w:rsidRPr="003F16CC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555B7" w:rsidRPr="003F16CC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УО на ПМДРА обръща внимание, че в Условията за кандидатстване е извършена очевидна фактическа грешка при изписването на опростения разход, определен съгласно чл. </w:t>
      </w:r>
      <w:r w:rsidRPr="00456FB9">
        <w:rPr>
          <w:rFonts w:ascii="Times New Roman" w:hAnsi="Times New Roman" w:cs="Times New Roman"/>
          <w:sz w:val="24"/>
          <w:szCs w:val="24"/>
        </w:rPr>
        <w:t>55, параграф 1 от Регламент (ЕС) 2021/1060 за прилагане на общоприложимите разпоредби</w:t>
      </w:r>
      <w:r>
        <w:rPr>
          <w:rFonts w:ascii="Times New Roman" w:hAnsi="Times New Roman" w:cs="Times New Roman"/>
          <w:sz w:val="24"/>
          <w:szCs w:val="24"/>
          <w:lang w:val="bg-BG"/>
        </w:rPr>
        <w:t>, а именно „</w:t>
      </w:r>
      <w:r w:rsidRPr="00456FB9">
        <w:rPr>
          <w:rFonts w:ascii="Times New Roman" w:hAnsi="Times New Roman" w:cs="Times New Roman"/>
          <w:b/>
          <w:sz w:val="24"/>
          <w:szCs w:val="24"/>
        </w:rPr>
        <w:t>14.1.3.4</w:t>
      </w:r>
      <w:r w:rsidRPr="00456FB9">
        <w:rPr>
          <w:rFonts w:ascii="Times New Roman" w:hAnsi="Times New Roman" w:cs="Times New Roman"/>
          <w:sz w:val="24"/>
          <w:szCs w:val="24"/>
        </w:rPr>
        <w:t xml:space="preserve">. Разходи за възнаграждения на експерти, ангажирани с извършването на научните дейности в размер </w:t>
      </w:r>
      <w:r w:rsidRPr="00456FB9">
        <w:rPr>
          <w:rFonts w:ascii="Times New Roman" w:hAnsi="Times New Roman" w:cs="Times New Roman"/>
          <w:b/>
          <w:sz w:val="24"/>
          <w:szCs w:val="24"/>
        </w:rPr>
        <w:t>на 20 на сто</w:t>
      </w:r>
      <w:r w:rsidRPr="00456FB9">
        <w:rPr>
          <w:rFonts w:ascii="Times New Roman" w:hAnsi="Times New Roman" w:cs="Times New Roman"/>
          <w:sz w:val="24"/>
          <w:szCs w:val="24"/>
        </w:rPr>
        <w:t xml:space="preserve"> от общите допустими преки разходи по проекта.</w:t>
      </w:r>
      <w:r>
        <w:rPr>
          <w:rFonts w:ascii="Times New Roman" w:hAnsi="Times New Roman" w:cs="Times New Roman"/>
          <w:sz w:val="24"/>
          <w:szCs w:val="24"/>
          <w:lang w:val="bg-BG"/>
        </w:rPr>
        <w:t>“ като непряк. Посоченият разход представлява пряк разход за персонал. Начинът за изчисление на всички опростени разходи, включително и на този за персонал остава по начина, разписан в Условията за кандидатстване по процедурата.</w:t>
      </w:r>
    </w:p>
    <w:p w:rsidR="000555B7" w:rsidRDefault="000555B7" w:rsidP="000555B7">
      <w:pPr>
        <w:spacing w:after="0" w:line="276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0555B7" w:rsidRPr="007C1D04" w:rsidRDefault="000555B7" w:rsidP="000555B7">
      <w:pPr>
        <w:spacing w:after="0" w:line="276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0555B7" w:rsidRPr="007C1D04" w:rsidRDefault="000555B7" w:rsidP="000555B7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outlineLvl w:val="2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7C1D04">
        <w:rPr>
          <w:rFonts w:ascii="Times New Roman" w:hAnsi="Times New Roman" w:cs="Times New Roman"/>
          <w:noProof/>
          <w:sz w:val="24"/>
          <w:szCs w:val="24"/>
          <w:lang w:val="bg-BG"/>
        </w:rPr>
        <w:tab/>
      </w:r>
    </w:p>
    <w:p w:rsidR="000555B7" w:rsidRPr="007C1D04" w:rsidRDefault="000555B7" w:rsidP="000555B7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0705E6" w:rsidRDefault="000705E6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0705E6" w:rsidSect="00115304">
      <w:pgSz w:w="12240" w:h="15840"/>
      <w:pgMar w:top="1417" w:right="900" w:bottom="1417" w:left="141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A487AE7" w16cex:dateUtc="2024-01-31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BB3FB7" w16cid:durableId="3A487A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1D9" w:rsidRDefault="00C701D9" w:rsidP="00EA7777">
      <w:pPr>
        <w:spacing w:after="0" w:line="240" w:lineRule="auto"/>
      </w:pPr>
      <w:r>
        <w:separator/>
      </w:r>
    </w:p>
  </w:endnote>
  <w:endnote w:type="continuationSeparator" w:id="0">
    <w:p w:rsidR="00C701D9" w:rsidRDefault="00C701D9" w:rsidP="00EA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1D9" w:rsidRDefault="00C701D9" w:rsidP="00EA7777">
      <w:pPr>
        <w:spacing w:after="0" w:line="240" w:lineRule="auto"/>
      </w:pPr>
      <w:r>
        <w:separator/>
      </w:r>
    </w:p>
  </w:footnote>
  <w:footnote w:type="continuationSeparator" w:id="0">
    <w:p w:rsidR="00C701D9" w:rsidRDefault="00C701D9" w:rsidP="00EA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CB7"/>
    <w:multiLevelType w:val="multilevel"/>
    <w:tmpl w:val="12F47058"/>
    <w:lvl w:ilvl="0">
      <w:start w:val="3"/>
      <w:numFmt w:val="decimal"/>
      <w:pStyle w:val="style2manualCharCharCharCharCharCharChar"/>
      <w:lvlText w:val="2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2.1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2C766B3"/>
    <w:multiLevelType w:val="hybridMultilevel"/>
    <w:tmpl w:val="25AE0D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66435"/>
    <w:multiLevelType w:val="hybridMultilevel"/>
    <w:tmpl w:val="3B28BB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50D92"/>
    <w:multiLevelType w:val="hybridMultilevel"/>
    <w:tmpl w:val="CAB657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2B53"/>
    <w:multiLevelType w:val="hybridMultilevel"/>
    <w:tmpl w:val="4C4E9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30E39"/>
    <w:multiLevelType w:val="hybridMultilevel"/>
    <w:tmpl w:val="500078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83D1E"/>
    <w:multiLevelType w:val="hybridMultilevel"/>
    <w:tmpl w:val="0E7E57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77"/>
    <w:rsid w:val="000042BC"/>
    <w:rsid w:val="000072D5"/>
    <w:rsid w:val="000272B1"/>
    <w:rsid w:val="000516DC"/>
    <w:rsid w:val="000555B7"/>
    <w:rsid w:val="000705E6"/>
    <w:rsid w:val="000830C0"/>
    <w:rsid w:val="00083189"/>
    <w:rsid w:val="000843FE"/>
    <w:rsid w:val="00085C90"/>
    <w:rsid w:val="000A0706"/>
    <w:rsid w:val="000A67F1"/>
    <w:rsid w:val="000C5A1E"/>
    <w:rsid w:val="000D4702"/>
    <w:rsid w:val="00115304"/>
    <w:rsid w:val="00116C0D"/>
    <w:rsid w:val="001376F9"/>
    <w:rsid w:val="00141300"/>
    <w:rsid w:val="00173D97"/>
    <w:rsid w:val="001870D6"/>
    <w:rsid w:val="00190266"/>
    <w:rsid w:val="001B078C"/>
    <w:rsid w:val="001C46D0"/>
    <w:rsid w:val="001D11C2"/>
    <w:rsid w:val="001E1F36"/>
    <w:rsid w:val="001F0945"/>
    <w:rsid w:val="001F398E"/>
    <w:rsid w:val="00220308"/>
    <w:rsid w:val="002212AD"/>
    <w:rsid w:val="0023575C"/>
    <w:rsid w:val="00240A38"/>
    <w:rsid w:val="00244DEC"/>
    <w:rsid w:val="00252EEB"/>
    <w:rsid w:val="002833DF"/>
    <w:rsid w:val="00286301"/>
    <w:rsid w:val="002961DE"/>
    <w:rsid w:val="002A64D1"/>
    <w:rsid w:val="002B4887"/>
    <w:rsid w:val="002F3C63"/>
    <w:rsid w:val="002F50F7"/>
    <w:rsid w:val="00303C19"/>
    <w:rsid w:val="00304B4A"/>
    <w:rsid w:val="00325B8D"/>
    <w:rsid w:val="0032656E"/>
    <w:rsid w:val="00331BD1"/>
    <w:rsid w:val="00335D4F"/>
    <w:rsid w:val="00341760"/>
    <w:rsid w:val="003638AC"/>
    <w:rsid w:val="00370792"/>
    <w:rsid w:val="003C638E"/>
    <w:rsid w:val="003E3800"/>
    <w:rsid w:val="0040506D"/>
    <w:rsid w:val="00407387"/>
    <w:rsid w:val="00407569"/>
    <w:rsid w:val="0041625E"/>
    <w:rsid w:val="004237FB"/>
    <w:rsid w:val="00432B3E"/>
    <w:rsid w:val="0044220F"/>
    <w:rsid w:val="0045548F"/>
    <w:rsid w:val="00457678"/>
    <w:rsid w:val="0045796F"/>
    <w:rsid w:val="00460DC4"/>
    <w:rsid w:val="00467814"/>
    <w:rsid w:val="00467B38"/>
    <w:rsid w:val="0047041F"/>
    <w:rsid w:val="0047295D"/>
    <w:rsid w:val="0047599B"/>
    <w:rsid w:val="004944E6"/>
    <w:rsid w:val="004A73E2"/>
    <w:rsid w:val="004A78F6"/>
    <w:rsid w:val="004E1C05"/>
    <w:rsid w:val="00513309"/>
    <w:rsid w:val="0051522E"/>
    <w:rsid w:val="00516746"/>
    <w:rsid w:val="0052583E"/>
    <w:rsid w:val="005302C7"/>
    <w:rsid w:val="0055176F"/>
    <w:rsid w:val="005766BB"/>
    <w:rsid w:val="005C2FFA"/>
    <w:rsid w:val="005C5D9E"/>
    <w:rsid w:val="005D74CD"/>
    <w:rsid w:val="005F3DA6"/>
    <w:rsid w:val="0060164A"/>
    <w:rsid w:val="00604744"/>
    <w:rsid w:val="006050F0"/>
    <w:rsid w:val="00617DEF"/>
    <w:rsid w:val="00621446"/>
    <w:rsid w:val="00625F1F"/>
    <w:rsid w:val="00657E7F"/>
    <w:rsid w:val="006E4B6E"/>
    <w:rsid w:val="006F3216"/>
    <w:rsid w:val="0073025A"/>
    <w:rsid w:val="00737E32"/>
    <w:rsid w:val="00741111"/>
    <w:rsid w:val="00747D99"/>
    <w:rsid w:val="00786FC9"/>
    <w:rsid w:val="007A4CFC"/>
    <w:rsid w:val="007B0190"/>
    <w:rsid w:val="007E3625"/>
    <w:rsid w:val="00821BBD"/>
    <w:rsid w:val="008303AB"/>
    <w:rsid w:val="00832FAD"/>
    <w:rsid w:val="008506E0"/>
    <w:rsid w:val="00853E32"/>
    <w:rsid w:val="008641A9"/>
    <w:rsid w:val="008A248A"/>
    <w:rsid w:val="008A71BD"/>
    <w:rsid w:val="008D0572"/>
    <w:rsid w:val="008F39F0"/>
    <w:rsid w:val="00901DB0"/>
    <w:rsid w:val="00901DFD"/>
    <w:rsid w:val="009461AB"/>
    <w:rsid w:val="0097083F"/>
    <w:rsid w:val="0099110B"/>
    <w:rsid w:val="00A1040E"/>
    <w:rsid w:val="00A1784A"/>
    <w:rsid w:val="00A26BFB"/>
    <w:rsid w:val="00A55830"/>
    <w:rsid w:val="00AA1982"/>
    <w:rsid w:val="00AB2B0F"/>
    <w:rsid w:val="00AC5E92"/>
    <w:rsid w:val="00AD2BBA"/>
    <w:rsid w:val="00AF14F4"/>
    <w:rsid w:val="00B35321"/>
    <w:rsid w:val="00B41287"/>
    <w:rsid w:val="00B42457"/>
    <w:rsid w:val="00B50EDE"/>
    <w:rsid w:val="00B663DD"/>
    <w:rsid w:val="00B83A29"/>
    <w:rsid w:val="00B87C69"/>
    <w:rsid w:val="00B92298"/>
    <w:rsid w:val="00B943A0"/>
    <w:rsid w:val="00BA1B65"/>
    <w:rsid w:val="00BA63B5"/>
    <w:rsid w:val="00BA7A6F"/>
    <w:rsid w:val="00BE18AF"/>
    <w:rsid w:val="00BE2713"/>
    <w:rsid w:val="00C01EA1"/>
    <w:rsid w:val="00C02C27"/>
    <w:rsid w:val="00C1644F"/>
    <w:rsid w:val="00C22C23"/>
    <w:rsid w:val="00C423AC"/>
    <w:rsid w:val="00C46A4C"/>
    <w:rsid w:val="00C60021"/>
    <w:rsid w:val="00C61697"/>
    <w:rsid w:val="00C642B5"/>
    <w:rsid w:val="00C701D9"/>
    <w:rsid w:val="00C73CA0"/>
    <w:rsid w:val="00C9496F"/>
    <w:rsid w:val="00CC0E64"/>
    <w:rsid w:val="00CE46AD"/>
    <w:rsid w:val="00CF1FBA"/>
    <w:rsid w:val="00D27383"/>
    <w:rsid w:val="00D42F21"/>
    <w:rsid w:val="00D4707C"/>
    <w:rsid w:val="00D87CEE"/>
    <w:rsid w:val="00DB1FE0"/>
    <w:rsid w:val="00DC2863"/>
    <w:rsid w:val="00DE1B4A"/>
    <w:rsid w:val="00DE24A8"/>
    <w:rsid w:val="00DE3A73"/>
    <w:rsid w:val="00DE75B1"/>
    <w:rsid w:val="00DF6219"/>
    <w:rsid w:val="00E01D00"/>
    <w:rsid w:val="00E25730"/>
    <w:rsid w:val="00E34A98"/>
    <w:rsid w:val="00E562DA"/>
    <w:rsid w:val="00EA05DE"/>
    <w:rsid w:val="00EA0B36"/>
    <w:rsid w:val="00EA7777"/>
    <w:rsid w:val="00EF555B"/>
    <w:rsid w:val="00EF5AA8"/>
    <w:rsid w:val="00F40A0D"/>
    <w:rsid w:val="00F600C3"/>
    <w:rsid w:val="00F6095D"/>
    <w:rsid w:val="00F61418"/>
    <w:rsid w:val="00F63DA8"/>
    <w:rsid w:val="00F818FA"/>
    <w:rsid w:val="00FB6325"/>
    <w:rsid w:val="00FC2550"/>
    <w:rsid w:val="00FD78C3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08392C"/>
  <w15:docId w15:val="{1EAB7FA1-3E6A-450B-BCD6-467CD032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7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7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777"/>
  </w:style>
  <w:style w:type="paragraph" w:styleId="Footer">
    <w:name w:val="footer"/>
    <w:basedOn w:val="Normal"/>
    <w:link w:val="Foot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77"/>
  </w:style>
  <w:style w:type="paragraph" w:customStyle="1" w:styleId="style2manualCharCharCharCharCharCharChar">
    <w:name w:val="style 2 manual Char Char Char Char Char Знак Знак Char Char"/>
    <w:basedOn w:val="Normal"/>
    <w:rsid w:val="00085C90"/>
    <w:pPr>
      <w:widowControl w:val="0"/>
      <w:numPr>
        <w:numId w:val="1"/>
      </w:numPr>
      <w:tabs>
        <w:tab w:val="left" w:pos="709"/>
      </w:tabs>
      <w:suppressAutoHyphens/>
      <w:spacing w:after="0" w:line="240" w:lineRule="auto"/>
    </w:pPr>
    <w:rPr>
      <w:rFonts w:ascii="Times New Roman" w:eastAsia="HG Mincho Light J" w:hAnsi="Times New Roman" w:cs="Times New Roman"/>
      <w:b/>
      <w:color w:val="000000"/>
      <w:sz w:val="24"/>
      <w:szCs w:val="20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3E3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800"/>
    <w:pPr>
      <w:spacing w:after="0" w:line="240" w:lineRule="auto"/>
    </w:pPr>
    <w:rPr>
      <w:rFonts w:ascii="Calibri" w:hAnsi="Calibri" w:cs="Calibri"/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800"/>
    <w:rPr>
      <w:rFonts w:ascii="Calibri" w:hAnsi="Calibri" w:cs="Calibri"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0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738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383"/>
    <w:pPr>
      <w:spacing w:after="160"/>
    </w:pPr>
    <w:rPr>
      <w:rFonts w:ascii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383"/>
    <w:rPr>
      <w:rFonts w:ascii="Calibri" w:hAnsi="Calibri" w:cs="Calibri"/>
      <w:b/>
      <w:bCs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5D74CD"/>
    <w:pPr>
      <w:spacing w:after="200" w:line="276" w:lineRule="auto"/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g.shabla@gmail.com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dnivmi@bfsa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vse@bfsa.bg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77DEE-3664-40F1-8C88-CB2DF55D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 Vodenicharska</dc:creator>
  <cp:lastModifiedBy>Zhasmina Avramova</cp:lastModifiedBy>
  <cp:revision>7</cp:revision>
  <dcterms:created xsi:type="dcterms:W3CDTF">2025-09-18T12:42:00Z</dcterms:created>
  <dcterms:modified xsi:type="dcterms:W3CDTF">2025-09-29T15:11:00Z</dcterms:modified>
</cp:coreProperties>
</file>