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BBB" w:rsidRPr="000A2ECA" w:rsidRDefault="008E1BBB" w:rsidP="00CE4556">
      <w:pPr>
        <w:spacing w:line="276" w:lineRule="auto"/>
        <w:jc w:val="center"/>
        <w:rPr>
          <w:b/>
          <w:lang w:val="bg-BG"/>
        </w:rPr>
      </w:pPr>
    </w:p>
    <w:p w:rsidR="00D97F8A" w:rsidRPr="000A2ECA" w:rsidRDefault="005F44E0" w:rsidP="00CE4556">
      <w:pPr>
        <w:spacing w:line="276" w:lineRule="auto"/>
        <w:jc w:val="center"/>
        <w:rPr>
          <w:b/>
          <w:lang w:val="bg-BG"/>
        </w:rPr>
      </w:pPr>
      <w:r w:rsidRPr="000A2ECA">
        <w:rPr>
          <w:b/>
          <w:lang w:val="bg-BG"/>
        </w:rPr>
        <w:t xml:space="preserve">СПИСЪК НА ПРОЕКТНИТЕ ПРЕДЛОЖЕНИЯ, КОИТО НЕ СЕ ДОПУСКАТ ДО </w:t>
      </w:r>
      <w:r w:rsidR="00D97F8A" w:rsidRPr="000A2ECA">
        <w:rPr>
          <w:b/>
          <w:lang w:val="bg-BG"/>
        </w:rPr>
        <w:t>ТЕХНИЧЕСКА И ФИНАНСОВА ОЦЕНКА ПО ПРОЦЕДУРА ЗА ПРЕДОСТАВЯНЕ НА БЕЗВЪЗМЕЗДНА ФИНАНСОВА ПОМОЩ</w:t>
      </w:r>
      <w:r w:rsidR="00F8225D" w:rsidRPr="000A2ECA">
        <w:rPr>
          <w:b/>
          <w:lang w:val="bg-BG"/>
        </w:rPr>
        <w:t xml:space="preserve"> </w:t>
      </w:r>
      <w:r w:rsidR="008651D9" w:rsidRPr="000A2ECA">
        <w:rPr>
          <w:b/>
          <w:lang w:val="bg-BG"/>
        </w:rPr>
        <w:t xml:space="preserve">ЧРЕЗ ПОДБОР НА ПРОЕКТИ </w:t>
      </w:r>
      <w:r w:rsidR="003805D6" w:rsidRPr="000A2ECA">
        <w:rPr>
          <w:b/>
          <w:iCs/>
          <w:lang w:val="bg-BG"/>
        </w:rPr>
        <w:t xml:space="preserve">№ </w:t>
      </w:r>
      <w:r w:rsidR="003805D6" w:rsidRPr="000A2ECA">
        <w:rPr>
          <w:b/>
          <w:lang w:val="bg-BG"/>
        </w:rPr>
        <w:t xml:space="preserve">BG14MFPR001-1.008-S2 „ЗАЩИТА НА ЕКОЛОГИЧНОТО СЪСТОЯНИЕ НА МОРСКАТА СРЕДА“ </w:t>
      </w:r>
      <w:r w:rsidR="00D97F8A" w:rsidRPr="000A2ECA">
        <w:rPr>
          <w:b/>
          <w:lang w:val="bg-BG"/>
        </w:rPr>
        <w:t>ПО ПРОГРАМАТА ЗА МОРСКО ДЕЛО, РИБАРСТВО И АКВАКУЛТУРИ 2021-2027 (ПМДРА)</w:t>
      </w:r>
    </w:p>
    <w:p w:rsidR="00877A5F" w:rsidRPr="000A2ECA" w:rsidRDefault="00877A5F" w:rsidP="00A940B8">
      <w:pPr>
        <w:jc w:val="center"/>
        <w:rPr>
          <w:b/>
          <w:lang w:val="bg-BG"/>
        </w:rPr>
      </w:pPr>
    </w:p>
    <w:p w:rsidR="008E1BBB" w:rsidRPr="000A2ECA" w:rsidRDefault="008E1BBB" w:rsidP="00A940B8">
      <w:pPr>
        <w:jc w:val="center"/>
        <w:rPr>
          <w:b/>
          <w:lang w:val="bg-BG"/>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1936"/>
        <w:gridCol w:w="2754"/>
        <w:gridCol w:w="2316"/>
        <w:gridCol w:w="7092"/>
      </w:tblGrid>
      <w:tr w:rsidR="00091A0B" w:rsidRPr="000A2ECA" w:rsidTr="008E1BBB">
        <w:tc>
          <w:tcPr>
            <w:tcW w:w="639" w:type="dxa"/>
            <w:shd w:val="clear" w:color="auto" w:fill="auto"/>
          </w:tcPr>
          <w:p w:rsidR="00091A0B" w:rsidRPr="000A2ECA" w:rsidRDefault="00091A0B" w:rsidP="00E76FC7">
            <w:pPr>
              <w:jc w:val="center"/>
              <w:rPr>
                <w:b/>
                <w:sz w:val="20"/>
                <w:szCs w:val="20"/>
                <w:lang w:val="bg-BG"/>
              </w:rPr>
            </w:pPr>
            <w:r w:rsidRPr="000A2ECA">
              <w:rPr>
                <w:b/>
                <w:sz w:val="20"/>
                <w:szCs w:val="20"/>
                <w:lang w:val="bg-BG"/>
              </w:rPr>
              <w:t>№</w:t>
            </w:r>
          </w:p>
        </w:tc>
        <w:tc>
          <w:tcPr>
            <w:tcW w:w="1936" w:type="dxa"/>
            <w:shd w:val="clear" w:color="auto" w:fill="auto"/>
          </w:tcPr>
          <w:p w:rsidR="00091A0B" w:rsidRPr="000A2ECA" w:rsidRDefault="004A41E4" w:rsidP="004A41E4">
            <w:pPr>
              <w:jc w:val="center"/>
              <w:rPr>
                <w:b/>
                <w:sz w:val="20"/>
                <w:szCs w:val="20"/>
                <w:lang w:val="bg-BG"/>
              </w:rPr>
            </w:pPr>
            <w:r w:rsidRPr="000A2ECA">
              <w:rPr>
                <w:b/>
                <w:sz w:val="20"/>
                <w:szCs w:val="20"/>
                <w:lang w:val="bg-BG"/>
              </w:rPr>
              <w:t>Рег. № на п</w:t>
            </w:r>
            <w:r w:rsidR="00091A0B" w:rsidRPr="000A2ECA">
              <w:rPr>
                <w:b/>
                <w:sz w:val="20"/>
                <w:szCs w:val="20"/>
                <w:lang w:val="bg-BG"/>
              </w:rPr>
              <w:t>роектно</w:t>
            </w:r>
            <w:r w:rsidRPr="000A2ECA">
              <w:rPr>
                <w:b/>
                <w:sz w:val="20"/>
                <w:szCs w:val="20"/>
                <w:lang w:val="bg-BG"/>
              </w:rPr>
              <w:t>то</w:t>
            </w:r>
            <w:r w:rsidR="00091A0B" w:rsidRPr="000A2ECA">
              <w:rPr>
                <w:b/>
                <w:sz w:val="20"/>
                <w:szCs w:val="20"/>
                <w:lang w:val="bg-BG"/>
              </w:rPr>
              <w:t xml:space="preserve"> предложение </w:t>
            </w:r>
          </w:p>
        </w:tc>
        <w:tc>
          <w:tcPr>
            <w:tcW w:w="2754" w:type="dxa"/>
            <w:shd w:val="clear" w:color="auto" w:fill="auto"/>
          </w:tcPr>
          <w:p w:rsidR="00091A0B" w:rsidRPr="000A2ECA" w:rsidRDefault="00992D76" w:rsidP="00E76FC7">
            <w:pPr>
              <w:jc w:val="center"/>
              <w:rPr>
                <w:b/>
                <w:sz w:val="20"/>
                <w:szCs w:val="20"/>
                <w:lang w:val="bg-BG"/>
              </w:rPr>
            </w:pPr>
            <w:r w:rsidRPr="000A2ECA">
              <w:rPr>
                <w:b/>
                <w:sz w:val="20"/>
                <w:szCs w:val="20"/>
                <w:lang w:val="bg-BG"/>
              </w:rPr>
              <w:t>Наименование на кандидата</w:t>
            </w:r>
          </w:p>
        </w:tc>
        <w:tc>
          <w:tcPr>
            <w:tcW w:w="2316" w:type="dxa"/>
            <w:shd w:val="clear" w:color="auto" w:fill="auto"/>
          </w:tcPr>
          <w:p w:rsidR="00091A0B" w:rsidRPr="000A2ECA" w:rsidRDefault="00992D76" w:rsidP="00E76FC7">
            <w:pPr>
              <w:jc w:val="center"/>
              <w:rPr>
                <w:b/>
                <w:sz w:val="20"/>
                <w:szCs w:val="20"/>
                <w:lang w:val="bg-BG"/>
              </w:rPr>
            </w:pPr>
            <w:r w:rsidRPr="000A2ECA">
              <w:rPr>
                <w:b/>
                <w:sz w:val="20"/>
                <w:szCs w:val="20"/>
                <w:lang w:val="bg-BG"/>
              </w:rPr>
              <w:t>Наименование на проектното предложение</w:t>
            </w:r>
          </w:p>
        </w:tc>
        <w:tc>
          <w:tcPr>
            <w:tcW w:w="7092" w:type="dxa"/>
            <w:shd w:val="clear" w:color="auto" w:fill="auto"/>
          </w:tcPr>
          <w:p w:rsidR="00091A0B" w:rsidRPr="000A2ECA" w:rsidRDefault="002D157D" w:rsidP="00E76FC7">
            <w:pPr>
              <w:jc w:val="center"/>
              <w:rPr>
                <w:b/>
                <w:sz w:val="20"/>
                <w:szCs w:val="20"/>
                <w:lang w:val="bg-BG"/>
              </w:rPr>
            </w:pPr>
            <w:r w:rsidRPr="000A2ECA">
              <w:rPr>
                <w:b/>
                <w:sz w:val="20"/>
                <w:szCs w:val="20"/>
                <w:lang w:val="bg-BG"/>
              </w:rPr>
              <w:t>Основание за отхвър</w:t>
            </w:r>
            <w:r w:rsidR="00992D76" w:rsidRPr="000A2ECA">
              <w:rPr>
                <w:b/>
                <w:sz w:val="20"/>
                <w:szCs w:val="20"/>
                <w:lang w:val="bg-BG"/>
              </w:rPr>
              <w:t>ляне</w:t>
            </w:r>
          </w:p>
          <w:p w:rsidR="00331586" w:rsidRPr="000A2ECA" w:rsidRDefault="00331586" w:rsidP="00E76FC7">
            <w:pPr>
              <w:jc w:val="center"/>
              <w:rPr>
                <w:b/>
                <w:i/>
                <w:sz w:val="20"/>
                <w:szCs w:val="20"/>
                <w:lang w:val="bg-BG"/>
              </w:rPr>
            </w:pPr>
            <w:r w:rsidRPr="000A2ECA">
              <w:rPr>
                <w:b/>
                <w:i/>
                <w:sz w:val="20"/>
                <w:szCs w:val="20"/>
                <w:lang w:val="bg-BG"/>
              </w:rPr>
              <w:t xml:space="preserve">(посочват се конкретните основания, а не само препратки към документите и условията, които не са изпълнени) </w:t>
            </w:r>
          </w:p>
        </w:tc>
      </w:tr>
      <w:tr w:rsidR="00091A0B" w:rsidRPr="000A2ECA" w:rsidTr="008E1BBB">
        <w:tc>
          <w:tcPr>
            <w:tcW w:w="639" w:type="dxa"/>
            <w:shd w:val="clear" w:color="auto" w:fill="auto"/>
          </w:tcPr>
          <w:p w:rsidR="00091A0B" w:rsidRPr="000A2ECA" w:rsidRDefault="00992D76" w:rsidP="00E76FC7">
            <w:pPr>
              <w:jc w:val="center"/>
              <w:rPr>
                <w:b/>
                <w:lang w:val="bg-BG"/>
              </w:rPr>
            </w:pPr>
            <w:r w:rsidRPr="000A2ECA">
              <w:rPr>
                <w:b/>
                <w:lang w:val="bg-BG"/>
              </w:rPr>
              <w:t>1.</w:t>
            </w:r>
          </w:p>
        </w:tc>
        <w:tc>
          <w:tcPr>
            <w:tcW w:w="1936" w:type="dxa"/>
            <w:shd w:val="clear" w:color="auto" w:fill="auto"/>
          </w:tcPr>
          <w:p w:rsidR="00091A0B" w:rsidRPr="000A2ECA" w:rsidRDefault="00497E1B" w:rsidP="00E76FC7">
            <w:pPr>
              <w:jc w:val="center"/>
              <w:rPr>
                <w:b/>
                <w:lang w:val="bg-BG"/>
              </w:rPr>
            </w:pPr>
            <w:r w:rsidRPr="000A2ECA">
              <w:rPr>
                <w:b/>
                <w:lang w:val="bg-BG"/>
              </w:rPr>
              <w:t>BG14MFPR001-1.008-0002</w:t>
            </w:r>
          </w:p>
        </w:tc>
        <w:tc>
          <w:tcPr>
            <w:tcW w:w="2754" w:type="dxa"/>
            <w:shd w:val="clear" w:color="auto" w:fill="auto"/>
          </w:tcPr>
          <w:p w:rsidR="00497E1B" w:rsidRPr="000A2ECA" w:rsidRDefault="000B4F0D" w:rsidP="00497E1B">
            <w:pPr>
              <w:jc w:val="center"/>
              <w:rPr>
                <w:b/>
                <w:lang w:val="bg-BG"/>
              </w:rPr>
            </w:pPr>
            <w:r>
              <w:rPr>
                <w:b/>
                <w:lang w:val="bg-BG"/>
              </w:rPr>
              <w:t>Бургаски държавен университет „Проф. д-р Асен Златаров“</w:t>
            </w:r>
          </w:p>
          <w:p w:rsidR="00091A0B" w:rsidRPr="000A2ECA" w:rsidRDefault="00091A0B" w:rsidP="00E76FC7">
            <w:pPr>
              <w:jc w:val="center"/>
              <w:rPr>
                <w:b/>
                <w:lang w:val="bg-BG"/>
              </w:rPr>
            </w:pPr>
          </w:p>
        </w:tc>
        <w:tc>
          <w:tcPr>
            <w:tcW w:w="2316" w:type="dxa"/>
            <w:shd w:val="clear" w:color="auto" w:fill="auto"/>
          </w:tcPr>
          <w:p w:rsidR="00497E1B" w:rsidRPr="000A2ECA" w:rsidRDefault="00497E1B" w:rsidP="00497E1B">
            <w:pPr>
              <w:jc w:val="center"/>
              <w:rPr>
                <w:b/>
                <w:lang w:val="bg-BG"/>
              </w:rPr>
            </w:pPr>
            <w:r w:rsidRPr="000A2ECA">
              <w:rPr>
                <w:b/>
                <w:lang w:val="bg-BG"/>
              </w:rPr>
              <w:t xml:space="preserve">„AQUAMARIS: Комплексен мониторинг на качеството на морската вода, пластмасите и мерки за предотвратяване на нежелан улов на </w:t>
            </w:r>
            <w:proofErr w:type="spellStart"/>
            <w:r w:rsidRPr="000A2ECA">
              <w:rPr>
                <w:b/>
                <w:lang w:val="bg-BG"/>
              </w:rPr>
              <w:t>китоподобни</w:t>
            </w:r>
            <w:proofErr w:type="spellEnd"/>
            <w:r w:rsidRPr="000A2ECA">
              <w:rPr>
                <w:b/>
                <w:lang w:val="bg-BG"/>
              </w:rPr>
              <w:t>“</w:t>
            </w:r>
          </w:p>
          <w:p w:rsidR="00091A0B" w:rsidRPr="000A2ECA" w:rsidRDefault="00091A0B" w:rsidP="00CE4556">
            <w:pPr>
              <w:jc w:val="center"/>
              <w:rPr>
                <w:b/>
                <w:lang w:val="bg-BG"/>
              </w:rPr>
            </w:pPr>
          </w:p>
        </w:tc>
        <w:tc>
          <w:tcPr>
            <w:tcW w:w="7092" w:type="dxa"/>
            <w:shd w:val="clear" w:color="auto" w:fill="auto"/>
          </w:tcPr>
          <w:p w:rsidR="007977DE" w:rsidRPr="000A2ECA" w:rsidRDefault="007977DE" w:rsidP="007977DE">
            <w:pPr>
              <w:spacing w:line="276" w:lineRule="auto"/>
              <w:jc w:val="center"/>
              <w:rPr>
                <w:b/>
                <w:noProof/>
                <w:spacing w:val="100"/>
                <w:lang w:val="bg-BG" w:eastAsia="bg-BG"/>
              </w:rPr>
            </w:pPr>
          </w:p>
          <w:p w:rsidR="007977DE" w:rsidRPr="000A2ECA" w:rsidRDefault="007977DE" w:rsidP="007977DE">
            <w:pPr>
              <w:tabs>
                <w:tab w:val="left" w:pos="0"/>
                <w:tab w:val="left" w:pos="709"/>
              </w:tabs>
              <w:spacing w:line="276" w:lineRule="auto"/>
              <w:jc w:val="both"/>
              <w:rPr>
                <w:rFonts w:eastAsia="Calibri"/>
                <w:lang w:val="bg-BG"/>
              </w:rPr>
            </w:pPr>
            <w:r w:rsidRPr="000A2ECA">
              <w:rPr>
                <w:bCs/>
                <w:noProof/>
                <w:lang w:val="bg-BG" w:eastAsia="bg-BG"/>
              </w:rPr>
              <w:tab/>
            </w:r>
            <w:r w:rsidRPr="000A2ECA">
              <w:rPr>
                <w:rFonts w:eastAsia="Calibri"/>
                <w:lang w:val="bg-BG"/>
              </w:rPr>
              <w:t xml:space="preserve">След извършване на оценка за административно съответствие и допустимост на проектно </w:t>
            </w:r>
            <w:r w:rsidRPr="000A2ECA">
              <w:rPr>
                <w:rFonts w:eastAsia="Calibri"/>
                <w:color w:val="000000"/>
                <w:lang w:val="bg-BG"/>
              </w:rPr>
              <w:t>предложение №</w:t>
            </w:r>
            <w:r w:rsidRPr="000A2ECA">
              <w:rPr>
                <w:color w:val="000000"/>
                <w:lang w:val="bg-BG"/>
              </w:rPr>
              <w:t xml:space="preserve"> </w:t>
            </w:r>
            <w:r w:rsidRPr="000A2ECA">
              <w:rPr>
                <w:rFonts w:eastAsia="Calibri"/>
                <w:color w:val="000000"/>
                <w:lang w:val="bg-BG"/>
              </w:rPr>
              <w:t xml:space="preserve">BG14MFPR001-1.008-0002 </w:t>
            </w:r>
            <w:r w:rsidRPr="000A2ECA">
              <w:rPr>
                <w:rFonts w:eastAsia="Calibri"/>
                <w:lang w:val="bg-BG"/>
              </w:rPr>
              <w:t xml:space="preserve">съгласно чл. 29, ал. 2, т. 1, б. „а“ от  Закона за управление на средствата от Европейските фондове при споделено управление (Загл. изм. - ДВ, бр. 51 от 2022 г., в сила от 01.07.2022 г.) (ЗУСЕФСУ), е установено следното: </w:t>
            </w:r>
          </w:p>
          <w:p w:rsidR="007977DE" w:rsidRPr="000A2ECA" w:rsidRDefault="007977DE" w:rsidP="007977DE">
            <w:pPr>
              <w:spacing w:line="276" w:lineRule="auto"/>
              <w:ind w:firstLine="720"/>
              <w:jc w:val="both"/>
              <w:rPr>
                <w:rFonts w:eastAsia="Calibri"/>
                <w:lang w:val="bg-BG"/>
              </w:rPr>
            </w:pPr>
            <w:r w:rsidRPr="000A2ECA">
              <w:rPr>
                <w:rFonts w:eastAsia="Calibri"/>
                <w:lang w:val="bg-BG"/>
              </w:rPr>
              <w:t>Проектното предложение не отговаря на Критерий № 5 „</w:t>
            </w:r>
            <w:r w:rsidRPr="000A2ECA">
              <w:rPr>
                <w:color w:val="000000"/>
                <w:lang w:val="bg-BG"/>
              </w:rPr>
              <w:t>Налице са всички изискуеми документи и са попълнени съгласно изискванията, посочени в т. 24 от Условията за кандидатстване по настоящата процедура.</w:t>
            </w:r>
            <w:r w:rsidRPr="000A2ECA">
              <w:rPr>
                <w:rFonts w:eastAsia="Calibri"/>
                <w:lang w:val="bg-BG"/>
              </w:rPr>
              <w:t>“ и на Критерий № 8: „Предвидените  разходи в проектното предложение са допустими съгласно изискванията в т. 14 от Условията за кандидатстване по настоящата процедура. В случай на наличие на недопустими разходи същите са установени и редуцирани.“ от Приложение № 4 „Критерии и методология за оценка на проектни предложение по процедура за подбор на проекти № BG14MFPR001-1.008 „Защита на екологичното състояние на морската среда“.</w:t>
            </w:r>
          </w:p>
          <w:p w:rsidR="007977DE" w:rsidRPr="000A2ECA" w:rsidRDefault="007977DE" w:rsidP="007977DE">
            <w:pPr>
              <w:spacing w:line="276" w:lineRule="auto"/>
              <w:ind w:firstLine="720"/>
              <w:jc w:val="both"/>
              <w:rPr>
                <w:rFonts w:eastAsia="Calibri"/>
                <w:lang w:val="bg-BG"/>
              </w:rPr>
            </w:pPr>
            <w:r w:rsidRPr="000A2ECA">
              <w:rPr>
                <w:rFonts w:eastAsia="Calibri"/>
                <w:lang w:val="bg-BG"/>
              </w:rPr>
              <w:t xml:space="preserve">След извършена проверка на предоставените документи и съгласно чл. 34, ал. 2 от ЗУСЕФСУ: „Когато при проверката по ал. 1 се установи липса на документи и/или друга нередовност, комисията изпраща на кандидата уведомление за установените </w:t>
            </w:r>
            <w:proofErr w:type="spellStart"/>
            <w:r w:rsidRPr="000A2ECA">
              <w:rPr>
                <w:rFonts w:eastAsia="Calibri"/>
                <w:lang w:val="bg-BG"/>
              </w:rPr>
              <w:t>нередовности</w:t>
            </w:r>
            <w:proofErr w:type="spellEnd"/>
            <w:r w:rsidRPr="000A2ECA">
              <w:rPr>
                <w:rFonts w:eastAsia="Calibri"/>
                <w:lang w:val="bg-BG"/>
              </w:rPr>
              <w:t xml:space="preserve"> и определя разумен срок за тяхното отстраняване, който не може да бъде по-кратък от една седмица. Уведомлението съдържа и информация, че </w:t>
            </w:r>
            <w:proofErr w:type="spellStart"/>
            <w:r w:rsidRPr="000A2ECA">
              <w:rPr>
                <w:rFonts w:eastAsia="Calibri"/>
                <w:lang w:val="bg-BG"/>
              </w:rPr>
              <w:t>неотстраняването</w:t>
            </w:r>
            <w:proofErr w:type="spellEnd"/>
            <w:r w:rsidRPr="000A2ECA">
              <w:rPr>
                <w:rFonts w:eastAsia="Calibri"/>
                <w:lang w:val="bg-BG"/>
              </w:rPr>
              <w:t xml:space="preserve"> на </w:t>
            </w:r>
            <w:proofErr w:type="spellStart"/>
            <w:r w:rsidRPr="000A2ECA">
              <w:rPr>
                <w:rFonts w:eastAsia="Calibri"/>
                <w:lang w:val="bg-BG"/>
              </w:rPr>
              <w:t>нередовностите</w:t>
            </w:r>
            <w:proofErr w:type="spellEnd"/>
            <w:r w:rsidRPr="000A2ECA">
              <w:rPr>
                <w:rFonts w:eastAsia="Calibri"/>
                <w:lang w:val="bg-BG"/>
              </w:rPr>
              <w:t xml:space="preserve"> в срок може да доведе до прекратяване на производството по отношение на кандидата. Отстраняването на </w:t>
            </w:r>
            <w:proofErr w:type="spellStart"/>
            <w:r w:rsidRPr="000A2ECA">
              <w:rPr>
                <w:rFonts w:eastAsia="Calibri"/>
                <w:lang w:val="bg-BG"/>
              </w:rPr>
              <w:t>нередовностите</w:t>
            </w:r>
            <w:proofErr w:type="spellEnd"/>
            <w:r w:rsidRPr="000A2ECA">
              <w:rPr>
                <w:rFonts w:eastAsia="Calibri"/>
                <w:lang w:val="bg-BG"/>
              </w:rPr>
              <w:t xml:space="preserve"> не може да води до подобряване на качеството на проектното предложение“. </w:t>
            </w:r>
          </w:p>
          <w:p w:rsidR="007977DE" w:rsidRPr="000A2ECA" w:rsidRDefault="007977DE" w:rsidP="007977DE">
            <w:pPr>
              <w:spacing w:line="276" w:lineRule="auto"/>
              <w:ind w:firstLine="720"/>
              <w:jc w:val="both"/>
              <w:rPr>
                <w:rFonts w:eastAsia="Calibri"/>
                <w:lang w:val="bg-BG"/>
              </w:rPr>
            </w:pPr>
            <w:r w:rsidRPr="000A2ECA">
              <w:rPr>
                <w:rFonts w:eastAsia="Calibri"/>
                <w:lang w:val="bg-BG"/>
              </w:rPr>
              <w:t xml:space="preserve">Във връзка с точка 24 „Списък на документите, които се подават на етап кандидатстване“ от Условия за кандидатстване (УК), на 10.03.2026 г. чрез Модул „Комуникация“ в ИСУН е изпратено уведомление с регистрационен номер BG14MFPR001-1.008-0002-M001, с което е поискана допълнителна информация от кандидата. Указан е срок до 25.10.2025 г., в който да бъдат предоставени долуописаните липсващи документи и информация, а именно: </w:t>
            </w:r>
          </w:p>
          <w:p w:rsidR="007977DE" w:rsidRPr="000A2ECA" w:rsidRDefault="007977DE" w:rsidP="007977DE">
            <w:pPr>
              <w:spacing w:line="276" w:lineRule="auto"/>
              <w:ind w:firstLine="720"/>
              <w:jc w:val="both"/>
              <w:rPr>
                <w:rFonts w:eastAsia="Calibri"/>
                <w:lang w:val="bg-BG"/>
              </w:rPr>
            </w:pPr>
          </w:p>
          <w:p w:rsidR="007977DE" w:rsidRPr="000A2ECA" w:rsidRDefault="007977DE" w:rsidP="007977DE">
            <w:pPr>
              <w:spacing w:line="276" w:lineRule="auto"/>
              <w:ind w:firstLine="720"/>
              <w:jc w:val="both"/>
              <w:rPr>
                <w:rFonts w:eastAsia="Calibri"/>
                <w:lang w:val="bg-BG"/>
              </w:rPr>
            </w:pPr>
            <w:r w:rsidRPr="000A2ECA">
              <w:rPr>
                <w:rFonts w:eastAsia="Calibri"/>
                <w:lang w:val="bg-BG"/>
              </w:rPr>
              <w:t>1. Съгласно т. 5.2 от раздел 24 от Условията за кандидатстване (УК) когато кандидатът е възложител по смисъла на ЗОП е необходимо да попълни Приложение № 7 „Справка за процедури за избор на изпълнител и начина за определяне на прогнозните стойности“ и приложени доказателства за определяне произхода на цените.</w:t>
            </w:r>
          </w:p>
          <w:p w:rsidR="007977DE" w:rsidRPr="000A2ECA" w:rsidRDefault="007977DE" w:rsidP="007977DE">
            <w:pPr>
              <w:spacing w:line="276" w:lineRule="auto"/>
              <w:ind w:firstLine="720"/>
              <w:jc w:val="both"/>
              <w:rPr>
                <w:rFonts w:eastAsia="Calibri"/>
                <w:lang w:val="bg-BG"/>
              </w:rPr>
            </w:pPr>
            <w:r w:rsidRPr="000A2ECA">
              <w:rPr>
                <w:rFonts w:eastAsia="Calibri"/>
                <w:lang w:val="bg-BG"/>
              </w:rPr>
              <w:t>Следва да предоставите коректно попълнено Приложение № 7 „Справка за процедури за избор на изпълнител и начина за определяне на прогнозните стойности“, независимо че не сте провели предварително процедури за избор на изпълнител, както и ценови предложения, като доказателства за определяне произхода на цените.</w:t>
            </w:r>
          </w:p>
          <w:p w:rsidR="007977DE" w:rsidRPr="000A2ECA" w:rsidRDefault="007977DE" w:rsidP="007977DE">
            <w:pPr>
              <w:spacing w:line="276" w:lineRule="auto"/>
              <w:ind w:firstLine="720"/>
              <w:jc w:val="both"/>
              <w:rPr>
                <w:rFonts w:eastAsia="Calibri"/>
                <w:lang w:val="bg-BG"/>
              </w:rPr>
            </w:pPr>
            <w:r w:rsidRPr="000A2ECA">
              <w:rPr>
                <w:rFonts w:eastAsia="Calibri"/>
                <w:lang w:val="bg-BG"/>
              </w:rPr>
              <w:t>2. Представете финансов план за изпълнение на проекта, включващ източници за финансиране на всеки един етап от проектното предложение. В представения липсват такива.</w:t>
            </w:r>
          </w:p>
          <w:p w:rsidR="007977DE" w:rsidRPr="000A2ECA" w:rsidRDefault="007977DE" w:rsidP="007977DE">
            <w:pPr>
              <w:spacing w:line="276" w:lineRule="auto"/>
              <w:ind w:firstLine="720"/>
              <w:jc w:val="both"/>
              <w:rPr>
                <w:rFonts w:eastAsia="Calibri"/>
                <w:lang w:val="bg-BG"/>
              </w:rPr>
            </w:pPr>
            <w:r w:rsidRPr="000A2ECA">
              <w:rPr>
                <w:rFonts w:eastAsia="Calibri"/>
                <w:lang w:val="bg-BG"/>
              </w:rPr>
              <w:t>3. Представете обосновка в подкрепа на това, как дейностите за които кандидатствате в настоящето проектно предложение отговарят на целите на процедурата, посочени в т. 6 „Цели на предоставяната безвъзмездна финансова помощ по процедурата и очаквани резултати“ от Условията за кандидатстване.</w:t>
            </w:r>
          </w:p>
          <w:p w:rsidR="007977DE" w:rsidRPr="000A2ECA" w:rsidRDefault="007977DE" w:rsidP="007977DE">
            <w:pPr>
              <w:spacing w:line="276" w:lineRule="auto"/>
              <w:ind w:firstLine="720"/>
              <w:jc w:val="both"/>
              <w:rPr>
                <w:rFonts w:eastAsia="Calibri"/>
                <w:lang w:val="bg-BG"/>
              </w:rPr>
            </w:pPr>
            <w:r w:rsidRPr="000A2ECA">
              <w:rPr>
                <w:rFonts w:eastAsia="Calibri"/>
                <w:lang w:val="bg-BG"/>
              </w:rPr>
              <w:t>4. Представете обосновка в подкрепа на това, как дейностите за които кандидатствате в настоящето проектно предложение отговарят на допустимите дейности на процедурата, посочени в т. 13.1 „ Допустими дейности “ от Условията за кандидатстване.</w:t>
            </w:r>
          </w:p>
          <w:p w:rsidR="007977DE" w:rsidRPr="000A2ECA" w:rsidRDefault="007977DE" w:rsidP="007977DE">
            <w:pPr>
              <w:spacing w:line="276" w:lineRule="auto"/>
              <w:ind w:firstLine="720"/>
              <w:jc w:val="both"/>
              <w:rPr>
                <w:rFonts w:eastAsia="Calibri"/>
                <w:lang w:val="bg-BG"/>
              </w:rPr>
            </w:pPr>
            <w:r w:rsidRPr="000A2ECA">
              <w:rPr>
                <w:rFonts w:eastAsia="Calibri"/>
                <w:lang w:val="bg-BG"/>
              </w:rPr>
              <w:t>Обосновката следва да бъде в табличен вид за всяка една от деветте дейности, както и за всеки бюджетен ред по ПП.</w:t>
            </w:r>
          </w:p>
          <w:p w:rsidR="007977DE" w:rsidRPr="000A2ECA" w:rsidRDefault="007977DE" w:rsidP="007977DE">
            <w:pPr>
              <w:spacing w:line="276" w:lineRule="auto"/>
              <w:ind w:firstLine="720"/>
              <w:jc w:val="both"/>
              <w:rPr>
                <w:rFonts w:eastAsia="Calibri"/>
                <w:lang w:val="bg-BG"/>
              </w:rPr>
            </w:pPr>
            <w:r w:rsidRPr="000A2ECA">
              <w:rPr>
                <w:rFonts w:eastAsia="Calibri"/>
                <w:lang w:val="bg-BG"/>
              </w:rPr>
              <w:t>Дейностите по проекта следва да са обвързани с постигане на целите на процедурата и съответно на конкретни резултати.</w:t>
            </w:r>
          </w:p>
          <w:p w:rsidR="007977DE" w:rsidRPr="000A2ECA" w:rsidRDefault="007977DE" w:rsidP="007977DE">
            <w:pPr>
              <w:spacing w:line="276" w:lineRule="auto"/>
              <w:ind w:firstLine="720"/>
              <w:jc w:val="both"/>
              <w:rPr>
                <w:rFonts w:eastAsia="Calibri"/>
                <w:lang w:val="bg-BG"/>
              </w:rPr>
            </w:pPr>
            <w:r w:rsidRPr="000A2ECA">
              <w:rPr>
                <w:rFonts w:eastAsia="Calibri"/>
                <w:lang w:val="bg-BG"/>
              </w:rPr>
              <w:t>В проектното предложение (ПП) следва да е налице логична връзка и съответствие между цели и нужди, както и между цели и дейности.</w:t>
            </w:r>
          </w:p>
          <w:p w:rsidR="007977DE" w:rsidRPr="000A2ECA" w:rsidRDefault="007977DE" w:rsidP="007977DE">
            <w:pPr>
              <w:spacing w:line="276" w:lineRule="auto"/>
              <w:ind w:firstLine="720"/>
              <w:jc w:val="both"/>
              <w:rPr>
                <w:rFonts w:eastAsia="Calibri"/>
                <w:lang w:val="bg-BG"/>
              </w:rPr>
            </w:pPr>
            <w:r w:rsidRPr="000A2ECA">
              <w:rPr>
                <w:rFonts w:eastAsia="Calibri"/>
                <w:lang w:val="bg-BG"/>
              </w:rPr>
              <w:t>5. Във връзка с горната точка и съгласно текстовете в УК, че при изпълнението на ПП трябва да са спазени поетите ангажименти от страна на кандидата за постигане на целите, резултатите и да е видим и измерим ефектът от изпълнението на ПП, представете подробна обосновка в която да е видими и измерим ефектът от всяка една от дейностите по ПП.</w:t>
            </w:r>
          </w:p>
          <w:p w:rsidR="007977DE" w:rsidRPr="000A2ECA" w:rsidRDefault="007977DE" w:rsidP="007977DE">
            <w:pPr>
              <w:spacing w:line="276" w:lineRule="auto"/>
              <w:ind w:firstLine="720"/>
              <w:jc w:val="both"/>
              <w:rPr>
                <w:rFonts w:eastAsia="Calibri"/>
                <w:lang w:val="bg-BG"/>
              </w:rPr>
            </w:pPr>
            <w:r w:rsidRPr="000A2ECA">
              <w:rPr>
                <w:rFonts w:eastAsia="Calibri"/>
                <w:lang w:val="bg-BG"/>
              </w:rPr>
              <w:t>6. Във връзка с разходи за закупуване или наемане на оборудване, необходимо за провеждане на научни изследвания по проекта следва да представите към проектното предложение по-подробна обосновка и доказателства за необходимостта от това оборудване с оглед постигане целите на проекта.</w:t>
            </w:r>
          </w:p>
          <w:p w:rsidR="007977DE" w:rsidRPr="000A2ECA" w:rsidRDefault="007977DE" w:rsidP="007977DE">
            <w:pPr>
              <w:spacing w:line="276" w:lineRule="auto"/>
              <w:ind w:firstLine="720"/>
              <w:jc w:val="both"/>
              <w:rPr>
                <w:rFonts w:eastAsia="Calibri"/>
                <w:lang w:val="bg-BG"/>
              </w:rPr>
            </w:pPr>
            <w:r w:rsidRPr="000A2ECA">
              <w:rPr>
                <w:rFonts w:eastAsia="Calibri"/>
                <w:lang w:val="bg-BG"/>
              </w:rPr>
              <w:t>Представената обосновка е твърде обща и не става ясно от кого е разработена/утвърдена.</w:t>
            </w:r>
          </w:p>
          <w:p w:rsidR="007977DE" w:rsidRPr="000A2ECA" w:rsidRDefault="007977DE" w:rsidP="007977DE">
            <w:pPr>
              <w:spacing w:line="276" w:lineRule="auto"/>
              <w:ind w:firstLine="720"/>
              <w:jc w:val="both"/>
              <w:rPr>
                <w:rFonts w:eastAsia="Calibri"/>
                <w:lang w:val="bg-BG"/>
              </w:rPr>
            </w:pPr>
            <w:r w:rsidRPr="000A2ECA">
              <w:rPr>
                <w:rFonts w:eastAsia="Calibri"/>
                <w:lang w:val="bg-BG"/>
              </w:rPr>
              <w:t>7. Във връзка с горната точка представете доказателства и план за ползването на активите през периода и на изпълнение и мониторинг на предвидените за закупуване оборудване и приложимостта на всяко оборудване към всяка една от дейностите.</w:t>
            </w:r>
          </w:p>
          <w:p w:rsidR="007977DE" w:rsidRPr="000A2ECA" w:rsidRDefault="007977DE" w:rsidP="007977DE">
            <w:pPr>
              <w:spacing w:line="276" w:lineRule="auto"/>
              <w:ind w:firstLine="720"/>
              <w:jc w:val="both"/>
              <w:rPr>
                <w:rFonts w:eastAsia="Calibri"/>
                <w:lang w:val="bg-BG"/>
              </w:rPr>
            </w:pPr>
            <w:r w:rsidRPr="000A2ECA">
              <w:rPr>
                <w:rFonts w:eastAsia="Calibri"/>
                <w:lang w:val="bg-BG"/>
              </w:rPr>
              <w:t>В допълнение представете доказателства, че разходите за наем или лизинг на оборудване или други активи са по-високи от разходите за закупуването му, отчитайки и броя на приложението им в процеса на изпълнение на ПП.</w:t>
            </w:r>
          </w:p>
          <w:p w:rsidR="007977DE" w:rsidRPr="000A2ECA" w:rsidRDefault="007977DE" w:rsidP="007977DE">
            <w:pPr>
              <w:spacing w:line="276" w:lineRule="auto"/>
              <w:ind w:firstLine="720"/>
              <w:jc w:val="both"/>
              <w:rPr>
                <w:rFonts w:eastAsia="Calibri"/>
                <w:lang w:val="bg-BG"/>
              </w:rPr>
            </w:pPr>
            <w:r w:rsidRPr="000A2ECA">
              <w:rPr>
                <w:rFonts w:eastAsia="Calibri"/>
                <w:lang w:val="bg-BG"/>
              </w:rPr>
              <w:t>8. Съгласно т. 14.3.1 от УК извършването на научни изследвания, проучвания и пр. в МЗЗ и в зони от мрежата на Натура 2000 следва да са съгласувани със съответните компетентни институции. Основната цел на проекта AQUAMARIS е да осигури цялостна научна оценка на екологичното състояние на избрани морски защитените зони от екологичната мрежа НАТУРА 2000 по Южното Черноморие чрез комплексно проучване на средата и върховните хищници в морската екосистема и в тази връзка е необходимо да представите следните документи:</w:t>
            </w:r>
          </w:p>
          <w:p w:rsidR="007977DE" w:rsidRPr="000A2ECA" w:rsidRDefault="007977DE" w:rsidP="007977DE">
            <w:pPr>
              <w:spacing w:line="276" w:lineRule="auto"/>
              <w:ind w:firstLine="720"/>
              <w:jc w:val="both"/>
              <w:rPr>
                <w:rFonts w:eastAsia="Calibri"/>
                <w:lang w:val="bg-BG"/>
              </w:rPr>
            </w:pPr>
            <w:r w:rsidRPr="000A2ECA">
              <w:rPr>
                <w:rFonts w:eastAsia="Calibri"/>
                <w:lang w:val="bg-BG"/>
              </w:rPr>
              <w:t>8.1. Решение за преценяване на необходимостта от извършване на оценка на въздействието върху околната среда или копие от решение по оценка на въздействие върху околната среда.</w:t>
            </w:r>
          </w:p>
          <w:p w:rsidR="007977DE" w:rsidRPr="000A2ECA" w:rsidRDefault="007977DE" w:rsidP="007977DE">
            <w:pPr>
              <w:spacing w:line="276" w:lineRule="auto"/>
              <w:ind w:firstLine="720"/>
              <w:jc w:val="both"/>
              <w:rPr>
                <w:rFonts w:eastAsia="Calibri"/>
                <w:lang w:val="bg-BG"/>
              </w:rPr>
            </w:pPr>
            <w:r w:rsidRPr="000A2ECA">
              <w:rPr>
                <w:rFonts w:eastAsia="Calibri"/>
                <w:lang w:val="bg-BG"/>
              </w:rPr>
              <w:t>8.2. Решение за съвместимостта на проекта с предмета и целите на опазване на защитените зони съгласно Наредба за условията и реда за извършване на оценка за съвместимост на планове, програми, проекти и инвестиционни предложения с предмета и целите на опазване на защитените зони.</w:t>
            </w:r>
          </w:p>
          <w:p w:rsidR="007977DE" w:rsidRPr="000A2ECA" w:rsidRDefault="007977DE" w:rsidP="007977DE">
            <w:pPr>
              <w:spacing w:line="276" w:lineRule="auto"/>
              <w:ind w:firstLine="720"/>
              <w:jc w:val="both"/>
              <w:rPr>
                <w:rFonts w:eastAsia="Calibri"/>
                <w:lang w:val="bg-BG"/>
              </w:rPr>
            </w:pPr>
            <w:r w:rsidRPr="000A2ECA">
              <w:rPr>
                <w:rFonts w:eastAsia="Calibri"/>
                <w:lang w:val="bg-BG"/>
              </w:rPr>
              <w:t>9. Представете подробна обосновка за начина на формиране на заложената стойност за всеки един бюджетен ред на ПП.</w:t>
            </w:r>
          </w:p>
          <w:p w:rsidR="007977DE" w:rsidRPr="000A2ECA" w:rsidRDefault="007977DE" w:rsidP="007977DE">
            <w:pPr>
              <w:spacing w:line="276" w:lineRule="auto"/>
              <w:ind w:firstLine="720"/>
              <w:jc w:val="both"/>
              <w:rPr>
                <w:rFonts w:eastAsia="Calibri"/>
                <w:lang w:val="bg-BG"/>
              </w:rPr>
            </w:pPr>
            <w:r w:rsidRPr="000A2ECA">
              <w:rPr>
                <w:rFonts w:eastAsia="Calibri"/>
                <w:lang w:val="bg-BG"/>
              </w:rPr>
              <w:t>10. Съгласно т. 9 от раздел 24 от УК следва да представите Счетоводна справка и/или инвентарна книга за дълготрайните материални активи (които имат връзка с обекта на подпомагане) към датата на подаване на ФК, с разбивка по активи, дата на придобиване и покупна цена.</w:t>
            </w:r>
          </w:p>
          <w:p w:rsidR="007977DE" w:rsidRPr="000A2ECA" w:rsidRDefault="007977DE" w:rsidP="007977DE">
            <w:pPr>
              <w:spacing w:line="276" w:lineRule="auto"/>
              <w:ind w:firstLine="720"/>
              <w:jc w:val="both"/>
              <w:rPr>
                <w:rFonts w:eastAsia="Calibri"/>
                <w:lang w:val="bg-BG"/>
              </w:rPr>
            </w:pPr>
            <w:r w:rsidRPr="000A2ECA">
              <w:rPr>
                <w:rFonts w:eastAsia="Calibri"/>
                <w:lang w:val="bg-BG"/>
              </w:rPr>
              <w:t>Представената справка е за месец септември и включва информация само за един инвентарен номер 40000112 Малък плавателен съд.</w:t>
            </w:r>
          </w:p>
          <w:p w:rsidR="007977DE" w:rsidRPr="000A2ECA" w:rsidRDefault="007977DE" w:rsidP="007977DE">
            <w:pPr>
              <w:spacing w:line="276" w:lineRule="auto"/>
              <w:ind w:firstLine="720"/>
              <w:jc w:val="both"/>
              <w:rPr>
                <w:rFonts w:eastAsia="Calibri"/>
                <w:lang w:val="bg-BG"/>
              </w:rPr>
            </w:pPr>
            <w:r w:rsidRPr="000A2ECA">
              <w:rPr>
                <w:rFonts w:eastAsia="Calibri"/>
                <w:lang w:val="bg-BG"/>
              </w:rPr>
              <w:t>11. Съгласно т. 11 от раздел 24 от УК следва да представите концепция на изследването, включително и техническо задание на изследването.</w:t>
            </w:r>
          </w:p>
          <w:p w:rsidR="007977DE" w:rsidRPr="000A2ECA" w:rsidRDefault="007977DE" w:rsidP="007977DE">
            <w:pPr>
              <w:spacing w:line="276" w:lineRule="auto"/>
              <w:ind w:firstLine="720"/>
              <w:jc w:val="both"/>
              <w:rPr>
                <w:rFonts w:eastAsia="Calibri"/>
                <w:lang w:val="bg-BG"/>
              </w:rPr>
            </w:pPr>
            <w:r w:rsidRPr="000A2ECA">
              <w:rPr>
                <w:rFonts w:eastAsia="Calibri"/>
                <w:lang w:val="bg-BG"/>
              </w:rPr>
              <w:t xml:space="preserve">Представената концепция е твърде обща, предвидените 9 дейности не се разписани подробни и разбити на </w:t>
            </w:r>
            <w:proofErr w:type="spellStart"/>
            <w:r w:rsidRPr="000A2ECA">
              <w:rPr>
                <w:rFonts w:eastAsia="Calibri"/>
                <w:lang w:val="bg-BG"/>
              </w:rPr>
              <w:t>поддейности</w:t>
            </w:r>
            <w:proofErr w:type="spellEnd"/>
            <w:r w:rsidRPr="000A2ECA">
              <w:rPr>
                <w:rFonts w:eastAsia="Calibri"/>
                <w:lang w:val="bg-BG"/>
              </w:rPr>
              <w:t>. Техническото задание повтаря концепцията и в него липсват подробни технически задания за предвиденото оборудване и дейности. В допълнение представения документ не става ясно от кого е разработен и/или утвърден.</w:t>
            </w:r>
          </w:p>
          <w:p w:rsidR="007977DE" w:rsidRPr="000A2ECA" w:rsidRDefault="007977DE" w:rsidP="007977DE">
            <w:pPr>
              <w:spacing w:line="276" w:lineRule="auto"/>
              <w:ind w:firstLine="720"/>
              <w:jc w:val="both"/>
              <w:rPr>
                <w:rFonts w:eastAsia="Calibri"/>
                <w:lang w:val="bg-BG"/>
              </w:rPr>
            </w:pPr>
            <w:r w:rsidRPr="000A2ECA">
              <w:rPr>
                <w:rFonts w:eastAsia="Calibri"/>
                <w:lang w:val="bg-BG"/>
              </w:rPr>
              <w:t>12. Съгласно направената проверка от страна на оценителната комисия кандидат</w:t>
            </w:r>
          </w:p>
          <w:p w:rsidR="007977DE" w:rsidRPr="000A2ECA" w:rsidRDefault="007977DE" w:rsidP="007977DE">
            <w:pPr>
              <w:spacing w:line="276" w:lineRule="auto"/>
              <w:ind w:firstLine="720"/>
              <w:jc w:val="both"/>
              <w:rPr>
                <w:rFonts w:eastAsia="Calibri"/>
                <w:lang w:val="bg-BG"/>
              </w:rPr>
            </w:pPr>
            <w:r w:rsidRPr="000A2ECA">
              <w:rPr>
                <w:rFonts w:eastAsia="Calibri"/>
                <w:lang w:val="bg-BG"/>
              </w:rPr>
              <w:t>Вземайки предвид разписаните правила на т. 14.2. Недопустими разходи от УК, „Освен недопустимите разходи по чл. 21 от ПМС № 86/2023 г., в съответствие с чл. 13 от Регламент (ЕС) 2021/1139 не са допустими за финансиране от ЕФМДРА и разходи за:</w:t>
            </w:r>
          </w:p>
          <w:p w:rsidR="007977DE" w:rsidRPr="000A2ECA" w:rsidRDefault="007977DE" w:rsidP="007977DE">
            <w:pPr>
              <w:spacing w:line="276" w:lineRule="auto"/>
              <w:ind w:firstLine="720"/>
              <w:jc w:val="both"/>
              <w:rPr>
                <w:rFonts w:eastAsia="Calibri"/>
                <w:lang w:val="bg-BG"/>
              </w:rPr>
            </w:pPr>
            <w:r w:rsidRPr="000A2ECA">
              <w:rPr>
                <w:rFonts w:eastAsia="Calibri"/>
                <w:lang w:val="bg-BG"/>
              </w:rPr>
              <w:t>13. всички разходи, които не попадат в обхвата на допустимите дейности по настоящата процедура, включително за дейности, които не са описани във Формуляра за кандидатстване или за които от представеното описание не може да се прецени за коя дейност се отнасят и дали тя е допустима;“,</w:t>
            </w:r>
          </w:p>
          <w:p w:rsidR="007977DE" w:rsidRPr="000A2ECA" w:rsidRDefault="007977DE" w:rsidP="007977DE">
            <w:pPr>
              <w:spacing w:line="276" w:lineRule="auto"/>
              <w:ind w:firstLine="720"/>
              <w:jc w:val="both"/>
              <w:rPr>
                <w:rFonts w:eastAsia="Calibri"/>
                <w:lang w:val="bg-BG"/>
              </w:rPr>
            </w:pPr>
            <w:r w:rsidRPr="000A2ECA">
              <w:rPr>
                <w:rFonts w:eastAsia="Calibri"/>
                <w:lang w:val="bg-BG"/>
              </w:rPr>
              <w:t>Следва да представите обяснителна записка с таблица, от която да става ясно в коя група от допустимите разходи от раздел 14.1.3. на УК „Допустими за финансиране разходи по настоящата процедура“ попада всеки един бюджетен ред от раздел 7 бюджет на ПП.</w:t>
            </w:r>
          </w:p>
          <w:p w:rsidR="007977DE" w:rsidRPr="000A2ECA" w:rsidRDefault="007977DE" w:rsidP="007977DE">
            <w:pPr>
              <w:spacing w:line="276" w:lineRule="auto"/>
              <w:ind w:firstLine="720"/>
              <w:jc w:val="both"/>
              <w:rPr>
                <w:rFonts w:eastAsia="Calibri"/>
                <w:lang w:val="bg-BG"/>
              </w:rPr>
            </w:pPr>
            <w:r w:rsidRPr="000A2ECA">
              <w:rPr>
                <w:rFonts w:eastAsia="Calibri"/>
                <w:lang w:val="bg-BG"/>
              </w:rPr>
              <w:t>14. Заявилите сте за подпомагане следните разходи - Амортизация на плавателното средство и Поддръжка и обслужване на плавателно средство (2 години), както и юрист по проекта.</w:t>
            </w:r>
          </w:p>
          <w:p w:rsidR="007977DE" w:rsidRPr="000A2ECA" w:rsidRDefault="007977DE" w:rsidP="007977DE">
            <w:pPr>
              <w:spacing w:line="276" w:lineRule="auto"/>
              <w:ind w:firstLine="720"/>
              <w:jc w:val="both"/>
              <w:rPr>
                <w:rFonts w:eastAsia="Calibri"/>
                <w:lang w:val="bg-BG"/>
              </w:rPr>
            </w:pPr>
            <w:r w:rsidRPr="000A2ECA">
              <w:rPr>
                <w:rFonts w:eastAsia="Calibri"/>
                <w:lang w:val="bg-BG"/>
              </w:rPr>
              <w:t>Вземайки предвид разписаните правила на т. 14.2. Недопустими разходи от УК, „Освен недопустимите разходи по чл. 21, т. 4 от ПМС № 86/2023 г., а именно проучвателен риболов в съответствие с чл. 13 от Регламент (ЕС) 2021/1139 не са допустими за финансиране от ЕФМДРА и разходи за:</w:t>
            </w:r>
          </w:p>
          <w:p w:rsidR="007977DE" w:rsidRPr="000A2ECA" w:rsidRDefault="007977DE" w:rsidP="007977DE">
            <w:pPr>
              <w:spacing w:line="276" w:lineRule="auto"/>
              <w:ind w:firstLine="720"/>
              <w:jc w:val="both"/>
              <w:rPr>
                <w:rFonts w:eastAsia="Calibri"/>
                <w:lang w:val="bg-BG"/>
              </w:rPr>
            </w:pPr>
            <w:r w:rsidRPr="000A2ECA">
              <w:rPr>
                <w:rFonts w:eastAsia="Calibri"/>
                <w:lang w:val="bg-BG"/>
              </w:rPr>
              <w:t>• разходи за правни услуги;</w:t>
            </w:r>
          </w:p>
          <w:p w:rsidR="007977DE" w:rsidRPr="000A2ECA" w:rsidRDefault="007977DE" w:rsidP="007977DE">
            <w:pPr>
              <w:spacing w:line="276" w:lineRule="auto"/>
              <w:ind w:firstLine="720"/>
              <w:jc w:val="both"/>
              <w:rPr>
                <w:rFonts w:eastAsia="Calibri"/>
                <w:lang w:val="bg-BG"/>
              </w:rPr>
            </w:pPr>
            <w:r w:rsidRPr="000A2ECA">
              <w:rPr>
                <w:rFonts w:eastAsia="Calibri"/>
                <w:lang w:val="bg-BG"/>
              </w:rPr>
              <w:t>• разходи за амортизации;</w:t>
            </w:r>
          </w:p>
          <w:p w:rsidR="007977DE" w:rsidRPr="000A2ECA" w:rsidRDefault="007977DE" w:rsidP="007977DE">
            <w:pPr>
              <w:spacing w:line="276" w:lineRule="auto"/>
              <w:ind w:firstLine="720"/>
              <w:jc w:val="both"/>
              <w:rPr>
                <w:rFonts w:eastAsia="Calibri"/>
                <w:lang w:val="bg-BG"/>
              </w:rPr>
            </w:pPr>
            <w:r w:rsidRPr="000A2ECA">
              <w:rPr>
                <w:rFonts w:eastAsia="Calibri"/>
                <w:lang w:val="bg-BG"/>
              </w:rPr>
              <w:t>Следва да представите обяснителна записка по констатираното несъответствие.</w:t>
            </w:r>
          </w:p>
          <w:p w:rsidR="007977DE" w:rsidRPr="000A2ECA" w:rsidRDefault="007977DE" w:rsidP="007977DE">
            <w:pPr>
              <w:spacing w:line="276" w:lineRule="auto"/>
              <w:ind w:firstLine="720"/>
              <w:jc w:val="both"/>
              <w:rPr>
                <w:rFonts w:eastAsia="Calibri"/>
                <w:lang w:val="bg-BG"/>
              </w:rPr>
            </w:pPr>
          </w:p>
          <w:p w:rsidR="007977DE" w:rsidRPr="000A2ECA" w:rsidRDefault="007977DE" w:rsidP="007977DE">
            <w:pPr>
              <w:spacing w:line="276" w:lineRule="auto"/>
              <w:ind w:firstLine="720"/>
              <w:jc w:val="both"/>
              <w:rPr>
                <w:rFonts w:eastAsia="Calibri"/>
                <w:lang w:val="bg-BG"/>
              </w:rPr>
            </w:pPr>
            <w:r w:rsidRPr="000A2ECA">
              <w:rPr>
                <w:rFonts w:eastAsia="Calibri"/>
                <w:lang w:val="bg-BG"/>
              </w:rPr>
              <w:t>15. Съгласно направената проверка от страна на оценителната комисия в системата та АПИС е установено, че Бургаски държавен университет „Проф. д-р Асен Златаров“ е регистрирана по чл. 96 от ЗДДС. В същото време в т. 1 от ФК сте отбелязали, че ДДС е допустим разход по проектното предложение, като заложените от Вас разходи, в т. 7 „Бюджет“ на проектното предложение са с включено ДДС.</w:t>
            </w:r>
          </w:p>
          <w:p w:rsidR="007977DE" w:rsidRPr="000A2ECA" w:rsidRDefault="007977DE" w:rsidP="007977DE">
            <w:pPr>
              <w:spacing w:line="276" w:lineRule="auto"/>
              <w:ind w:firstLine="720"/>
              <w:jc w:val="both"/>
              <w:rPr>
                <w:rFonts w:eastAsia="Calibri"/>
                <w:lang w:val="bg-BG"/>
              </w:rPr>
            </w:pPr>
            <w:r w:rsidRPr="000A2ECA">
              <w:rPr>
                <w:rFonts w:eastAsia="Calibri"/>
                <w:lang w:val="bg-BG"/>
              </w:rPr>
              <w:t>Вземайки предвид разписаните правила на т. 14.2. Недопустими разходи от УК, „Освен недопустимите разходи по чл. 21 от ПМС № 86/2023 г., в съответствие с чл. 13 от Регламент (ЕС) 2021/1139 не са допустими за финансиране от ЕФМДРА и разходи за данък върху добавената стойност, освен когато не е възстановим (Указание на министъра на финансите за третиране на данък върху добавената стойност като допустим разход при изпълнение на проекти по програмите на ЕС в периода 2021-2027 г. може да намерите на следния линк: https://www.eufunds.bg/bg/pmdr/node/14603)“, следва да представите обяснителна записка по констатираното несъответствие.</w:t>
            </w:r>
          </w:p>
          <w:p w:rsidR="007977DE" w:rsidRPr="000A2ECA" w:rsidRDefault="007977DE" w:rsidP="007977DE">
            <w:pPr>
              <w:spacing w:line="276" w:lineRule="auto"/>
              <w:ind w:firstLine="720"/>
              <w:jc w:val="both"/>
              <w:rPr>
                <w:rFonts w:eastAsia="Calibri"/>
                <w:lang w:val="bg-BG"/>
              </w:rPr>
            </w:pPr>
            <w:r w:rsidRPr="000A2ECA">
              <w:rPr>
                <w:rFonts w:eastAsia="Calibri"/>
                <w:lang w:val="bg-BG"/>
              </w:rPr>
              <w:t>16. Във връзка с навременното изпълнение на проектното Ви предложение и гарантиране на плащанията е необходимо да заявите поне едно междинно плащане чрез попълването на прикачения файл.</w:t>
            </w:r>
          </w:p>
          <w:p w:rsidR="007977DE" w:rsidRPr="000A2ECA" w:rsidRDefault="007977DE" w:rsidP="007977DE">
            <w:pPr>
              <w:spacing w:line="276" w:lineRule="auto"/>
              <w:ind w:firstLine="720"/>
              <w:jc w:val="both"/>
              <w:rPr>
                <w:rFonts w:eastAsia="Calibri"/>
                <w:lang w:val="bg-BG"/>
              </w:rPr>
            </w:pPr>
            <w:r w:rsidRPr="000A2ECA">
              <w:rPr>
                <w:rFonts w:eastAsia="Calibri"/>
                <w:lang w:val="bg-BG"/>
              </w:rPr>
              <w:t>Допустимите междинни плащания по процедурата са за:</w:t>
            </w:r>
          </w:p>
          <w:p w:rsidR="007977DE" w:rsidRPr="000A2ECA" w:rsidRDefault="007977DE" w:rsidP="007977DE">
            <w:pPr>
              <w:spacing w:line="276" w:lineRule="auto"/>
              <w:ind w:firstLine="720"/>
              <w:jc w:val="both"/>
              <w:rPr>
                <w:rFonts w:eastAsia="Calibri"/>
                <w:lang w:val="bg-BG"/>
              </w:rPr>
            </w:pPr>
            <w:r w:rsidRPr="000A2ECA">
              <w:rPr>
                <w:rFonts w:eastAsia="Calibri"/>
                <w:lang w:val="bg-BG"/>
              </w:rPr>
              <w:t>а) Изпълнена част от одобрения проект, включена в междинно плащане, съгласно административния договор за предоставяне на БФП и след извършен последващ контрол за законосъобразност от УО на ПМДРА на проведените процедури за избор на изпълнител от бенефициента;</w:t>
            </w:r>
          </w:p>
          <w:p w:rsidR="007977DE" w:rsidRPr="000A2ECA" w:rsidRDefault="007977DE" w:rsidP="007977DE">
            <w:pPr>
              <w:spacing w:line="276" w:lineRule="auto"/>
              <w:ind w:firstLine="720"/>
              <w:jc w:val="both"/>
              <w:rPr>
                <w:rFonts w:eastAsia="Calibri"/>
                <w:lang w:val="bg-BG"/>
              </w:rPr>
            </w:pPr>
            <w:r w:rsidRPr="000A2ECA">
              <w:rPr>
                <w:rFonts w:eastAsia="Calibri"/>
                <w:lang w:val="bg-BG"/>
              </w:rPr>
              <w:t>б) Извършени от Ваша страна разходи под формата на изплатени аванси към избраните от него изпълнители, в случаите, когато в процедурата за избор на изпълнител и в сключения/те договор/и и/или допълнително/и споразумение/я към него/тях между бенефициента и избрания/те изпълнител/и е предвидено авансово плащане.</w:t>
            </w:r>
          </w:p>
          <w:p w:rsidR="007977DE" w:rsidRPr="000A2ECA" w:rsidRDefault="007977DE" w:rsidP="007977DE">
            <w:pPr>
              <w:spacing w:line="276" w:lineRule="auto"/>
              <w:ind w:firstLine="720"/>
              <w:jc w:val="both"/>
              <w:rPr>
                <w:rFonts w:eastAsia="Calibri"/>
                <w:lang w:val="bg-BG"/>
              </w:rPr>
            </w:pPr>
            <w:r w:rsidRPr="000A2ECA">
              <w:rPr>
                <w:rFonts w:eastAsia="Calibri"/>
                <w:lang w:val="bg-BG"/>
              </w:rPr>
              <w:t>Имате право на междинни плащания едновременно, както по т. а), така и по т. б), като същите следва да са предвидени в договора за предоставяне на безвъзмездна финансова помощ. Общият размер на авансовите (в случай, че има такива) и междинните плащания не може да надхвърля 80% от стойността на БФП.</w:t>
            </w:r>
          </w:p>
          <w:p w:rsidR="007977DE" w:rsidRPr="000A2ECA" w:rsidRDefault="007977DE" w:rsidP="007977DE">
            <w:pPr>
              <w:spacing w:line="276" w:lineRule="auto"/>
              <w:ind w:firstLine="720"/>
              <w:jc w:val="both"/>
              <w:rPr>
                <w:rFonts w:eastAsia="Calibri"/>
                <w:lang w:val="bg-BG"/>
              </w:rPr>
            </w:pPr>
            <w:r w:rsidRPr="000A2ECA">
              <w:rPr>
                <w:rFonts w:eastAsia="Calibri"/>
                <w:lang w:val="bg-BG"/>
              </w:rPr>
              <w:t>Общият размер на междинното плащане, в което са включени изплатени аванси от бенефициента към избраните изпълнители не може да надвишава 40% от БФП.</w:t>
            </w:r>
          </w:p>
          <w:p w:rsidR="007977DE" w:rsidRPr="000A2ECA" w:rsidRDefault="007977DE" w:rsidP="007977DE">
            <w:pPr>
              <w:spacing w:line="276" w:lineRule="auto"/>
              <w:ind w:firstLine="720"/>
              <w:jc w:val="both"/>
              <w:rPr>
                <w:rFonts w:eastAsia="Calibri"/>
                <w:lang w:val="bg-BG"/>
              </w:rPr>
            </w:pPr>
            <w:r w:rsidRPr="000A2ECA">
              <w:rPr>
                <w:rFonts w:eastAsia="Calibri"/>
                <w:lang w:val="bg-BG"/>
              </w:rPr>
              <w:t xml:space="preserve">Кандидатът е отговорил на комуникацията в регламентирания срок, но не е предоставил изисканите допълнително информация и документи в цялост, което прави невъзможно извършването на оценка на проектното предложение. Съгласно изискванията, посочени в Условията за кандидатстване на процедурата, раздел 24: „При </w:t>
            </w:r>
            <w:proofErr w:type="spellStart"/>
            <w:r w:rsidRPr="000A2ECA">
              <w:rPr>
                <w:rFonts w:eastAsia="Calibri"/>
                <w:lang w:val="bg-BG"/>
              </w:rPr>
              <w:t>непредставяне</w:t>
            </w:r>
            <w:proofErr w:type="spellEnd"/>
            <w:r w:rsidRPr="000A2ECA">
              <w:rPr>
                <w:rFonts w:eastAsia="Calibri"/>
                <w:lang w:val="bg-BG"/>
              </w:rPr>
              <w:t xml:space="preserve">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rsidR="007977DE" w:rsidRPr="000A2ECA" w:rsidRDefault="007977DE" w:rsidP="007977DE">
            <w:pPr>
              <w:spacing w:line="276" w:lineRule="auto"/>
              <w:ind w:firstLine="720"/>
              <w:jc w:val="both"/>
              <w:rPr>
                <w:rFonts w:eastAsia="Calibri"/>
                <w:lang w:val="bg-BG"/>
              </w:rPr>
            </w:pPr>
            <w:r w:rsidRPr="000A2ECA">
              <w:rPr>
                <w:rFonts w:eastAsia="Calibri"/>
                <w:lang w:val="bg-BG"/>
              </w:rPr>
              <w:t>В отговор на първа комуникация и предвид липсата на основни изискуеми документи по т. 14 и т. 24 от УК, а именно липсата на:</w:t>
            </w:r>
          </w:p>
          <w:p w:rsidR="007977DE" w:rsidRPr="000A2ECA" w:rsidRDefault="007977DE" w:rsidP="007977DE">
            <w:pPr>
              <w:pStyle w:val="ListParagraph"/>
              <w:numPr>
                <w:ilvl w:val="0"/>
                <w:numId w:val="4"/>
              </w:numPr>
              <w:spacing w:line="276" w:lineRule="auto"/>
              <w:contextualSpacing w:val="0"/>
              <w:jc w:val="both"/>
              <w:rPr>
                <w:rFonts w:ascii="Times New Roman" w:hAnsi="Times New Roman"/>
                <w:sz w:val="24"/>
                <w:szCs w:val="24"/>
                <w:lang w:val="bg-BG"/>
              </w:rPr>
            </w:pPr>
            <w:r w:rsidRPr="000A2ECA">
              <w:rPr>
                <w:rFonts w:ascii="Times New Roman" w:hAnsi="Times New Roman"/>
                <w:sz w:val="24"/>
                <w:szCs w:val="24"/>
                <w:lang w:val="bg-BG"/>
              </w:rPr>
              <w:t>Коректно попълнено Приложение № 7 „Справка за процедури за избор на изпълнител и начина за определяне на прогнозните стойности“, както и ценови предложения и доказателства за определяне произхода на цените. В отговор на комуникацията е представено Приложение № 7 „Справка за процедури за избор на изпълнител и начина за определяне на прогнозните стойности“, но липсват доказателства за начина на определяне на цените. Към формуляра за кандидатстване са представени единствено списъци на активите с посочени единични цени, но липсва информация за начина на ценообразуването и доказателства за начина на определяне на цените.;</w:t>
            </w:r>
          </w:p>
          <w:p w:rsidR="007977DE" w:rsidRPr="000A2ECA" w:rsidRDefault="007977DE" w:rsidP="007977DE">
            <w:pPr>
              <w:pStyle w:val="ListParagraph"/>
              <w:numPr>
                <w:ilvl w:val="0"/>
                <w:numId w:val="4"/>
              </w:numPr>
              <w:spacing w:line="276" w:lineRule="auto"/>
              <w:contextualSpacing w:val="0"/>
              <w:jc w:val="both"/>
              <w:rPr>
                <w:rFonts w:ascii="Times New Roman" w:hAnsi="Times New Roman"/>
                <w:sz w:val="24"/>
                <w:szCs w:val="24"/>
                <w:lang w:val="bg-BG"/>
              </w:rPr>
            </w:pPr>
            <w:r w:rsidRPr="000A2ECA">
              <w:rPr>
                <w:rFonts w:ascii="Times New Roman" w:hAnsi="Times New Roman"/>
                <w:sz w:val="24"/>
                <w:szCs w:val="24"/>
                <w:lang w:val="bg-BG"/>
              </w:rPr>
              <w:t>Съгласно т. 14.3.1 от УК извършването на научни изследвания, проучвания и пр. в МЗЗ и в зони от мрежата на Натура 2000 следва да са съгласувани със съответните компетентни институции. Основната цел на проекта AQUAMARIS е да осигури цялостна научна оценка на екологичното състояние на избрани морски защитените зони от екологичната мрежа НАТУРА 2000 по Южното Черноморие чрез комплексно проучване на средата и върховните хищници в морската екосистема. В отговор на комуникацията е представено уведомление без регистрационен номер до МОСВ от РИОСВ-Бургас, с което се препраща уведомление с вх. №ПД-984/16.03.2026 г. по компетентност за произнасяне на основание чл. 94, ал. 8 от Закона за опазване на околната среда (ЗООС).</w:t>
            </w:r>
          </w:p>
          <w:p w:rsidR="007977DE" w:rsidRPr="000A2ECA" w:rsidRDefault="007977DE" w:rsidP="007977DE">
            <w:pPr>
              <w:spacing w:line="276" w:lineRule="auto"/>
              <w:ind w:firstLine="720"/>
              <w:jc w:val="both"/>
              <w:rPr>
                <w:rFonts w:eastAsia="Calibri"/>
                <w:lang w:val="bg-BG"/>
              </w:rPr>
            </w:pPr>
            <w:r w:rsidRPr="000A2ECA">
              <w:rPr>
                <w:rFonts w:eastAsia="Calibri"/>
                <w:lang w:val="bg-BG"/>
              </w:rPr>
              <w:t>Във връзка с горепосоченото и съгласно текстовете в Условията за кандидатстване изрично е посочено, че „Не се приемат писмени доказателства (с приложени входящи номера) за заявено искането от кандидата към държавен и/или общински орган или институция за издаване на съответния документ.“. Процедурата по оценка е ясно разписана в Условията за кандидатстване, с определените срокове и всяко тяхно нарушаване би накърнило правата на всички останали участници в нея. Следователно проектното предложение не отговаря на следните критерии от Приложение № 4 „Критерии и методология за оценка на проектни предложение по процедура за подбор на проекти № BG14MFPR001-1.008 „Защита на екологичното състояние на морската среда“:</w:t>
            </w:r>
          </w:p>
          <w:p w:rsidR="007977DE" w:rsidRPr="000A2ECA" w:rsidRDefault="007977DE" w:rsidP="007977DE">
            <w:pPr>
              <w:pStyle w:val="ListParagraph"/>
              <w:numPr>
                <w:ilvl w:val="0"/>
                <w:numId w:val="3"/>
              </w:numPr>
              <w:spacing w:line="276" w:lineRule="auto"/>
              <w:ind w:left="567" w:hanging="567"/>
              <w:jc w:val="both"/>
              <w:rPr>
                <w:rFonts w:ascii="Times New Roman" w:hAnsi="Times New Roman"/>
                <w:sz w:val="24"/>
                <w:szCs w:val="24"/>
                <w:lang w:val="bg-BG" w:eastAsia="fr-FR"/>
              </w:rPr>
            </w:pPr>
            <w:r w:rsidRPr="000A2ECA">
              <w:rPr>
                <w:rFonts w:ascii="Times New Roman" w:hAnsi="Times New Roman"/>
                <w:sz w:val="24"/>
                <w:szCs w:val="24"/>
                <w:lang w:val="bg-BG" w:eastAsia="fr-FR"/>
              </w:rPr>
              <w:t xml:space="preserve">Критерий № 5 </w:t>
            </w:r>
            <w:r w:rsidRPr="000A2ECA">
              <w:rPr>
                <w:rFonts w:ascii="Times New Roman" w:hAnsi="Times New Roman"/>
                <w:color w:val="000000"/>
                <w:sz w:val="24"/>
                <w:szCs w:val="24"/>
                <w:lang w:val="bg-BG"/>
              </w:rPr>
              <w:t>Налице са всички изискуеми документи и са попълнени съгласно изискванията, посочени в т. 24 от Условията за кандидатстване по настоящата процедура.</w:t>
            </w:r>
            <w:r w:rsidRPr="000A2ECA">
              <w:rPr>
                <w:rFonts w:ascii="Times New Roman" w:hAnsi="Times New Roman"/>
                <w:sz w:val="24"/>
                <w:szCs w:val="24"/>
                <w:lang w:val="bg-BG"/>
              </w:rPr>
              <w:t>“</w:t>
            </w:r>
            <w:r w:rsidRPr="000A2ECA">
              <w:rPr>
                <w:rFonts w:ascii="Times New Roman" w:hAnsi="Times New Roman"/>
                <w:sz w:val="24"/>
                <w:szCs w:val="24"/>
                <w:lang w:val="bg-BG" w:eastAsia="fr-FR"/>
              </w:rPr>
              <w:t>;</w:t>
            </w:r>
          </w:p>
          <w:p w:rsidR="007977DE" w:rsidRPr="000A2ECA" w:rsidRDefault="007977DE" w:rsidP="007977DE">
            <w:pPr>
              <w:pStyle w:val="ListParagraph"/>
              <w:numPr>
                <w:ilvl w:val="0"/>
                <w:numId w:val="3"/>
              </w:numPr>
              <w:spacing w:line="276" w:lineRule="auto"/>
              <w:ind w:left="567" w:hanging="567"/>
              <w:jc w:val="both"/>
              <w:rPr>
                <w:rFonts w:ascii="Times New Roman" w:hAnsi="Times New Roman"/>
                <w:sz w:val="24"/>
                <w:szCs w:val="24"/>
                <w:lang w:val="bg-BG" w:eastAsia="fr-FR"/>
              </w:rPr>
            </w:pPr>
            <w:r w:rsidRPr="000A2ECA">
              <w:rPr>
                <w:rFonts w:ascii="Times New Roman" w:hAnsi="Times New Roman"/>
                <w:sz w:val="24"/>
                <w:szCs w:val="24"/>
                <w:lang w:val="bg-BG" w:eastAsia="fr-FR"/>
              </w:rPr>
              <w:t>Критерий № 8: „Предвидените разходи в проектното предложение са допустими съгласно изискванията в т. 14 от Условията за кандидатстване по настоящата процедура. В случай на наличие на недопустими разходи същите са установени и редуцирани.“;</w:t>
            </w:r>
          </w:p>
          <w:p w:rsidR="007977DE" w:rsidRPr="000A2ECA" w:rsidRDefault="007977DE" w:rsidP="007977DE">
            <w:pPr>
              <w:spacing w:after="160" w:line="276" w:lineRule="auto"/>
              <w:ind w:firstLine="720"/>
              <w:jc w:val="both"/>
              <w:rPr>
                <w:rFonts w:eastAsia="Calibri"/>
                <w:lang w:val="bg-BG"/>
              </w:rPr>
            </w:pPr>
            <w:r w:rsidRPr="000A2ECA">
              <w:rPr>
                <w:rFonts w:eastAsia="Calibri"/>
                <w:lang w:val="bg-BG"/>
              </w:rPr>
              <w:t>Съгласно инструкциите в Приложение № 4 към УК, т. II. Критерии за оценка, т. 1. Административно съответствие и допустимост, при несъответствие с някое от посочените изисквания проектното предложение се отхвърля.</w:t>
            </w:r>
          </w:p>
          <w:p w:rsidR="007977DE" w:rsidRPr="000A2ECA" w:rsidRDefault="007977DE" w:rsidP="007977DE">
            <w:pPr>
              <w:spacing w:line="276" w:lineRule="auto"/>
              <w:ind w:firstLine="720"/>
              <w:jc w:val="both"/>
              <w:rPr>
                <w:rFonts w:eastAsia="Calibri"/>
                <w:lang w:val="bg-BG"/>
              </w:rPr>
            </w:pPr>
            <w:r w:rsidRPr="000A2ECA">
              <w:rPr>
                <w:rFonts w:eastAsia="Calibri"/>
                <w:lang w:val="bg-BG"/>
              </w:rPr>
              <w:t>Поради изложените по-горе аргументи, проектно предложение с рег. № BG14MFPR001-1.008-0002 е включено в Списъка на проектните предложения, които не се допускат до етап Техническа и финансова оценка по настоящата процедура.</w:t>
            </w:r>
          </w:p>
          <w:p w:rsidR="007977DE" w:rsidRPr="000A2ECA" w:rsidRDefault="007977DE" w:rsidP="007977DE">
            <w:pPr>
              <w:ind w:firstLine="720"/>
              <w:jc w:val="both"/>
              <w:rPr>
                <w:lang w:val="bg-BG"/>
              </w:rPr>
            </w:pPr>
          </w:p>
          <w:p w:rsidR="00091A0B" w:rsidRPr="000A2ECA" w:rsidRDefault="00091A0B" w:rsidP="00AD3526">
            <w:pPr>
              <w:ind w:firstLine="720"/>
              <w:jc w:val="both"/>
              <w:rPr>
                <w:rFonts w:eastAsia="Calibri"/>
                <w:lang w:val="bg-BG"/>
              </w:rPr>
            </w:pPr>
          </w:p>
        </w:tc>
      </w:tr>
    </w:tbl>
    <w:p w:rsidR="00EB1B37" w:rsidRPr="000A2ECA" w:rsidRDefault="00EB1B37" w:rsidP="00A940B8">
      <w:pPr>
        <w:jc w:val="center"/>
        <w:rPr>
          <w:b/>
          <w:lang w:val="bg-BG"/>
        </w:rPr>
      </w:pPr>
    </w:p>
    <w:p w:rsidR="003B5A55" w:rsidRPr="000A2ECA" w:rsidRDefault="00D874BF" w:rsidP="002765CC">
      <w:pPr>
        <w:jc w:val="both"/>
        <w:rPr>
          <w:b/>
          <w:lang w:val="bg-BG"/>
        </w:rPr>
      </w:pPr>
      <w:r w:rsidRPr="000A2ECA">
        <w:rPr>
          <w:b/>
          <w:lang w:val="bg-BG"/>
        </w:rPr>
        <w:t>ЗАБЕЛЕЖКА: Кандидатите, чиито проектни предложения са</w:t>
      </w:r>
      <w:r w:rsidR="00685D9D" w:rsidRPr="000A2ECA">
        <w:rPr>
          <w:b/>
          <w:lang w:val="bg-BG"/>
        </w:rPr>
        <w:t xml:space="preserve"> предложени за</w:t>
      </w:r>
      <w:r w:rsidRPr="000A2ECA">
        <w:rPr>
          <w:b/>
          <w:lang w:val="bg-BG"/>
        </w:rPr>
        <w:t xml:space="preserve"> </w:t>
      </w:r>
      <w:r w:rsidR="00685D9D" w:rsidRPr="000A2ECA">
        <w:rPr>
          <w:b/>
          <w:lang w:val="bg-BG"/>
        </w:rPr>
        <w:t xml:space="preserve">отхвърляне </w:t>
      </w:r>
      <w:r w:rsidR="00252824" w:rsidRPr="000A2ECA">
        <w:rPr>
          <w:b/>
          <w:lang w:val="bg-BG"/>
        </w:rPr>
        <w:t xml:space="preserve">на етап оценка на административното съответствие </w:t>
      </w:r>
      <w:r w:rsidR="00775769" w:rsidRPr="000A2ECA">
        <w:rPr>
          <w:b/>
          <w:lang w:val="bg-BG"/>
        </w:rPr>
        <w:t xml:space="preserve">и допустимостта </w:t>
      </w:r>
      <w:r w:rsidR="00252824" w:rsidRPr="000A2ECA">
        <w:rPr>
          <w:b/>
          <w:lang w:val="bg-BG"/>
        </w:rPr>
        <w:t>по горепосочената процедура</w:t>
      </w:r>
      <w:r w:rsidRPr="000A2ECA">
        <w:rPr>
          <w:b/>
          <w:lang w:val="bg-BG"/>
        </w:rPr>
        <w:t xml:space="preserve"> могат да подадат писмени възражения срещу </w:t>
      </w:r>
      <w:r w:rsidR="00685D9D" w:rsidRPr="000A2ECA">
        <w:rPr>
          <w:b/>
          <w:lang w:val="bg-BG"/>
        </w:rPr>
        <w:t>предложението за отхвърлянето им пред</w:t>
      </w:r>
      <w:r w:rsidR="00704F48" w:rsidRPr="000A2ECA">
        <w:rPr>
          <w:b/>
          <w:lang w:val="bg-BG"/>
        </w:rPr>
        <w:t xml:space="preserve"> </w:t>
      </w:r>
      <w:r w:rsidR="003C6C1D" w:rsidRPr="000A2ECA">
        <w:rPr>
          <w:b/>
          <w:lang w:val="bg-BG"/>
        </w:rPr>
        <w:t>Р</w:t>
      </w:r>
      <w:r w:rsidRPr="000A2ECA">
        <w:rPr>
          <w:b/>
          <w:lang w:val="bg-BG"/>
        </w:rPr>
        <w:t xml:space="preserve">ъководителя на </w:t>
      </w:r>
      <w:r w:rsidR="00A40AC5" w:rsidRPr="000A2ECA">
        <w:rPr>
          <w:b/>
          <w:lang w:val="bg-BG"/>
        </w:rPr>
        <w:t>У</w:t>
      </w:r>
      <w:r w:rsidR="003E2D2E" w:rsidRPr="000A2ECA">
        <w:rPr>
          <w:b/>
          <w:lang w:val="bg-BG"/>
        </w:rPr>
        <w:t xml:space="preserve">правляващия </w:t>
      </w:r>
      <w:r w:rsidRPr="000A2ECA">
        <w:rPr>
          <w:b/>
          <w:lang w:val="bg-BG"/>
        </w:rPr>
        <w:t>орган</w:t>
      </w:r>
      <w:r w:rsidR="00D34D64" w:rsidRPr="000A2ECA">
        <w:rPr>
          <w:b/>
          <w:lang w:val="bg-BG"/>
        </w:rPr>
        <w:t>,</w:t>
      </w:r>
      <w:r w:rsidRPr="000A2ECA">
        <w:rPr>
          <w:b/>
          <w:lang w:val="bg-BG"/>
        </w:rPr>
        <w:t xml:space="preserve"> в </w:t>
      </w:r>
      <w:r w:rsidR="005F44E0" w:rsidRPr="000A2ECA">
        <w:rPr>
          <w:b/>
          <w:lang w:val="bg-BG"/>
        </w:rPr>
        <w:t xml:space="preserve">едноседмичен </w:t>
      </w:r>
      <w:r w:rsidRPr="000A2ECA">
        <w:rPr>
          <w:b/>
          <w:lang w:val="bg-BG"/>
        </w:rPr>
        <w:t xml:space="preserve">срок </w:t>
      </w:r>
      <w:r w:rsidR="005F44E0" w:rsidRPr="000A2ECA">
        <w:rPr>
          <w:b/>
          <w:lang w:val="bg-BG"/>
        </w:rPr>
        <w:t>от съобщаването.</w:t>
      </w:r>
      <w:r w:rsidR="00EB135C" w:rsidRPr="000A2ECA">
        <w:rPr>
          <w:b/>
          <w:lang w:val="bg-BG"/>
        </w:rPr>
        <w:t xml:space="preserve"> </w:t>
      </w:r>
    </w:p>
    <w:p w:rsidR="009A06E8" w:rsidRPr="000A2ECA" w:rsidRDefault="009A06E8" w:rsidP="00252824">
      <w:pPr>
        <w:jc w:val="both"/>
        <w:rPr>
          <w:sz w:val="28"/>
          <w:szCs w:val="28"/>
          <w:lang w:val="bg-BG"/>
        </w:rPr>
      </w:pPr>
    </w:p>
    <w:p w:rsidR="00EB1B37" w:rsidRPr="000A2ECA" w:rsidRDefault="00877A5F" w:rsidP="00877A5F">
      <w:pPr>
        <w:rPr>
          <w:snapToGrid w:val="0"/>
          <w:lang w:val="bg-BG"/>
        </w:rPr>
      </w:pPr>
      <w:r w:rsidRPr="000A2ECA">
        <w:rPr>
          <w:snapToGrid w:val="0"/>
          <w:lang w:val="bg-BG"/>
        </w:rPr>
        <w:t xml:space="preserve">Дата: </w:t>
      </w:r>
      <w:r w:rsidR="003805D6" w:rsidRPr="000A2ECA">
        <w:rPr>
          <w:snapToGrid w:val="0"/>
          <w:lang w:val="bg-BG"/>
        </w:rPr>
        <w:t>22</w:t>
      </w:r>
      <w:r w:rsidR="00CE4556" w:rsidRPr="000A2ECA">
        <w:rPr>
          <w:snapToGrid w:val="0"/>
          <w:lang w:val="bg-BG"/>
        </w:rPr>
        <w:t>.0</w:t>
      </w:r>
      <w:r w:rsidR="003805D6" w:rsidRPr="000A2ECA">
        <w:rPr>
          <w:snapToGrid w:val="0"/>
          <w:lang w:val="bg-BG"/>
        </w:rPr>
        <w:t>5</w:t>
      </w:r>
      <w:r w:rsidR="006B4949" w:rsidRPr="000A2ECA">
        <w:rPr>
          <w:snapToGrid w:val="0"/>
          <w:lang w:val="bg-BG"/>
        </w:rPr>
        <w:t>.202</w:t>
      </w:r>
      <w:r w:rsidR="00CE4556" w:rsidRPr="000A2ECA">
        <w:rPr>
          <w:snapToGrid w:val="0"/>
          <w:lang w:val="bg-BG"/>
        </w:rPr>
        <w:t>6</w:t>
      </w:r>
      <w:r w:rsidR="006B4949" w:rsidRPr="000A2ECA">
        <w:rPr>
          <w:snapToGrid w:val="0"/>
          <w:lang w:val="bg-BG"/>
        </w:rPr>
        <w:t xml:space="preserve"> г.</w:t>
      </w:r>
    </w:p>
    <w:p w:rsidR="00EB1B37" w:rsidRPr="000A2ECA" w:rsidRDefault="00EB1B37" w:rsidP="00877A5F">
      <w:pPr>
        <w:rPr>
          <w:snapToGrid w:val="0"/>
          <w:lang w:val="bg-BG"/>
        </w:rPr>
      </w:pPr>
    </w:p>
    <w:sectPr w:rsidR="00EB1B37" w:rsidRPr="000A2ECA" w:rsidSect="00CE4556">
      <w:headerReference w:type="default" r:id="rId8"/>
      <w:footerReference w:type="default" r:id="rId9"/>
      <w:pgSz w:w="16838" w:h="11906" w:orient="landscape"/>
      <w:pgMar w:top="1418" w:right="1134" w:bottom="180" w:left="1134" w:header="709" w:footer="1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458" w:rsidRDefault="00116458">
      <w:r>
        <w:separator/>
      </w:r>
    </w:p>
  </w:endnote>
  <w:endnote w:type="continuationSeparator" w:id="0">
    <w:p w:rsidR="00116458" w:rsidRDefault="00116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6659"/>
      <w:docPartObj>
        <w:docPartGallery w:val="Page Numbers (Bottom of Page)"/>
        <w:docPartUnique/>
      </w:docPartObj>
    </w:sdtPr>
    <w:sdtEndPr>
      <w:rPr>
        <w:noProof/>
      </w:rPr>
    </w:sdtEndPr>
    <w:sdtContent>
      <w:p w:rsidR="00C21CB8" w:rsidRDefault="00C21CB8">
        <w:pPr>
          <w:pStyle w:val="Footer"/>
          <w:jc w:val="right"/>
        </w:pPr>
        <w:r>
          <w:fldChar w:fldCharType="begin"/>
        </w:r>
        <w:r>
          <w:instrText xml:space="preserve"> PAGE   \* MERGEFORMAT </w:instrText>
        </w:r>
        <w:r>
          <w:fldChar w:fldCharType="separate"/>
        </w:r>
        <w:r w:rsidR="00EB49F1">
          <w:rPr>
            <w:noProof/>
          </w:rPr>
          <w:t>1</w:t>
        </w:r>
        <w:r>
          <w:rPr>
            <w:noProof/>
          </w:rPr>
          <w:fldChar w:fldCharType="end"/>
        </w:r>
      </w:p>
    </w:sdtContent>
  </w:sdt>
  <w:p w:rsidR="00C21CB8" w:rsidRDefault="00C21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458" w:rsidRDefault="00116458">
      <w:r>
        <w:separator/>
      </w:r>
    </w:p>
  </w:footnote>
  <w:footnote w:type="continuationSeparator" w:id="0">
    <w:p w:rsidR="00116458" w:rsidRDefault="00116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884" w:type="dxa"/>
      <w:tblInd w:w="-141" w:type="dxa"/>
      <w:tblLayout w:type="fixed"/>
      <w:tblCellMar>
        <w:left w:w="0" w:type="dxa"/>
        <w:right w:w="0" w:type="dxa"/>
      </w:tblCellMar>
      <w:tblLook w:val="0000" w:firstRow="0" w:lastRow="0" w:firstColumn="0" w:lastColumn="0" w:noHBand="0" w:noVBand="0"/>
    </w:tblPr>
    <w:tblGrid>
      <w:gridCol w:w="5078"/>
      <w:gridCol w:w="1362"/>
      <w:gridCol w:w="6318"/>
      <w:gridCol w:w="2126"/>
    </w:tblGrid>
    <w:tr w:rsidR="00F95F33" w:rsidRPr="00144A1F" w:rsidTr="00CE4556">
      <w:trPr>
        <w:trHeight w:val="804"/>
        <w:tblHeader/>
      </w:trPr>
      <w:tc>
        <w:tcPr>
          <w:tcW w:w="5078" w:type="dxa"/>
          <w:vMerge w:val="restart"/>
          <w:tcBorders>
            <w:top w:val="single" w:sz="1" w:space="0" w:color="000000"/>
            <w:left w:val="single" w:sz="1" w:space="0" w:color="000000"/>
          </w:tcBorders>
          <w:vAlign w:val="center"/>
        </w:tcPr>
        <w:p w:rsidR="00144A1F" w:rsidRPr="00144A1F" w:rsidRDefault="00144A1F"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 xml:space="preserve">Министерство на </w:t>
          </w:r>
          <w:r w:rsidR="00A6323E">
            <w:rPr>
              <w:rFonts w:eastAsia="HG Mincho Light J"/>
              <w:b/>
              <w:color w:val="000000"/>
              <w:sz w:val="20"/>
              <w:szCs w:val="20"/>
              <w:lang w:val="bg-BG"/>
            </w:rPr>
            <w:t>земеделието</w:t>
          </w:r>
          <w:r w:rsidR="00006334">
            <w:rPr>
              <w:rFonts w:eastAsia="HG Mincho Light J"/>
              <w:b/>
              <w:color w:val="000000"/>
              <w:sz w:val="20"/>
              <w:szCs w:val="20"/>
              <w:lang w:val="bg-BG"/>
            </w:rPr>
            <w:t xml:space="preserve"> и храните</w:t>
          </w:r>
        </w:p>
        <w:p w:rsidR="00F95F33" w:rsidRPr="006B2ABC" w:rsidRDefault="001D7924" w:rsidP="00274FD3">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Д</w:t>
          </w:r>
          <w:r w:rsidR="00144A1F" w:rsidRPr="00144A1F">
            <w:rPr>
              <w:rFonts w:eastAsia="HG Mincho Light J"/>
              <w:b/>
              <w:color w:val="000000"/>
              <w:sz w:val="20"/>
              <w:szCs w:val="20"/>
              <w:lang w:val="bg-BG"/>
            </w:rPr>
            <w:t>ирекция “</w:t>
          </w:r>
          <w:r>
            <w:rPr>
              <w:rFonts w:eastAsia="HG Mincho Light J"/>
              <w:b/>
              <w:color w:val="000000"/>
              <w:sz w:val="20"/>
              <w:szCs w:val="20"/>
              <w:lang w:val="bg-BG"/>
            </w:rPr>
            <w:t>Морско дело и рибарство</w:t>
          </w:r>
          <w:r w:rsidR="00144A1F" w:rsidRPr="00144A1F">
            <w:rPr>
              <w:rFonts w:eastAsia="HG Mincho Light J"/>
              <w:b/>
              <w:color w:val="000000"/>
              <w:sz w:val="20"/>
              <w:szCs w:val="20"/>
              <w:lang w:val="bg-BG"/>
            </w:rPr>
            <w:t xml:space="preserve">” – Управляващ орган на </w:t>
          </w:r>
          <w:r>
            <w:rPr>
              <w:rFonts w:eastAsia="HG Mincho Light J"/>
              <w:b/>
              <w:color w:val="000000"/>
              <w:sz w:val="20"/>
              <w:szCs w:val="20"/>
              <w:lang w:val="bg-BG"/>
            </w:rPr>
            <w:t>ПМДР</w:t>
          </w:r>
          <w:r w:rsidR="00E14F0B">
            <w:rPr>
              <w:rFonts w:eastAsia="HG Mincho Light J"/>
              <w:b/>
              <w:color w:val="000000"/>
              <w:sz w:val="20"/>
              <w:szCs w:val="20"/>
              <w:lang w:val="bg-BG"/>
            </w:rPr>
            <w:t>А</w:t>
          </w:r>
          <w:r w:rsidR="00877A5F" w:rsidRPr="006B2ABC">
            <w:rPr>
              <w:rFonts w:eastAsia="HG Mincho Light J"/>
              <w:b/>
              <w:color w:val="000000"/>
              <w:sz w:val="20"/>
              <w:szCs w:val="20"/>
              <w:lang w:val="bg-BG"/>
            </w:rPr>
            <w:t xml:space="preserve"> 20</w:t>
          </w:r>
          <w:r w:rsidR="00274FD3">
            <w:rPr>
              <w:rFonts w:eastAsia="HG Mincho Light J"/>
              <w:b/>
              <w:color w:val="000000"/>
              <w:sz w:val="20"/>
              <w:szCs w:val="20"/>
              <w:lang w:val="bg-BG"/>
            </w:rPr>
            <w:t>21 - 2027</w:t>
          </w:r>
        </w:p>
      </w:tc>
      <w:tc>
        <w:tcPr>
          <w:tcW w:w="7680" w:type="dxa"/>
          <w:gridSpan w:val="2"/>
          <w:tcBorders>
            <w:top w:val="single" w:sz="1" w:space="0" w:color="000000"/>
            <w:left w:val="single" w:sz="1" w:space="0" w:color="000000"/>
            <w:bottom w:val="single" w:sz="1" w:space="0" w:color="000000"/>
          </w:tcBorders>
          <w:vAlign w:val="center"/>
        </w:tcPr>
        <w:p w:rsidR="00F95F33" w:rsidRPr="00144A1F" w:rsidRDefault="003213FB" w:rsidP="003C6C1D">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НАРЪЧНИК </w:t>
          </w:r>
          <w:r w:rsidR="00D4220F">
            <w:rPr>
              <w:rFonts w:eastAsia="HG Mincho Light J"/>
              <w:b/>
              <w:color w:val="000000"/>
              <w:sz w:val="20"/>
              <w:szCs w:val="20"/>
              <w:lang w:val="bg-BG"/>
            </w:rPr>
            <w:t>ПО</w:t>
          </w:r>
          <w:r>
            <w:rPr>
              <w:rFonts w:eastAsia="HG Mincho Light J"/>
              <w:b/>
              <w:color w:val="000000"/>
              <w:sz w:val="20"/>
              <w:szCs w:val="20"/>
              <w:lang w:val="bg-BG"/>
            </w:rPr>
            <w:t xml:space="preserve"> </w:t>
          </w:r>
          <w:r w:rsidR="009E1864">
            <w:rPr>
              <w:rFonts w:eastAsia="HG Mincho Light J"/>
              <w:b/>
              <w:color w:val="000000"/>
              <w:sz w:val="20"/>
              <w:szCs w:val="20"/>
              <w:lang w:val="bg-BG"/>
            </w:rPr>
            <w:t>ПРОГРАМА ЗА МОРСКО ДЕЛО, РИБАРСТВО И  АКВАКУЛТУРИ</w:t>
          </w:r>
          <w:r w:rsidR="00C36EA9">
            <w:rPr>
              <w:rFonts w:eastAsia="HG Mincho Light J"/>
              <w:b/>
              <w:color w:val="000000"/>
              <w:sz w:val="20"/>
              <w:szCs w:val="20"/>
              <w:lang w:val="bg-BG"/>
            </w:rPr>
            <w:t xml:space="preserve"> 2021 -2027</w:t>
          </w:r>
          <w:r w:rsidR="00F95F33" w:rsidRPr="00144A1F">
            <w:rPr>
              <w:rFonts w:eastAsia="HG Mincho Light J"/>
              <w:b/>
              <w:color w:val="000000"/>
              <w:sz w:val="20"/>
              <w:szCs w:val="20"/>
              <w:lang w:val="bg-BG"/>
            </w:rPr>
            <w:t xml:space="preserve"> (</w:t>
          </w:r>
          <w:r w:rsidR="001D7924">
            <w:rPr>
              <w:rFonts w:eastAsia="HG Mincho Light J"/>
              <w:b/>
              <w:color w:val="000000"/>
              <w:sz w:val="20"/>
              <w:szCs w:val="20"/>
              <w:lang w:val="bg-BG"/>
            </w:rPr>
            <w:t>ПМДР</w:t>
          </w:r>
          <w:r w:rsidR="00C36EA9">
            <w:rPr>
              <w:rFonts w:eastAsia="HG Mincho Light J"/>
              <w:b/>
              <w:color w:val="000000"/>
              <w:sz w:val="20"/>
              <w:szCs w:val="20"/>
              <w:lang w:val="bg-BG"/>
            </w:rPr>
            <w:t>А</w:t>
          </w:r>
          <w:r w:rsidR="00F95F33" w:rsidRPr="00144A1F">
            <w:rPr>
              <w:rFonts w:eastAsia="HG Mincho Light J"/>
              <w:b/>
              <w:color w:val="000000"/>
              <w:sz w:val="20"/>
              <w:szCs w:val="20"/>
              <w:lang w:val="bg-BG"/>
            </w:rPr>
            <w:t>)</w:t>
          </w:r>
        </w:p>
      </w:tc>
      <w:tc>
        <w:tcPr>
          <w:tcW w:w="2126" w:type="dxa"/>
          <w:tcBorders>
            <w:top w:val="single" w:sz="1" w:space="0" w:color="000000"/>
            <w:left w:val="single" w:sz="1" w:space="0" w:color="000000"/>
            <w:bottom w:val="single" w:sz="1" w:space="0" w:color="000000"/>
            <w:right w:val="single" w:sz="1" w:space="0" w:color="000000"/>
          </w:tcBorders>
          <w:vAlign w:val="center"/>
        </w:tcPr>
        <w:p w:rsidR="00F95F33" w:rsidRPr="00144A1F" w:rsidRDefault="00144A1F" w:rsidP="009054CD">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lang w:val="bg-BG"/>
            </w:rPr>
            <w:t xml:space="preserve">Вариант </w:t>
          </w:r>
          <w:r w:rsidR="00006334">
            <w:rPr>
              <w:rFonts w:eastAsia="HG Mincho Light J"/>
              <w:b/>
              <w:color w:val="000000"/>
              <w:sz w:val="20"/>
              <w:lang w:val="bg-BG"/>
            </w:rPr>
            <w:t>1</w:t>
          </w:r>
        </w:p>
      </w:tc>
    </w:tr>
    <w:tr w:rsidR="00F95F33" w:rsidRPr="00144A1F" w:rsidTr="008E1BBB">
      <w:trPr>
        <w:trHeight w:val="1173"/>
      </w:trPr>
      <w:tc>
        <w:tcPr>
          <w:tcW w:w="5078" w:type="dxa"/>
          <w:vMerge/>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p>
      </w:tc>
      <w:tc>
        <w:tcPr>
          <w:tcW w:w="1362" w:type="dxa"/>
          <w:tcBorders>
            <w:left w:val="single" w:sz="1" w:space="0" w:color="000000"/>
            <w:bottom w:val="single" w:sz="1" w:space="0" w:color="000000"/>
            <w:right w:val="single" w:sz="1" w:space="0" w:color="000000"/>
          </w:tcBorders>
          <w:vAlign w:val="center"/>
        </w:tcPr>
        <w:p w:rsidR="00F95F33" w:rsidRPr="00144A1F" w:rsidRDefault="006C23EE" w:rsidP="00144A1F">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Глава 4, раздел 2, </w:t>
          </w:r>
          <w:r w:rsidR="00F95F33" w:rsidRPr="00144A1F">
            <w:rPr>
              <w:rFonts w:eastAsia="HG Mincho Light J"/>
              <w:b/>
              <w:color w:val="000000"/>
              <w:sz w:val="20"/>
              <w:szCs w:val="20"/>
              <w:lang w:val="bg-BG"/>
            </w:rPr>
            <w:t xml:space="preserve">Приложение </w:t>
          </w:r>
        </w:p>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4.II.</w:t>
          </w:r>
          <w:r w:rsidR="00BE3CC1" w:rsidRPr="00144A1F">
            <w:rPr>
              <w:rFonts w:eastAsia="HG Mincho Light J"/>
              <w:b/>
              <w:color w:val="000000"/>
              <w:sz w:val="20"/>
              <w:szCs w:val="20"/>
              <w:lang w:val="bg-BG"/>
            </w:rPr>
            <w:t>1</w:t>
          </w:r>
          <w:r w:rsidRPr="00144A1F">
            <w:rPr>
              <w:rFonts w:eastAsia="HG Mincho Light J"/>
              <w:b/>
              <w:color w:val="000000"/>
              <w:sz w:val="20"/>
              <w:szCs w:val="20"/>
              <w:lang w:val="bg-BG"/>
            </w:rPr>
            <w:t>.</w:t>
          </w:r>
          <w:r w:rsidR="00F609C8">
            <w:rPr>
              <w:rFonts w:eastAsia="HG Mincho Light J"/>
              <w:b/>
              <w:color w:val="000000"/>
              <w:sz w:val="20"/>
              <w:szCs w:val="20"/>
              <w:lang w:val="bg-BG"/>
            </w:rPr>
            <w:t>7</w:t>
          </w:r>
          <w:r w:rsidRPr="00144A1F">
            <w:rPr>
              <w:rFonts w:eastAsia="HG Mincho Light J"/>
              <w:b/>
              <w:color w:val="000000"/>
              <w:sz w:val="20"/>
              <w:szCs w:val="20"/>
              <w:lang w:val="bg-BG"/>
            </w:rPr>
            <w:t>.</w:t>
          </w:r>
        </w:p>
      </w:tc>
      <w:tc>
        <w:tcPr>
          <w:tcW w:w="6318" w:type="dxa"/>
          <w:tcBorders>
            <w:left w:val="single" w:sz="1" w:space="0" w:color="000000"/>
            <w:bottom w:val="single" w:sz="1" w:space="0" w:color="000000"/>
            <w:right w:val="single" w:sz="1" w:space="0" w:color="000000"/>
          </w:tcBorders>
          <w:vAlign w:val="center"/>
        </w:tcPr>
        <w:p w:rsidR="00F95F33" w:rsidRPr="00144A1F" w:rsidRDefault="00F95F33" w:rsidP="00144A1F">
          <w:pPr>
            <w:widowControl w:val="0"/>
            <w:suppressLineNumbers/>
            <w:suppressAutoHyphens/>
            <w:jc w:val="center"/>
            <w:rPr>
              <w:b/>
              <w:sz w:val="20"/>
              <w:szCs w:val="20"/>
              <w:lang w:val="bg-BG"/>
            </w:rPr>
          </w:pPr>
          <w:r w:rsidRPr="00144A1F">
            <w:rPr>
              <w:b/>
              <w:sz w:val="20"/>
              <w:szCs w:val="20"/>
              <w:lang w:val="bg-BG"/>
            </w:rPr>
            <w:t>ПРОЦЕДУРИ ЗА ПРЕДОСТАВЯНЕ НА БЕЗВЪЗМЕЗДНА ФИНАНСОВА ПОМОЩ</w:t>
          </w:r>
        </w:p>
        <w:p w:rsidR="00F95F33" w:rsidRPr="00144A1F" w:rsidRDefault="00F95F33" w:rsidP="00144A1F">
          <w:pPr>
            <w:widowControl w:val="0"/>
            <w:suppressLineNumbers/>
            <w:suppressAutoHyphens/>
            <w:jc w:val="center"/>
            <w:rPr>
              <w:b/>
              <w:iCs/>
              <w:sz w:val="20"/>
              <w:szCs w:val="20"/>
              <w:lang w:val="bg-BG"/>
            </w:rPr>
          </w:pPr>
        </w:p>
        <w:p w:rsidR="00F95F33" w:rsidRPr="00144A1F" w:rsidRDefault="00F95F33" w:rsidP="00144A1F">
          <w:pPr>
            <w:widowControl w:val="0"/>
            <w:suppressLineNumbers/>
            <w:suppressAutoHyphens/>
            <w:jc w:val="center"/>
            <w:rPr>
              <w:b/>
              <w:iCs/>
              <w:sz w:val="20"/>
              <w:szCs w:val="20"/>
              <w:lang w:val="bg-BG"/>
            </w:rPr>
          </w:pPr>
        </w:p>
        <w:p w:rsidR="00F95F33" w:rsidRPr="00F609C8" w:rsidRDefault="00F95F33" w:rsidP="00F609C8">
          <w:pPr>
            <w:widowControl w:val="0"/>
            <w:suppressLineNumbers/>
            <w:suppressAutoHyphens/>
            <w:jc w:val="center"/>
            <w:rPr>
              <w:rFonts w:eastAsia="HG Mincho Light J"/>
              <w:b/>
              <w:color w:val="000000"/>
              <w:sz w:val="20"/>
              <w:szCs w:val="20"/>
              <w:lang w:val="bg-BG"/>
            </w:rPr>
          </w:pPr>
          <w:r w:rsidRPr="00144A1F">
            <w:rPr>
              <w:b/>
              <w:iCs/>
              <w:sz w:val="20"/>
              <w:szCs w:val="20"/>
              <w:lang w:val="bg-BG"/>
            </w:rPr>
            <w:t xml:space="preserve">Образец на Списък на проектните предложения, </w:t>
          </w:r>
          <w:r w:rsidR="00F609C8">
            <w:rPr>
              <w:b/>
              <w:iCs/>
              <w:sz w:val="20"/>
              <w:szCs w:val="20"/>
              <w:lang w:val="bg-BG"/>
            </w:rPr>
            <w:t xml:space="preserve"> които не се допускат до техническа и финансова оценка</w:t>
          </w:r>
        </w:p>
      </w:tc>
      <w:tc>
        <w:tcPr>
          <w:tcW w:w="2126" w:type="dxa"/>
          <w:tcBorders>
            <w:left w:val="single" w:sz="1" w:space="0" w:color="000000"/>
            <w:bottom w:val="single" w:sz="1" w:space="0" w:color="000000"/>
            <w:righ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b/>
              <w:sz w:val="20"/>
              <w:szCs w:val="20"/>
              <w:lang w:val="bg-BG"/>
            </w:rPr>
            <w:t xml:space="preserve">страница: </w:t>
          </w:r>
          <w:r w:rsidR="00C438E3" w:rsidRPr="00144A1F">
            <w:rPr>
              <w:rStyle w:val="PageNumber"/>
              <w:sz w:val="20"/>
              <w:szCs w:val="20"/>
              <w:lang w:val="bg-BG"/>
            </w:rPr>
            <w:fldChar w:fldCharType="begin"/>
          </w:r>
          <w:r w:rsidRPr="00144A1F">
            <w:rPr>
              <w:rStyle w:val="PageNumber"/>
              <w:sz w:val="20"/>
              <w:szCs w:val="20"/>
              <w:lang w:val="bg-BG"/>
            </w:rPr>
            <w:instrText xml:space="preserve"> PAGE </w:instrText>
          </w:r>
          <w:r w:rsidR="00C438E3" w:rsidRPr="00144A1F">
            <w:rPr>
              <w:rStyle w:val="PageNumber"/>
              <w:sz w:val="20"/>
              <w:szCs w:val="20"/>
              <w:lang w:val="bg-BG"/>
            </w:rPr>
            <w:fldChar w:fldCharType="separate"/>
          </w:r>
          <w:r w:rsidR="00EB49F1">
            <w:rPr>
              <w:rStyle w:val="PageNumber"/>
              <w:noProof/>
              <w:sz w:val="20"/>
              <w:szCs w:val="20"/>
              <w:lang w:val="bg-BG"/>
            </w:rPr>
            <w:t>1</w:t>
          </w:r>
          <w:r w:rsidR="00C438E3" w:rsidRPr="00144A1F">
            <w:rPr>
              <w:rStyle w:val="PageNumber"/>
              <w:sz w:val="20"/>
              <w:szCs w:val="20"/>
              <w:lang w:val="bg-BG"/>
            </w:rPr>
            <w:fldChar w:fldCharType="end"/>
          </w:r>
          <w:r w:rsidRPr="00144A1F">
            <w:rPr>
              <w:rStyle w:val="PageNumber"/>
              <w:sz w:val="20"/>
              <w:szCs w:val="20"/>
              <w:lang w:val="bg-BG"/>
            </w:rPr>
            <w:t>/</w:t>
          </w:r>
          <w:r w:rsidR="00C438E3" w:rsidRPr="00144A1F">
            <w:rPr>
              <w:rStyle w:val="PageNumber"/>
              <w:sz w:val="20"/>
              <w:szCs w:val="20"/>
              <w:lang w:val="bg-BG"/>
            </w:rPr>
            <w:fldChar w:fldCharType="begin"/>
          </w:r>
          <w:r w:rsidRPr="00144A1F">
            <w:rPr>
              <w:rStyle w:val="PageNumber"/>
              <w:sz w:val="20"/>
              <w:szCs w:val="20"/>
              <w:lang w:val="bg-BG"/>
            </w:rPr>
            <w:instrText xml:space="preserve"> NUMPAGES </w:instrText>
          </w:r>
          <w:r w:rsidR="00C438E3" w:rsidRPr="00144A1F">
            <w:rPr>
              <w:rStyle w:val="PageNumber"/>
              <w:sz w:val="20"/>
              <w:szCs w:val="20"/>
              <w:lang w:val="bg-BG"/>
            </w:rPr>
            <w:fldChar w:fldCharType="separate"/>
          </w:r>
          <w:r w:rsidR="00EB49F1">
            <w:rPr>
              <w:rStyle w:val="PageNumber"/>
              <w:noProof/>
              <w:sz w:val="20"/>
              <w:szCs w:val="20"/>
              <w:lang w:val="bg-BG"/>
            </w:rPr>
            <w:t>14</w:t>
          </w:r>
          <w:r w:rsidR="00C438E3" w:rsidRPr="00144A1F">
            <w:rPr>
              <w:rStyle w:val="PageNumber"/>
              <w:sz w:val="20"/>
              <w:szCs w:val="20"/>
              <w:lang w:val="bg-BG"/>
            </w:rPr>
            <w:fldChar w:fldCharType="end"/>
          </w:r>
        </w:p>
      </w:tc>
    </w:tr>
    <w:tr w:rsidR="00F95F33" w:rsidRPr="00144A1F" w:rsidTr="00CE4556">
      <w:trPr>
        <w:trHeight w:val="516"/>
      </w:trPr>
      <w:tc>
        <w:tcPr>
          <w:tcW w:w="5078" w:type="dxa"/>
          <w:vMerge/>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p>
      </w:tc>
      <w:tc>
        <w:tcPr>
          <w:tcW w:w="7680" w:type="dxa"/>
          <w:gridSpan w:val="2"/>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Одобрен от: Ръководител на Управляващия орган</w:t>
          </w:r>
        </w:p>
      </w:tc>
      <w:tc>
        <w:tcPr>
          <w:tcW w:w="2126" w:type="dxa"/>
          <w:tcBorders>
            <w:left w:val="single" w:sz="1" w:space="0" w:color="000000"/>
            <w:bottom w:val="single" w:sz="4" w:space="0" w:color="auto"/>
            <w:right w:val="single" w:sz="1" w:space="0" w:color="000000"/>
          </w:tcBorders>
          <w:vAlign w:val="center"/>
        </w:tcPr>
        <w:p w:rsidR="00144A1F" w:rsidRPr="00144A1F" w:rsidRDefault="00144A1F"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Дата:</w:t>
          </w:r>
        </w:p>
        <w:p w:rsidR="00F95F33" w:rsidRPr="00144A1F" w:rsidRDefault="00244742" w:rsidP="00A6323E">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Ноември </w:t>
          </w:r>
          <w:r w:rsidR="00006334">
            <w:rPr>
              <w:rFonts w:eastAsia="HG Mincho Light J"/>
              <w:b/>
              <w:color w:val="000000"/>
              <w:sz w:val="20"/>
              <w:szCs w:val="20"/>
              <w:lang w:val="bg-BG"/>
            </w:rPr>
            <w:t>2023</w:t>
          </w:r>
        </w:p>
      </w:tc>
    </w:tr>
    <w:tr w:rsidR="00D4220F" w:rsidRPr="00144A1F" w:rsidTr="00CE4556">
      <w:trPr>
        <w:trHeight w:val="427"/>
      </w:trPr>
      <w:tc>
        <w:tcPr>
          <w:tcW w:w="5078" w:type="dxa"/>
          <w:tcBorders>
            <w:left w:val="single" w:sz="1" w:space="0" w:color="000000"/>
            <w:bottom w:val="single" w:sz="1" w:space="0" w:color="000000"/>
          </w:tcBorders>
          <w:vAlign w:val="center"/>
        </w:tcPr>
        <w:p w:rsidR="00D4220F" w:rsidRPr="00144A1F" w:rsidRDefault="00D4220F" w:rsidP="00144A1F">
          <w:pPr>
            <w:widowControl w:val="0"/>
            <w:suppressLineNumbers/>
            <w:suppressAutoHyphens/>
            <w:jc w:val="center"/>
            <w:rPr>
              <w:rFonts w:eastAsia="HG Mincho Light J"/>
              <w:b/>
              <w:color w:val="000000"/>
              <w:sz w:val="20"/>
              <w:szCs w:val="20"/>
              <w:lang w:val="bg-BG"/>
            </w:rPr>
          </w:pPr>
        </w:p>
      </w:tc>
      <w:tc>
        <w:tcPr>
          <w:tcW w:w="7680" w:type="dxa"/>
          <w:gridSpan w:val="2"/>
          <w:tcBorders>
            <w:left w:val="single" w:sz="1" w:space="0" w:color="000000"/>
            <w:bottom w:val="single" w:sz="1" w:space="0" w:color="000000"/>
            <w:right w:val="single" w:sz="4" w:space="0" w:color="auto"/>
          </w:tcBorders>
          <w:vAlign w:val="center"/>
        </w:tcPr>
        <w:p w:rsidR="00D4220F" w:rsidRPr="00144A1F" w:rsidRDefault="00D4220F" w:rsidP="00144A1F">
          <w:pPr>
            <w:widowControl w:val="0"/>
            <w:suppressLineNumbers/>
            <w:suppressAutoHyphens/>
            <w:jc w:val="center"/>
            <w:rPr>
              <w:rFonts w:eastAsia="HG Mincho Light J"/>
              <w:b/>
              <w:color w:val="000000"/>
              <w:sz w:val="20"/>
              <w:szCs w:val="20"/>
              <w:lang w:val="bg-BG"/>
            </w:rPr>
          </w:pPr>
        </w:p>
      </w:tc>
      <w:tc>
        <w:tcPr>
          <w:tcW w:w="2126" w:type="dxa"/>
          <w:tcBorders>
            <w:top w:val="single" w:sz="4" w:space="0" w:color="auto"/>
            <w:left w:val="single" w:sz="4" w:space="0" w:color="auto"/>
            <w:bottom w:val="single" w:sz="4" w:space="0" w:color="auto"/>
            <w:right w:val="single" w:sz="4" w:space="0" w:color="auto"/>
          </w:tcBorders>
          <w:vAlign w:val="center"/>
        </w:tcPr>
        <w:p w:rsidR="00D4220F" w:rsidRPr="00D4220F" w:rsidRDefault="00D4220F" w:rsidP="00D4220F">
          <w:pPr>
            <w:widowControl w:val="0"/>
            <w:suppressLineNumbers/>
            <w:suppressAutoHyphens/>
            <w:jc w:val="center"/>
            <w:rPr>
              <w:rFonts w:eastAsia="HG Mincho Light J"/>
              <w:b/>
              <w:color w:val="000000"/>
              <w:sz w:val="20"/>
              <w:szCs w:val="20"/>
              <w:lang w:val="bg-BG"/>
            </w:rPr>
          </w:pPr>
          <w:r w:rsidRPr="00D4220F">
            <w:rPr>
              <w:rFonts w:eastAsia="HG Mincho Light J"/>
              <w:b/>
              <w:color w:val="000000"/>
              <w:sz w:val="20"/>
              <w:szCs w:val="20"/>
              <w:lang w:val="bg-BG"/>
            </w:rPr>
            <w:t>Версия:</w:t>
          </w:r>
        </w:p>
        <w:p w:rsidR="00D4220F" w:rsidRPr="00144A1F" w:rsidRDefault="00244742" w:rsidP="00006334">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Ноември </w:t>
          </w:r>
          <w:r w:rsidR="00006334">
            <w:rPr>
              <w:rFonts w:eastAsia="HG Mincho Light J"/>
              <w:b/>
              <w:color w:val="000000"/>
              <w:sz w:val="20"/>
              <w:szCs w:val="20"/>
              <w:lang w:val="bg-BG"/>
            </w:rPr>
            <w:t>2023</w:t>
          </w:r>
        </w:p>
      </w:tc>
    </w:tr>
  </w:tbl>
  <w:p w:rsidR="003F4A60" w:rsidRDefault="003F4A60" w:rsidP="00561E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61908"/>
    <w:multiLevelType w:val="hybridMultilevel"/>
    <w:tmpl w:val="1B60A10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48215BB4"/>
    <w:multiLevelType w:val="hybridMultilevel"/>
    <w:tmpl w:val="52C0DFF6"/>
    <w:lvl w:ilvl="0" w:tplc="681C8144">
      <w:start w:val="1"/>
      <w:numFmt w:val="decimal"/>
      <w:lvlText w:val="%1."/>
      <w:lvlJc w:val="left"/>
      <w:pPr>
        <w:ind w:left="720" w:hanging="360"/>
      </w:pPr>
      <w:rPr>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1021D9"/>
    <w:multiLevelType w:val="hybridMultilevel"/>
    <w:tmpl w:val="51FEF1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60EC02C2"/>
    <w:multiLevelType w:val="hybridMultilevel"/>
    <w:tmpl w:val="E32A5F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0F1"/>
    <w:rsid w:val="00002EA4"/>
    <w:rsid w:val="00006334"/>
    <w:rsid w:val="00011405"/>
    <w:rsid w:val="000129B7"/>
    <w:rsid w:val="00025790"/>
    <w:rsid w:val="000608C3"/>
    <w:rsid w:val="00091A0B"/>
    <w:rsid w:val="00093853"/>
    <w:rsid w:val="000955C9"/>
    <w:rsid w:val="000A2ECA"/>
    <w:rsid w:val="000B4F0D"/>
    <w:rsid w:val="000D7ED9"/>
    <w:rsid w:val="000E5E0B"/>
    <w:rsid w:val="000F2441"/>
    <w:rsid w:val="001047BE"/>
    <w:rsid w:val="00111412"/>
    <w:rsid w:val="00116458"/>
    <w:rsid w:val="001245DD"/>
    <w:rsid w:val="00144A1F"/>
    <w:rsid w:val="00154D9A"/>
    <w:rsid w:val="00173702"/>
    <w:rsid w:val="00193A7A"/>
    <w:rsid w:val="001959F7"/>
    <w:rsid w:val="001A7DD9"/>
    <w:rsid w:val="001B4A73"/>
    <w:rsid w:val="001C0B6A"/>
    <w:rsid w:val="001C3BE2"/>
    <w:rsid w:val="001D7924"/>
    <w:rsid w:val="001F0DA3"/>
    <w:rsid w:val="00244742"/>
    <w:rsid w:val="0024716F"/>
    <w:rsid w:val="00252824"/>
    <w:rsid w:val="00267933"/>
    <w:rsid w:val="00273151"/>
    <w:rsid w:val="00274FD3"/>
    <w:rsid w:val="002765CC"/>
    <w:rsid w:val="0028464A"/>
    <w:rsid w:val="0029326B"/>
    <w:rsid w:val="002D11EA"/>
    <w:rsid w:val="002D157D"/>
    <w:rsid w:val="002E4382"/>
    <w:rsid w:val="002F75E1"/>
    <w:rsid w:val="00311A88"/>
    <w:rsid w:val="003213FB"/>
    <w:rsid w:val="00331586"/>
    <w:rsid w:val="00335DE0"/>
    <w:rsid w:val="00347D47"/>
    <w:rsid w:val="00364692"/>
    <w:rsid w:val="00376A60"/>
    <w:rsid w:val="003805D6"/>
    <w:rsid w:val="003941DC"/>
    <w:rsid w:val="003A624D"/>
    <w:rsid w:val="003B27AC"/>
    <w:rsid w:val="003B5A55"/>
    <w:rsid w:val="003B5F2E"/>
    <w:rsid w:val="003C6C1D"/>
    <w:rsid w:val="003E0D49"/>
    <w:rsid w:val="003E2D2E"/>
    <w:rsid w:val="003F4A60"/>
    <w:rsid w:val="003F7B45"/>
    <w:rsid w:val="00411D7A"/>
    <w:rsid w:val="004322ED"/>
    <w:rsid w:val="00444D18"/>
    <w:rsid w:val="004953B3"/>
    <w:rsid w:val="00497E1B"/>
    <w:rsid w:val="004A41E4"/>
    <w:rsid w:val="004A7303"/>
    <w:rsid w:val="004C574A"/>
    <w:rsid w:val="004E121F"/>
    <w:rsid w:val="004E4CA9"/>
    <w:rsid w:val="004F3330"/>
    <w:rsid w:val="004F42DA"/>
    <w:rsid w:val="004F5C87"/>
    <w:rsid w:val="005253D1"/>
    <w:rsid w:val="00545706"/>
    <w:rsid w:val="00561E4F"/>
    <w:rsid w:val="00586F61"/>
    <w:rsid w:val="005912C0"/>
    <w:rsid w:val="00592769"/>
    <w:rsid w:val="005A17D3"/>
    <w:rsid w:val="005A6A46"/>
    <w:rsid w:val="005C2D40"/>
    <w:rsid w:val="005C6F96"/>
    <w:rsid w:val="005D0C34"/>
    <w:rsid w:val="005D29B2"/>
    <w:rsid w:val="005D311A"/>
    <w:rsid w:val="005D6211"/>
    <w:rsid w:val="005D7EDC"/>
    <w:rsid w:val="005E52BD"/>
    <w:rsid w:val="005E678C"/>
    <w:rsid w:val="005F28CE"/>
    <w:rsid w:val="005F44E0"/>
    <w:rsid w:val="005F5ADF"/>
    <w:rsid w:val="00614F78"/>
    <w:rsid w:val="006439D5"/>
    <w:rsid w:val="0065252C"/>
    <w:rsid w:val="00654495"/>
    <w:rsid w:val="0068349E"/>
    <w:rsid w:val="00685D9D"/>
    <w:rsid w:val="006B2ABC"/>
    <w:rsid w:val="006B4949"/>
    <w:rsid w:val="006C23EE"/>
    <w:rsid w:val="00704F48"/>
    <w:rsid w:val="0071717D"/>
    <w:rsid w:val="007315F2"/>
    <w:rsid w:val="00775769"/>
    <w:rsid w:val="00795A09"/>
    <w:rsid w:val="007977DE"/>
    <w:rsid w:val="007A1130"/>
    <w:rsid w:val="007A1946"/>
    <w:rsid w:val="007A2856"/>
    <w:rsid w:val="007D1E30"/>
    <w:rsid w:val="007F1E26"/>
    <w:rsid w:val="00830920"/>
    <w:rsid w:val="008445E2"/>
    <w:rsid w:val="00845433"/>
    <w:rsid w:val="00861D8E"/>
    <w:rsid w:val="008651D9"/>
    <w:rsid w:val="00877A5F"/>
    <w:rsid w:val="00886106"/>
    <w:rsid w:val="0088738B"/>
    <w:rsid w:val="008B15BD"/>
    <w:rsid w:val="008D0692"/>
    <w:rsid w:val="008E150A"/>
    <w:rsid w:val="008E1661"/>
    <w:rsid w:val="008E1BBB"/>
    <w:rsid w:val="0090223F"/>
    <w:rsid w:val="009054CD"/>
    <w:rsid w:val="00932C29"/>
    <w:rsid w:val="0095005A"/>
    <w:rsid w:val="00954F89"/>
    <w:rsid w:val="00955C51"/>
    <w:rsid w:val="00960B4D"/>
    <w:rsid w:val="00963DF6"/>
    <w:rsid w:val="00970769"/>
    <w:rsid w:val="00980B41"/>
    <w:rsid w:val="00982377"/>
    <w:rsid w:val="00990BBA"/>
    <w:rsid w:val="00992D76"/>
    <w:rsid w:val="009A06E8"/>
    <w:rsid w:val="009A530C"/>
    <w:rsid w:val="009B26E1"/>
    <w:rsid w:val="009B334E"/>
    <w:rsid w:val="009C17FF"/>
    <w:rsid w:val="009D5B0E"/>
    <w:rsid w:val="009D7E36"/>
    <w:rsid w:val="009E1864"/>
    <w:rsid w:val="009E4C13"/>
    <w:rsid w:val="009F7AFB"/>
    <w:rsid w:val="00A15B65"/>
    <w:rsid w:val="00A25AE5"/>
    <w:rsid w:val="00A33334"/>
    <w:rsid w:val="00A339F3"/>
    <w:rsid w:val="00A40AC5"/>
    <w:rsid w:val="00A44549"/>
    <w:rsid w:val="00A6323E"/>
    <w:rsid w:val="00A6428E"/>
    <w:rsid w:val="00A70381"/>
    <w:rsid w:val="00A70F60"/>
    <w:rsid w:val="00A80ED9"/>
    <w:rsid w:val="00A940B8"/>
    <w:rsid w:val="00AA0DE1"/>
    <w:rsid w:val="00AC2ACC"/>
    <w:rsid w:val="00AC460E"/>
    <w:rsid w:val="00AC78E1"/>
    <w:rsid w:val="00AD048E"/>
    <w:rsid w:val="00AD3526"/>
    <w:rsid w:val="00AF5684"/>
    <w:rsid w:val="00B03339"/>
    <w:rsid w:val="00B208BE"/>
    <w:rsid w:val="00B25BD5"/>
    <w:rsid w:val="00B31E34"/>
    <w:rsid w:val="00B43EF2"/>
    <w:rsid w:val="00B45BDD"/>
    <w:rsid w:val="00B46079"/>
    <w:rsid w:val="00B5142E"/>
    <w:rsid w:val="00B776C7"/>
    <w:rsid w:val="00BB2C87"/>
    <w:rsid w:val="00BB5A62"/>
    <w:rsid w:val="00BD146C"/>
    <w:rsid w:val="00BE019F"/>
    <w:rsid w:val="00BE3CC1"/>
    <w:rsid w:val="00C21491"/>
    <w:rsid w:val="00C21CB8"/>
    <w:rsid w:val="00C36EA9"/>
    <w:rsid w:val="00C438E3"/>
    <w:rsid w:val="00C565C8"/>
    <w:rsid w:val="00C674EA"/>
    <w:rsid w:val="00C740F1"/>
    <w:rsid w:val="00CC762D"/>
    <w:rsid w:val="00CD5FF4"/>
    <w:rsid w:val="00CE4556"/>
    <w:rsid w:val="00CF7E34"/>
    <w:rsid w:val="00D1516E"/>
    <w:rsid w:val="00D215E9"/>
    <w:rsid w:val="00D34D64"/>
    <w:rsid w:val="00D4220F"/>
    <w:rsid w:val="00D42CDF"/>
    <w:rsid w:val="00D51D24"/>
    <w:rsid w:val="00D73123"/>
    <w:rsid w:val="00D874BF"/>
    <w:rsid w:val="00D97F8A"/>
    <w:rsid w:val="00DA1A24"/>
    <w:rsid w:val="00DF5945"/>
    <w:rsid w:val="00E071FD"/>
    <w:rsid w:val="00E14840"/>
    <w:rsid w:val="00E14F0B"/>
    <w:rsid w:val="00E639FE"/>
    <w:rsid w:val="00E700E3"/>
    <w:rsid w:val="00E74142"/>
    <w:rsid w:val="00E7591F"/>
    <w:rsid w:val="00E76FC7"/>
    <w:rsid w:val="00E8791C"/>
    <w:rsid w:val="00E97664"/>
    <w:rsid w:val="00EA04AD"/>
    <w:rsid w:val="00EA416D"/>
    <w:rsid w:val="00EB135C"/>
    <w:rsid w:val="00EB1B37"/>
    <w:rsid w:val="00EB286A"/>
    <w:rsid w:val="00EB49F1"/>
    <w:rsid w:val="00EC3306"/>
    <w:rsid w:val="00EC46AC"/>
    <w:rsid w:val="00F03EDF"/>
    <w:rsid w:val="00F1198E"/>
    <w:rsid w:val="00F16FD2"/>
    <w:rsid w:val="00F21616"/>
    <w:rsid w:val="00F55D58"/>
    <w:rsid w:val="00F609C8"/>
    <w:rsid w:val="00F62177"/>
    <w:rsid w:val="00F8225D"/>
    <w:rsid w:val="00F824A8"/>
    <w:rsid w:val="00F95F33"/>
    <w:rsid w:val="00FA66FF"/>
    <w:rsid w:val="00FA70DD"/>
    <w:rsid w:val="00FB10E4"/>
    <w:rsid w:val="00FC20F7"/>
    <w:rsid w:val="00FD3D91"/>
    <w:rsid w:val="00FD746D"/>
    <w:rsid w:val="00FE3779"/>
    <w:rsid w:val="00FE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A8BB2F"/>
  <w15:docId w15:val="{A1D40D06-EC84-4975-B7E6-503648657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A46"/>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1CharCharCharCharCharCharCharCharCharCharCharCharCharCharCharChar">
    <w:name w:val="Char Char1 Char Char Char Char Char Char Char Char Char Char Char Char Char Char Char Char"/>
    <w:basedOn w:val="Normal"/>
    <w:rsid w:val="005A6A46"/>
    <w:pPr>
      <w:tabs>
        <w:tab w:val="left" w:pos="709"/>
      </w:tabs>
      <w:spacing w:before="120" w:after="120"/>
      <w:ind w:left="360"/>
      <w:jc w:val="center"/>
    </w:pPr>
    <w:rPr>
      <w:rFonts w:ascii="Tahoma" w:hAnsi="Tahoma"/>
      <w:b/>
      <w:bCs/>
      <w:szCs w:val="28"/>
      <w:lang w:val="pl-PL" w:eastAsia="pl-PL"/>
    </w:rPr>
  </w:style>
  <w:style w:type="paragraph" w:customStyle="1" w:styleId="TableContents">
    <w:name w:val="Table Contents"/>
    <w:basedOn w:val="BodyText"/>
    <w:rsid w:val="005A6A46"/>
    <w:pPr>
      <w:widowControl w:val="0"/>
      <w:suppressLineNumbers/>
      <w:suppressAutoHyphens/>
      <w:spacing w:before="100" w:beforeAutospacing="1" w:after="100" w:afterAutospacing="1"/>
    </w:pPr>
    <w:rPr>
      <w:rFonts w:eastAsia="HG Mincho Light J"/>
      <w:color w:val="000000"/>
      <w:lang w:val="en-US" w:eastAsia="bg-BG"/>
    </w:rPr>
  </w:style>
  <w:style w:type="paragraph" w:customStyle="1" w:styleId="Index">
    <w:name w:val="Index"/>
    <w:basedOn w:val="Normal"/>
    <w:rsid w:val="005A6A46"/>
    <w:pPr>
      <w:widowControl w:val="0"/>
      <w:suppressLineNumbers/>
      <w:suppressAutoHyphens/>
      <w:spacing w:before="100" w:beforeAutospacing="1" w:after="100" w:afterAutospacing="1"/>
    </w:pPr>
    <w:rPr>
      <w:rFonts w:eastAsia="HG Mincho Light J"/>
      <w:color w:val="000000"/>
      <w:lang w:val="en-US" w:eastAsia="bg-BG"/>
    </w:rPr>
  </w:style>
  <w:style w:type="paragraph" w:styleId="BodyText">
    <w:name w:val="Body Text"/>
    <w:basedOn w:val="Normal"/>
    <w:rsid w:val="005A6A46"/>
    <w:pPr>
      <w:spacing w:after="120"/>
    </w:pPr>
  </w:style>
  <w:style w:type="paragraph" w:styleId="BalloonText">
    <w:name w:val="Balloon Text"/>
    <w:basedOn w:val="Normal"/>
    <w:semiHidden/>
    <w:rsid w:val="00A940B8"/>
    <w:rPr>
      <w:rFonts w:ascii="Tahoma" w:hAnsi="Tahoma" w:cs="Tahoma"/>
      <w:sz w:val="16"/>
      <w:szCs w:val="16"/>
    </w:rPr>
  </w:style>
  <w:style w:type="table" w:styleId="TableGrid">
    <w:name w:val="Table Grid"/>
    <w:basedOn w:val="TableNormal"/>
    <w:rsid w:val="00091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C574A"/>
    <w:rPr>
      <w:sz w:val="16"/>
      <w:szCs w:val="16"/>
    </w:rPr>
  </w:style>
  <w:style w:type="paragraph" w:styleId="CommentText">
    <w:name w:val="annotation text"/>
    <w:basedOn w:val="Normal"/>
    <w:semiHidden/>
    <w:rsid w:val="004C574A"/>
    <w:rPr>
      <w:sz w:val="20"/>
      <w:szCs w:val="20"/>
    </w:rPr>
  </w:style>
  <w:style w:type="paragraph" w:styleId="CommentSubject">
    <w:name w:val="annotation subject"/>
    <w:basedOn w:val="CommentText"/>
    <w:next w:val="CommentText"/>
    <w:semiHidden/>
    <w:rsid w:val="004C574A"/>
    <w:rPr>
      <w:b/>
      <w:bCs/>
    </w:rPr>
  </w:style>
  <w:style w:type="paragraph" w:styleId="Header">
    <w:name w:val="header"/>
    <w:basedOn w:val="Normal"/>
    <w:rsid w:val="00561E4F"/>
    <w:pPr>
      <w:tabs>
        <w:tab w:val="center" w:pos="4536"/>
        <w:tab w:val="right" w:pos="9072"/>
      </w:tabs>
    </w:pPr>
  </w:style>
  <w:style w:type="paragraph" w:styleId="Footer">
    <w:name w:val="footer"/>
    <w:basedOn w:val="Normal"/>
    <w:link w:val="FooterChar"/>
    <w:uiPriority w:val="99"/>
    <w:rsid w:val="00561E4F"/>
    <w:pPr>
      <w:tabs>
        <w:tab w:val="center" w:pos="4536"/>
        <w:tab w:val="right" w:pos="9072"/>
      </w:tabs>
    </w:pPr>
  </w:style>
  <w:style w:type="character" w:styleId="PageNumber">
    <w:name w:val="page number"/>
    <w:basedOn w:val="DefaultParagraphFont"/>
    <w:rsid w:val="00561E4F"/>
  </w:style>
  <w:style w:type="paragraph" w:customStyle="1" w:styleId="Char">
    <w:name w:val="Char"/>
    <w:basedOn w:val="Normal"/>
    <w:rsid w:val="00561E4F"/>
    <w:pPr>
      <w:tabs>
        <w:tab w:val="left" w:pos="709"/>
      </w:tabs>
    </w:pPr>
    <w:rPr>
      <w:rFonts w:ascii="Tahoma" w:hAnsi="Tahoma"/>
      <w:lang w:val="pl-PL" w:eastAsia="pl-PL"/>
    </w:rPr>
  </w:style>
  <w:style w:type="paragraph" w:styleId="BodyTextIndent">
    <w:name w:val="Body Text Indent"/>
    <w:basedOn w:val="Normal"/>
    <w:link w:val="BodyTextIndentChar"/>
    <w:semiHidden/>
    <w:unhideWhenUsed/>
    <w:rsid w:val="00D97F8A"/>
    <w:pPr>
      <w:spacing w:after="120"/>
      <w:ind w:left="283"/>
    </w:pPr>
  </w:style>
  <w:style w:type="character" w:customStyle="1" w:styleId="BodyTextIndentChar">
    <w:name w:val="Body Text Indent Char"/>
    <w:basedOn w:val="DefaultParagraphFont"/>
    <w:link w:val="BodyTextIndent"/>
    <w:semiHidden/>
    <w:rsid w:val="00D97F8A"/>
    <w:rPr>
      <w:sz w:val="24"/>
      <w:szCs w:val="24"/>
      <w:lang w:val="en-GB"/>
    </w:rPr>
  </w:style>
  <w:style w:type="paragraph" w:styleId="ListParagraph">
    <w:name w:val="List Paragraph"/>
    <w:aliases w:val="List Paragraph1,List1,List Paragraph11,List Paragraph111"/>
    <w:basedOn w:val="Normal"/>
    <w:link w:val="ListParagraphChar"/>
    <w:uiPriority w:val="34"/>
    <w:qFormat/>
    <w:rsid w:val="00D97F8A"/>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C21CB8"/>
    <w:rPr>
      <w:sz w:val="24"/>
      <w:szCs w:val="24"/>
      <w:lang w:val="en-GB"/>
    </w:rPr>
  </w:style>
  <w:style w:type="paragraph" w:styleId="BodyTextIndent2">
    <w:name w:val="Body Text Indent 2"/>
    <w:basedOn w:val="Normal"/>
    <w:link w:val="BodyTextIndent2Char"/>
    <w:semiHidden/>
    <w:unhideWhenUsed/>
    <w:rsid w:val="005F5ADF"/>
    <w:pPr>
      <w:spacing w:after="120" w:line="480" w:lineRule="auto"/>
      <w:ind w:left="283"/>
    </w:pPr>
  </w:style>
  <w:style w:type="character" w:customStyle="1" w:styleId="BodyTextIndent2Char">
    <w:name w:val="Body Text Indent 2 Char"/>
    <w:basedOn w:val="DefaultParagraphFont"/>
    <w:link w:val="BodyTextIndent2"/>
    <w:semiHidden/>
    <w:rsid w:val="005F5ADF"/>
    <w:rPr>
      <w:sz w:val="24"/>
      <w:szCs w:val="24"/>
      <w:lang w:val="en-GB"/>
    </w:rPr>
  </w:style>
  <w:style w:type="character" w:customStyle="1" w:styleId="ListParagraphChar">
    <w:name w:val="List Paragraph Char"/>
    <w:aliases w:val="List Paragraph1 Char,List1 Char,List Paragraph11 Char,List Paragraph111 Char"/>
    <w:link w:val="ListParagraph"/>
    <w:uiPriority w:val="34"/>
    <w:locked/>
    <w:rsid w:val="007977DE"/>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457640">
      <w:bodyDiv w:val="1"/>
      <w:marLeft w:val="0"/>
      <w:marRight w:val="0"/>
      <w:marTop w:val="0"/>
      <w:marBottom w:val="0"/>
      <w:divBdr>
        <w:top w:val="none" w:sz="0" w:space="0" w:color="auto"/>
        <w:left w:val="none" w:sz="0" w:space="0" w:color="auto"/>
        <w:bottom w:val="none" w:sz="0" w:space="0" w:color="auto"/>
        <w:right w:val="none" w:sz="0" w:space="0" w:color="auto"/>
      </w:divBdr>
      <w:divsChild>
        <w:div w:id="402800124">
          <w:marLeft w:val="0"/>
          <w:marRight w:val="0"/>
          <w:marTop w:val="0"/>
          <w:marBottom w:val="75"/>
          <w:divBdr>
            <w:top w:val="none" w:sz="0" w:space="0" w:color="auto"/>
            <w:left w:val="none" w:sz="0" w:space="0" w:color="auto"/>
            <w:bottom w:val="none" w:sz="0" w:space="0" w:color="auto"/>
            <w:right w:val="none" w:sz="0" w:space="0" w:color="auto"/>
          </w:divBdr>
        </w:div>
      </w:divsChild>
    </w:div>
    <w:div w:id="685407219">
      <w:bodyDiv w:val="1"/>
      <w:marLeft w:val="0"/>
      <w:marRight w:val="0"/>
      <w:marTop w:val="0"/>
      <w:marBottom w:val="0"/>
      <w:divBdr>
        <w:top w:val="none" w:sz="0" w:space="0" w:color="auto"/>
        <w:left w:val="none" w:sz="0" w:space="0" w:color="auto"/>
        <w:bottom w:val="none" w:sz="0" w:space="0" w:color="auto"/>
        <w:right w:val="none" w:sz="0" w:space="0" w:color="auto"/>
      </w:divBdr>
    </w:div>
    <w:div w:id="1368599717">
      <w:bodyDiv w:val="1"/>
      <w:marLeft w:val="0"/>
      <w:marRight w:val="0"/>
      <w:marTop w:val="0"/>
      <w:marBottom w:val="0"/>
      <w:divBdr>
        <w:top w:val="none" w:sz="0" w:space="0" w:color="auto"/>
        <w:left w:val="none" w:sz="0" w:space="0" w:color="auto"/>
        <w:bottom w:val="none" w:sz="0" w:space="0" w:color="auto"/>
        <w:right w:val="none" w:sz="0" w:space="0" w:color="auto"/>
      </w:divBdr>
      <w:divsChild>
        <w:div w:id="1493329919">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FEE3F-9DBA-4ABD-A07D-C88D63905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2284</Words>
  <Characters>13025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MEE</Company>
  <LinksUpToDate>false</LinksUpToDate>
  <CharactersWithSpaces>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cp:lastModifiedBy>Mariana Halacheva</cp:lastModifiedBy>
  <cp:revision>24</cp:revision>
  <cp:lastPrinted>2016-12-14T14:51:00Z</cp:lastPrinted>
  <dcterms:created xsi:type="dcterms:W3CDTF">2026-05-22T08:44:00Z</dcterms:created>
  <dcterms:modified xsi:type="dcterms:W3CDTF">2026-05-22T10:45:00Z</dcterms:modified>
</cp:coreProperties>
</file>