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EB0F2" w14:textId="77777777" w:rsidR="00B34BEE" w:rsidRDefault="00B34BEE"/>
    <w:p w14:paraId="4A270224" w14:textId="77777777" w:rsidR="00DE7EF0" w:rsidRPr="00E80C72" w:rsidRDefault="00DE7EF0" w:rsidP="00DE7EF0">
      <w:pPr>
        <w:spacing w:before="120" w:after="120" w:line="240" w:lineRule="auto"/>
        <w:ind w:left="7371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Приложение № 3</w:t>
      </w:r>
    </w:p>
    <w:p w14:paraId="5589EAD4" w14:textId="0B948D8D" w:rsidR="00DE7EF0" w:rsidRPr="00E80C72" w:rsidRDefault="00DE7EF0" w:rsidP="00DE7EF0">
      <w:pPr>
        <w:spacing w:before="120" w:after="120" w:line="240" w:lineRule="auto"/>
        <w:ind w:left="7371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към заповед</w:t>
      </w:r>
      <w:r w:rsidR="0082122B" w:rsidRPr="00E80C72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F0588C" w:rsidRPr="00F0588C">
        <w:rPr>
          <w:rFonts w:ascii="Times New Roman" w:hAnsi="Times New Roman" w:cs="Times New Roman"/>
          <w:b/>
          <w:sz w:val="24"/>
          <w:szCs w:val="24"/>
        </w:rPr>
        <w:t>МДР-ПП-09-43/02.07.2026 г.</w:t>
      </w:r>
      <w:bookmarkStart w:id="0" w:name="_GoBack"/>
      <w:bookmarkEnd w:id="0"/>
    </w:p>
    <w:p w14:paraId="2702B95C" w14:textId="77777777" w:rsidR="000C3859" w:rsidRPr="00E80C72" w:rsidRDefault="000C3859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8DB8F1" w14:textId="77777777" w:rsidR="00DE7EF0" w:rsidRPr="00E80C72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МИНИСТЕРСТВО НА ЗЕМЕДЕЛИЕТО И ХРАНИТЕ</w:t>
      </w:r>
    </w:p>
    <w:p w14:paraId="0DFCCA13" w14:textId="77777777" w:rsidR="00A75320" w:rsidRPr="00E80C72" w:rsidRDefault="00A7532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E0EA2F" w14:textId="77777777" w:rsidR="000C3859" w:rsidRPr="00E80C72" w:rsidRDefault="000C3859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84D828" w14:textId="77777777" w:rsidR="00DE7EF0" w:rsidRPr="00E80C72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О Б Я В А</w:t>
      </w:r>
    </w:p>
    <w:p w14:paraId="53652A28" w14:textId="77777777" w:rsidR="00DE7EF0" w:rsidRPr="00E80C72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за открита процедура чрез подбор на проекти</w:t>
      </w:r>
    </w:p>
    <w:p w14:paraId="6B0F2023" w14:textId="77777777" w:rsidR="000C3859" w:rsidRPr="00E80C72" w:rsidRDefault="000C3859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0D63A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Дирекция „Морско дело и рибарство“ – Управляващ орган на Програмата за морско дело, рибарство и аквакултури 2021-2027</w:t>
      </w:r>
      <w:r w:rsidR="008A42B3" w:rsidRPr="00E80C72">
        <w:rPr>
          <w:rFonts w:ascii="Times New Roman" w:hAnsi="Times New Roman" w:cs="Times New Roman"/>
          <w:sz w:val="24"/>
          <w:szCs w:val="24"/>
        </w:rPr>
        <w:t xml:space="preserve"> (ПМДРА)</w:t>
      </w:r>
      <w:r w:rsidRPr="00E80C72">
        <w:rPr>
          <w:rFonts w:ascii="Times New Roman" w:hAnsi="Times New Roman" w:cs="Times New Roman"/>
          <w:sz w:val="24"/>
          <w:szCs w:val="24"/>
        </w:rPr>
        <w:t xml:space="preserve"> кани желаещите да представят проектни предложения по Приоритет: 2 „Насърчаване на устойчиви дейности в областта на аквакултурите, преработката и предлагането на пазара на продукти от риболов и аквакултури“, като по този начин допринася за продоволствената сигурност в Съюза, като</w:t>
      </w:r>
    </w:p>
    <w:p w14:paraId="3E373E1F" w14:textId="77777777" w:rsidR="00DE7EF0" w:rsidRPr="00E80C72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ОБЯВЯВА</w:t>
      </w:r>
    </w:p>
    <w:p w14:paraId="6856F6F0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процедура чрез подбор на проекти BG14MFPR001-</w:t>
      </w:r>
      <w:r w:rsidR="00E80C72" w:rsidRPr="00E80C72">
        <w:rPr>
          <w:rFonts w:ascii="Times New Roman" w:hAnsi="Times New Roman" w:cs="Times New Roman"/>
          <w:b/>
          <w:sz w:val="24"/>
          <w:szCs w:val="24"/>
        </w:rPr>
        <w:t>2.009</w:t>
      </w:r>
      <w:r w:rsidRPr="00E80C72">
        <w:rPr>
          <w:rFonts w:ascii="Times New Roman" w:hAnsi="Times New Roman" w:cs="Times New Roman"/>
          <w:b/>
          <w:sz w:val="24"/>
          <w:szCs w:val="24"/>
        </w:rPr>
        <w:t xml:space="preserve"> „Продуктивни инвестиции и иновации в аквакултурите“, вид дейност 2.1.1. „Продуктивни инвестиции и иновации в аквакултурите”</w:t>
      </w:r>
    </w:p>
    <w:p w14:paraId="6B4C408F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Основната цел на процедурата</w:t>
      </w:r>
    </w:p>
    <w:p w14:paraId="675592F3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Изпълнението на дейностите </w:t>
      </w:r>
      <w:r w:rsidR="003559F9" w:rsidRPr="00E80C72">
        <w:rPr>
          <w:rFonts w:ascii="Times New Roman" w:hAnsi="Times New Roman" w:cs="Times New Roman"/>
          <w:sz w:val="24"/>
          <w:szCs w:val="24"/>
        </w:rPr>
        <w:t xml:space="preserve">по </w:t>
      </w:r>
      <w:r w:rsidRPr="00E80C72">
        <w:rPr>
          <w:rFonts w:ascii="Times New Roman" w:hAnsi="Times New Roman" w:cs="Times New Roman"/>
          <w:sz w:val="24"/>
          <w:szCs w:val="24"/>
        </w:rPr>
        <w:t>настоящата процедура ще допринесе за постигане на специфичната цел: 2.1 „Насърчаване на устойчивите дейности, свързани с аквакултурите, по-специално чрез укрепване на  конкурентоспособността на производството на аквакултури, като същевременно се гарантира, че дейностите са екологично устойчиви в дългосрочен план“ от Приоритет: 2. „Насърчаване на устойчиви дейности в областта на аквакултурите, преработката и предлагането на пазара на продукти от риболов и аквакултури, като по този начин допринася за продоволствената сигурност в Съюза“.</w:t>
      </w:r>
    </w:p>
    <w:p w14:paraId="58F36EC9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Чрез прилагането на дейност „Продуктивни инвестиции и иновации в аквакултурите“ се цели подобряване на конкурентоспособността и жизнеспособността на предприятията в сектора на аквакултурите.</w:t>
      </w:r>
    </w:p>
    <w:p w14:paraId="0DEDEE30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Приложими режими на държавни/минимални помощи</w:t>
      </w:r>
    </w:p>
    <w:p w14:paraId="7BD760C1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Подпомагането по настоящата процедура не представлява държавна помощ.</w:t>
      </w:r>
    </w:p>
    <w:p w14:paraId="10A7CA98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В </w:t>
      </w:r>
      <w:r w:rsidR="003559F9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 xml:space="preserve">10, параграф 1 от Регламент (ЕС) 2021/1139 </w:t>
      </w:r>
      <w:r w:rsidR="003559F9" w:rsidRPr="00E80C72">
        <w:rPr>
          <w:rFonts w:ascii="Times New Roman" w:hAnsi="Times New Roman" w:cs="Times New Roman"/>
          <w:sz w:val="24"/>
          <w:szCs w:val="24"/>
        </w:rPr>
        <w:t xml:space="preserve">на Европейския парламент и на Съвета от 7 юли 2021 година за създаване на Европейския фонд за морско дело, рибарство и аквакултури и за изменение на Регламент (ЕС) 2017/1004 (Регламент (ЕС) 2021/1139) </w:t>
      </w:r>
      <w:r w:rsidRPr="00E80C72">
        <w:rPr>
          <w:rFonts w:ascii="Times New Roman" w:hAnsi="Times New Roman" w:cs="Times New Roman"/>
          <w:sz w:val="24"/>
          <w:szCs w:val="24"/>
        </w:rPr>
        <w:t xml:space="preserve">се посочва, че членове 107, 108 и 109 от ДФЕС се прилагат спрямо помощи, предоставени от държавите членки на предприятия от сектора на рибарството и аквакултурите. </w:t>
      </w:r>
    </w:p>
    <w:p w14:paraId="1013F413" w14:textId="77777777" w:rsidR="00DE7EF0" w:rsidRPr="00E80C72" w:rsidRDefault="00DE7EF0" w:rsidP="00D308E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="003559F9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 xml:space="preserve">10, параграф 2 от Регламент (ЕС) 2021/1139 обаче се предвижда изключение от това общо правило, съгласно което членове 107, 108 и 109 от ДФЕС не се прилагат за плащания, извършени от държавите членки съгласно Регламент (ЕС) 2021/1139 и попадащи в приложното поле на </w:t>
      </w:r>
      <w:r w:rsidR="00D308E6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 xml:space="preserve">42 от </w:t>
      </w:r>
      <w:r w:rsidR="00D308E6" w:rsidRPr="00E80C72">
        <w:rPr>
          <w:rFonts w:ascii="Times New Roman" w:hAnsi="Times New Roman" w:cs="Times New Roman"/>
          <w:sz w:val="24"/>
          <w:szCs w:val="24"/>
        </w:rPr>
        <w:t>Договора за функционирането на Европейския съюз (</w:t>
      </w:r>
      <w:r w:rsidRPr="00E80C72">
        <w:rPr>
          <w:rFonts w:ascii="Times New Roman" w:hAnsi="Times New Roman" w:cs="Times New Roman"/>
          <w:sz w:val="24"/>
          <w:szCs w:val="24"/>
        </w:rPr>
        <w:t>ДФЕС</w:t>
      </w:r>
      <w:r w:rsidR="00D308E6" w:rsidRPr="00E80C72">
        <w:rPr>
          <w:rFonts w:ascii="Times New Roman" w:hAnsi="Times New Roman" w:cs="Times New Roman"/>
          <w:sz w:val="24"/>
          <w:szCs w:val="24"/>
        </w:rPr>
        <w:t>)</w:t>
      </w:r>
      <w:r w:rsidRPr="00E80C72">
        <w:rPr>
          <w:rFonts w:ascii="Times New Roman" w:hAnsi="Times New Roman" w:cs="Times New Roman"/>
          <w:sz w:val="24"/>
          <w:szCs w:val="24"/>
        </w:rPr>
        <w:t xml:space="preserve">. Съгласно </w:t>
      </w:r>
      <w:r w:rsidR="00D308E6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 xml:space="preserve">10, параграф 3 от </w:t>
      </w:r>
      <w:r w:rsidR="00D308E6" w:rsidRPr="00E80C72">
        <w:rPr>
          <w:rFonts w:ascii="Times New Roman" w:hAnsi="Times New Roman" w:cs="Times New Roman"/>
          <w:sz w:val="24"/>
          <w:szCs w:val="24"/>
        </w:rPr>
        <w:t>същия регламент</w:t>
      </w:r>
      <w:r w:rsidRPr="00E80C72">
        <w:rPr>
          <w:rFonts w:ascii="Times New Roman" w:hAnsi="Times New Roman" w:cs="Times New Roman"/>
          <w:sz w:val="24"/>
          <w:szCs w:val="24"/>
        </w:rPr>
        <w:t xml:space="preserve"> членове 107, 108 и 109 от ДФЕС се прилагат, ако в националните разпоредби се предвижда публично финансиране по отношение на сектора на рибарството и аквакултурите, което надхвърля разпоредбите на Регламент (ЕС) 2021/1139. В този случай правилата за държавна помощ се прилагат по отношение на това публично финансиране като цяло.</w:t>
      </w:r>
    </w:p>
    <w:p w14:paraId="688741FC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Поради това правилата за държавна помощ се прилагат в рамките на Регламента на  ЕФМДРА за: </w:t>
      </w:r>
    </w:p>
    <w:p w14:paraId="27FB4C85" w14:textId="77777777" w:rsidR="00DE7EF0" w:rsidRPr="00E80C72" w:rsidRDefault="00DE7EF0" w:rsidP="00DE7EF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- всяко публично финансиране, което надхвърля разпоредбите </w:t>
      </w:r>
      <w:r w:rsidR="00A75320" w:rsidRPr="00E80C72">
        <w:rPr>
          <w:rFonts w:ascii="Times New Roman" w:hAnsi="Times New Roman" w:cs="Times New Roman"/>
          <w:sz w:val="24"/>
          <w:szCs w:val="24"/>
        </w:rPr>
        <w:t xml:space="preserve">на Регламент (ЕС) 2021/1139, и </w:t>
      </w:r>
    </w:p>
    <w:p w14:paraId="6EB35A56" w14:textId="77777777" w:rsidR="00DE7EF0" w:rsidRPr="00E80C72" w:rsidRDefault="00DE7EF0" w:rsidP="00DE7EF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- плащанията по Регламент (ЕС) 2021/1139, които попадат извън сектора на рибарството и аквакултурите по смисъла на </w:t>
      </w:r>
      <w:r w:rsidR="00D308E6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>42 от ДФЕС.</w:t>
      </w:r>
    </w:p>
    <w:p w14:paraId="719D9524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Степента, в която разпоредбите на ДФЕС по отношение на държавната помощ се прилагат за помощи, предоставени в сектора на рибарството аквакултурите, е определена в </w:t>
      </w:r>
      <w:r w:rsidR="00D308E6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 xml:space="preserve">10 от Регламент (ЕС) № 2021/1139. Това е посочено в съображение (14) от Съобщение на Комисията 2023/C 107/01  „Насоки за държавна помощ за рибарството и аквакултурите“ (Насоките на ЕК). </w:t>
      </w:r>
    </w:p>
    <w:p w14:paraId="456F88AE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Като се вземе предвид гореизложеното, и следвайки съображения (14) от Съобщение на Комисията 2023/С107/01 „Насоки за държавна помощ за рибарството и а</w:t>
      </w:r>
      <w:r w:rsidR="00A75320" w:rsidRPr="00E80C72">
        <w:rPr>
          <w:rFonts w:ascii="Times New Roman" w:hAnsi="Times New Roman" w:cs="Times New Roman"/>
          <w:sz w:val="24"/>
          <w:szCs w:val="24"/>
        </w:rPr>
        <w:t>квакултурите“ (Насоките на ЕК):</w:t>
      </w:r>
    </w:p>
    <w:p w14:paraId="62DB45C3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- условията по настоящата процедура не надхвърлят предвид</w:t>
      </w:r>
      <w:r w:rsidR="00A75320" w:rsidRPr="00E80C72">
        <w:rPr>
          <w:rFonts w:ascii="Times New Roman" w:hAnsi="Times New Roman" w:cs="Times New Roman"/>
          <w:sz w:val="24"/>
          <w:szCs w:val="24"/>
        </w:rPr>
        <w:t xml:space="preserve">еното в Регламент </w:t>
      </w:r>
      <w:r w:rsidR="00D308E6" w:rsidRPr="00E80C72">
        <w:rPr>
          <w:rFonts w:ascii="Times New Roman" w:hAnsi="Times New Roman" w:cs="Times New Roman"/>
          <w:sz w:val="24"/>
          <w:szCs w:val="24"/>
        </w:rPr>
        <w:t>(</w:t>
      </w:r>
      <w:r w:rsidR="00A75320" w:rsidRPr="00E80C72">
        <w:rPr>
          <w:rFonts w:ascii="Times New Roman" w:hAnsi="Times New Roman" w:cs="Times New Roman"/>
          <w:sz w:val="24"/>
          <w:szCs w:val="24"/>
        </w:rPr>
        <w:t>ЕС</w:t>
      </w:r>
      <w:r w:rsidR="00D308E6" w:rsidRPr="00E80C72">
        <w:rPr>
          <w:rFonts w:ascii="Times New Roman" w:hAnsi="Times New Roman" w:cs="Times New Roman"/>
          <w:sz w:val="24"/>
          <w:szCs w:val="24"/>
        </w:rPr>
        <w:t>)</w:t>
      </w:r>
      <w:r w:rsidR="00A75320" w:rsidRPr="00E80C72">
        <w:rPr>
          <w:rFonts w:ascii="Times New Roman" w:hAnsi="Times New Roman" w:cs="Times New Roman"/>
          <w:sz w:val="24"/>
          <w:szCs w:val="24"/>
        </w:rPr>
        <w:t xml:space="preserve"> 2021/1139;</w:t>
      </w:r>
    </w:p>
    <w:p w14:paraId="11103FC8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- плащанията по процедурата попадат в сектора на рибарството и аквакултурите, с оглед на това, че подпомагането се отнася до дейност, която е предвидена в дял II, глава III, раздел I, чл. 26 от Регламент</w:t>
      </w:r>
      <w:r w:rsidR="00D308E6" w:rsidRPr="00E80C72">
        <w:rPr>
          <w:rFonts w:ascii="Times New Roman" w:hAnsi="Times New Roman" w:cs="Times New Roman"/>
          <w:sz w:val="24"/>
          <w:szCs w:val="24"/>
        </w:rPr>
        <w:t xml:space="preserve"> (ЕС)</w:t>
      </w:r>
      <w:r w:rsidRPr="00E80C72">
        <w:rPr>
          <w:rFonts w:ascii="Times New Roman" w:hAnsi="Times New Roman" w:cs="Times New Roman"/>
          <w:sz w:val="24"/>
          <w:szCs w:val="24"/>
        </w:rPr>
        <w:t xml:space="preserve"> 2021/1139 „Насърчаване на устойчивите дейности, свързани с аквакултурите, и на преработването и предлагането на пазара на продукти от риболов и аквакултури, като по този начин се допринася за продоволствената сигурност в Съюза“; </w:t>
      </w:r>
    </w:p>
    <w:p w14:paraId="376B8B63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- в прилагане на дерогацията на чл. 10, параграф 2 от посочения регламент;</w:t>
      </w:r>
    </w:p>
    <w:p w14:paraId="33CF237E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- ефектът от прилагане на мярката няма да доведе до нарушаване на конкуренцията на вътрешния пазар за БФП. </w:t>
      </w:r>
    </w:p>
    <w:p w14:paraId="2C915A0A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По настоящата мярка </w:t>
      </w:r>
      <w:r w:rsidR="00D308E6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 xml:space="preserve">107, 108 и 109 от ДФЕС са неприложими и подпомагането по настоящата мярка не представлява държавна помощ. </w:t>
      </w:r>
    </w:p>
    <w:p w14:paraId="5F37ED20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Допълнителна информация относно приложимото законодателство в областта на държавните помощи може да бъде открита на интернет страницата на Министерство на финансите https://stateaid.minfin.bg/bg/573 </w:t>
      </w:r>
    </w:p>
    <w:p w14:paraId="7F90C701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Процедурата за безвъзмездна финансова помощ </w:t>
      </w:r>
      <w:r w:rsidRPr="00E80C72">
        <w:rPr>
          <w:rFonts w:ascii="Times New Roman" w:hAnsi="Times New Roman" w:cs="Times New Roman"/>
          <w:b/>
          <w:sz w:val="24"/>
          <w:szCs w:val="24"/>
        </w:rPr>
        <w:t>се реализира с финансовата подкрепа на Европейския съюз</w:t>
      </w:r>
      <w:r w:rsidR="0042508C" w:rsidRPr="00E80C72">
        <w:rPr>
          <w:rFonts w:ascii="Times New Roman" w:hAnsi="Times New Roman" w:cs="Times New Roman"/>
          <w:b/>
          <w:sz w:val="24"/>
          <w:szCs w:val="24"/>
        </w:rPr>
        <w:t xml:space="preserve"> (ЕС)</w:t>
      </w:r>
      <w:r w:rsidRPr="00E80C72">
        <w:rPr>
          <w:rFonts w:ascii="Times New Roman" w:hAnsi="Times New Roman" w:cs="Times New Roman"/>
          <w:b/>
          <w:sz w:val="24"/>
          <w:szCs w:val="24"/>
        </w:rPr>
        <w:t xml:space="preserve"> чрез Европейския фонд за морско дело, рибарство и аквакултури</w:t>
      </w:r>
      <w:r w:rsidR="00A75320" w:rsidRPr="00E80C72">
        <w:rPr>
          <w:rFonts w:ascii="Times New Roman" w:hAnsi="Times New Roman" w:cs="Times New Roman"/>
          <w:sz w:val="24"/>
          <w:szCs w:val="24"/>
        </w:rPr>
        <w:t>.</w:t>
      </w:r>
    </w:p>
    <w:p w14:paraId="702F5E28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Проектите следва да се изпълняват на тер</w:t>
      </w:r>
      <w:r w:rsidR="00A75320" w:rsidRPr="00E80C72">
        <w:rPr>
          <w:rFonts w:ascii="Times New Roman" w:hAnsi="Times New Roman" w:cs="Times New Roman"/>
          <w:sz w:val="24"/>
          <w:szCs w:val="24"/>
        </w:rPr>
        <w:t>иторията на Република България.</w:t>
      </w:r>
    </w:p>
    <w:p w14:paraId="643C1AD7" w14:textId="5313649D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Общият размер на безвъзмездната финансова помощ по</w:t>
      </w:r>
      <w:r w:rsidR="00A75320" w:rsidRPr="00E80C72">
        <w:rPr>
          <w:rFonts w:ascii="Times New Roman" w:hAnsi="Times New Roman" w:cs="Times New Roman"/>
          <w:b/>
          <w:sz w:val="24"/>
          <w:szCs w:val="24"/>
        </w:rPr>
        <w:t xml:space="preserve"> процедурата е </w:t>
      </w:r>
      <w:r w:rsidR="004940D6" w:rsidRPr="004940D6">
        <w:rPr>
          <w:rFonts w:ascii="Times New Roman" w:hAnsi="Times New Roman" w:cs="Times New Roman"/>
          <w:b/>
          <w:sz w:val="24"/>
          <w:szCs w:val="24"/>
        </w:rPr>
        <w:t>10 225 837,62 евро</w:t>
      </w:r>
      <w:r w:rsidR="00A75320" w:rsidRPr="00E80C72">
        <w:rPr>
          <w:rFonts w:ascii="Times New Roman" w:hAnsi="Times New Roman" w:cs="Times New Roman"/>
          <w:b/>
          <w:sz w:val="24"/>
          <w:szCs w:val="24"/>
        </w:rPr>
        <w:t>.</w:t>
      </w:r>
    </w:p>
    <w:p w14:paraId="70DEA31D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Финансовата помощ по реда на настоящата процедура е безвъзмездна и се предоставя в рамките на определения бюджет за дейност „Преработка на продукти от риболов и аквакултури“ в ПМДРА, от които:</w:t>
      </w:r>
    </w:p>
    <w:p w14:paraId="282476CA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- процент на съфинансиране от ЕФМДРА – 70%</w:t>
      </w:r>
    </w:p>
    <w:p w14:paraId="19EDE28D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lastRenderedPageBreak/>
        <w:t xml:space="preserve">- процент на съфинансиране от националния бюджет – 30%. </w:t>
      </w:r>
    </w:p>
    <w:p w14:paraId="5618F36B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Максимален интензитет</w:t>
      </w:r>
      <w:r w:rsidRPr="00E80C72">
        <w:rPr>
          <w:rFonts w:ascii="Times New Roman" w:hAnsi="Times New Roman" w:cs="Times New Roman"/>
          <w:sz w:val="24"/>
          <w:szCs w:val="24"/>
        </w:rPr>
        <w:t xml:space="preserve"> на безвъзмездната финансова помощ за дейности, осъществявани от предприятия, непопадащи в определението за микро, малки и средни предприятия по смисъла чл. 3 и чл. 4 на Закона за малките и средните предприятия - 50%.</w:t>
      </w:r>
    </w:p>
    <w:p w14:paraId="163F328E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Максимален интензитет</w:t>
      </w:r>
      <w:r w:rsidRPr="00E80C72">
        <w:rPr>
          <w:rFonts w:ascii="Times New Roman" w:hAnsi="Times New Roman" w:cs="Times New Roman"/>
          <w:sz w:val="24"/>
          <w:szCs w:val="24"/>
        </w:rPr>
        <w:t xml:space="preserve"> на безвъзмездната финансова помощ за дейности в подкрепа на устойчивите аквакултури, осъществявани от предприятия, попадащи в определението за микро, малки и средни предприятия по смисъла чл. 3 и чл. 4 на Закона за малките и средните предприятия – 60%.</w:t>
      </w:r>
    </w:p>
    <w:p w14:paraId="2A46F69B" w14:textId="4F43F787" w:rsidR="004940D6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Минимален размер</w:t>
      </w:r>
      <w:r w:rsidRPr="00E80C72">
        <w:rPr>
          <w:rFonts w:ascii="Times New Roman" w:hAnsi="Times New Roman" w:cs="Times New Roman"/>
          <w:sz w:val="24"/>
          <w:szCs w:val="24"/>
        </w:rPr>
        <w:t xml:space="preserve"> на допустимата безвъзмездната финансова помощ за един проект – </w:t>
      </w:r>
      <w:r w:rsidR="00F702FF">
        <w:rPr>
          <w:rFonts w:ascii="Times New Roman" w:hAnsi="Times New Roman" w:cs="Times New Roman"/>
          <w:sz w:val="24"/>
          <w:szCs w:val="24"/>
        </w:rPr>
        <w:t>15 338,76</w:t>
      </w:r>
      <w:r w:rsidR="004940D6" w:rsidRPr="004940D6">
        <w:rPr>
          <w:rFonts w:ascii="Times New Roman" w:hAnsi="Times New Roman" w:cs="Times New Roman"/>
          <w:sz w:val="24"/>
          <w:szCs w:val="24"/>
        </w:rPr>
        <w:t xml:space="preserve"> евро</w:t>
      </w:r>
      <w:r w:rsidR="004940D6" w:rsidRPr="004940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07679DE" w14:textId="0A9B8656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 xml:space="preserve">Максимален размер </w:t>
      </w:r>
      <w:r w:rsidRPr="00E80C72">
        <w:rPr>
          <w:rFonts w:ascii="Times New Roman" w:hAnsi="Times New Roman" w:cs="Times New Roman"/>
          <w:sz w:val="24"/>
          <w:szCs w:val="24"/>
        </w:rPr>
        <w:t xml:space="preserve">на допустимата безвъзмездната финансова помощ за един проект – </w:t>
      </w:r>
      <w:r w:rsidR="004940D6">
        <w:rPr>
          <w:rFonts w:ascii="Times New Roman" w:hAnsi="Times New Roman" w:cs="Times New Roman"/>
          <w:sz w:val="24"/>
          <w:szCs w:val="24"/>
        </w:rPr>
        <w:t>511 291,88 евро</w:t>
      </w:r>
    </w:p>
    <w:p w14:paraId="0C2E3416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Съответствие с принципите на хоризонталните политики на ЕС</w:t>
      </w:r>
    </w:p>
    <w:p w14:paraId="6390DBF9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По настоящата процедура следва да е налице съответствие на проектните предложения със следните хоризонталните принципи на ЕС, заложени в чл. 9 на Регламент (ЕС) 2021/1060 </w:t>
      </w:r>
      <w:r w:rsidR="008A42B3" w:rsidRPr="00E80C72">
        <w:rPr>
          <w:rFonts w:ascii="Times New Roman" w:hAnsi="Times New Roman" w:cs="Times New Roman"/>
          <w:sz w:val="24"/>
          <w:szCs w:val="24"/>
        </w:rPr>
        <w:t>на Европейския парламент и на Съвета от 24 юни 2021 година за установяване на общоприложимите разпоредби за Европейския фонд за регионално развитие, Европейския социален фонд плюс, Кохезионния фонд, Фонда за справедлив преход и Европейския фонд за морско дело, рибарство и аквакултури, както и на финансовите правила за тях и за фонд „Убежище, миграция и интеграция“, фонд „Вътрешна сигурност“ и Инструмента за финансова подкрепа за управлението на границите и визовата политика</w:t>
      </w:r>
      <w:r w:rsidRPr="00E80C72">
        <w:rPr>
          <w:rFonts w:ascii="Times New Roman" w:hAnsi="Times New Roman" w:cs="Times New Roman"/>
          <w:sz w:val="24"/>
          <w:szCs w:val="24"/>
        </w:rPr>
        <w:t>:</w:t>
      </w:r>
    </w:p>
    <w:p w14:paraId="4753D133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- равенството между мъжете и жените, интегрирането на принципа на равенство между половете и отчитането на социалните аспекти на пола;</w:t>
      </w:r>
    </w:p>
    <w:p w14:paraId="758D6106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- недопускане на всякаква дискриминация, основана на пол, расов или етнически произход, религия или вероизповедание, увреждане, възраст или сексуална ориентация,</w:t>
      </w:r>
    </w:p>
    <w:p w14:paraId="4BD018AB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- проектното предложение следва да съблюдава принципите, заложени в „Хартата на основните права на ЕС (Хартата)  и „Конвенцията на ООН за правата на хората с увреждания (КПХУ) в съответствие с Решение 2010/48/ЕО на Съвета . </w:t>
      </w:r>
    </w:p>
    <w:p w14:paraId="094F2AC5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- целта за насърчаване на устойчивото развитие, посочена в </w:t>
      </w:r>
      <w:r w:rsidR="0042508C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>11 от ДФЕС, като се отчитат целите на ООН за устойчиво развитие, Парижкото споразумение и принципа за „ненанасяне на значителни вреди“.</w:t>
      </w:r>
    </w:p>
    <w:p w14:paraId="3D288874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Във Формуляра за кандидатстване, т. „Допълнителна информация, необходима за оценка на проектното предложение“, кандидатите следва да представят описание на съответствието на проектното предложение с посочените хоризонтални принципи на ЕС, вкл. принципите, заложени в Хартата на основните права на ЕС и КПХУ. </w:t>
      </w:r>
    </w:p>
    <w:p w14:paraId="5707AF84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Насоки за прилагане на Хартата на основните права на ЕС могат да бъдат намерени на следния адрес: https://www.eufunds.bg/bg/node/8223</w:t>
      </w:r>
    </w:p>
    <w:p w14:paraId="5CE551F0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Насоки за прилагане на Конвенцията на ООН за правата на хората с увреждания могат да бъдат намерени на следния адрес: </w:t>
      </w:r>
      <w:hyperlink r:id="rId6" w:history="1">
        <w:r w:rsidR="00A75320" w:rsidRPr="00E80C72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https://www.eufunds.bg/bg/node/8224</w:t>
        </w:r>
      </w:hyperlink>
      <w:r w:rsidR="005C257F" w:rsidRPr="00E80C72">
        <w:rPr>
          <w:rStyle w:val="Hyperlink"/>
          <w:rFonts w:ascii="Times New Roman" w:hAnsi="Times New Roman" w:cs="Times New Roman"/>
          <w:i/>
          <w:sz w:val="24"/>
          <w:szCs w:val="24"/>
        </w:rPr>
        <w:t>.</w:t>
      </w:r>
    </w:p>
    <w:p w14:paraId="64854F1C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Допустими за фи</w:t>
      </w:r>
      <w:r w:rsidR="00A75320" w:rsidRPr="00E80C72">
        <w:rPr>
          <w:rFonts w:ascii="Times New Roman" w:hAnsi="Times New Roman" w:cs="Times New Roman"/>
          <w:b/>
          <w:sz w:val="24"/>
          <w:szCs w:val="24"/>
        </w:rPr>
        <w:t>нансиране са следните дейности:</w:t>
      </w:r>
    </w:p>
    <w:p w14:paraId="6938C6BA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Безвъзмездна финансова помощ по настоящата процедура се предоставя за подпомагане на инвестиции, които са свързани с:</w:t>
      </w:r>
    </w:p>
    <w:p w14:paraId="7436817F" w14:textId="2DAB82A0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lastRenderedPageBreak/>
        <w:t>1 развитие на устойчиви производства на аквакултури с ниско влияние върху околната среда (вкл. въвеждане на производства, намаляващи емисиите в околната среда, вкл. и на СО2, опазване на качеството на водата, отглеждане на биологични аквакултури и на нискотрофични аквакултури);</w:t>
      </w:r>
    </w:p>
    <w:p w14:paraId="6A12C8A4" w14:textId="142DD97D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2 подобряване на състоянието на водата, съгласно Рамкова директива за водите (РДВ) с инвестиции, които изключват риск от влошаване на водното състояние; </w:t>
      </w:r>
    </w:p>
    <w:p w14:paraId="6DA81DCF" w14:textId="46411822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>3 продуктивни инвестиции с цел подобряване на конкурентоспособността, устойчивостта и ефективното използване на ресурсите в производството на аквакултури вкл. рециркулационни и оборотни системи за използване водата (напр. намаляване на използването на вода, химикали и антибиотици или събиране и оползотворяване на странични/отпадни продукти от аквакултурите);</w:t>
      </w:r>
    </w:p>
    <w:p w14:paraId="658C6D0E" w14:textId="53FCF48F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>4 повишаване на енергийната ефективност на предприятията, допринасяща за декарбонизацията на тяхната дейност, чрез изграждане на ВЕИ пряко свързани с производството, подобряване на енергийната ефективност на сградите и използване на „умни“ технологии за намаляване на енергийното потребление;</w:t>
      </w:r>
    </w:p>
    <w:p w14:paraId="5740B0CA" w14:textId="77F0B414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5 пазарно ориентирани изследвания, разработване на стратегии и кампании за промотиране на собствено производство; </w:t>
      </w:r>
    </w:p>
    <w:p w14:paraId="67CB1524" w14:textId="3A120453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6 повишаване на знанията, уменията и изграждане на капацитет на заетите; </w:t>
      </w:r>
    </w:p>
    <w:p w14:paraId="74F6E529" w14:textId="0A7B9262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7 създаване на заетост за младежи до 29 г., вкл. въвеждащо и текущо обучение; </w:t>
      </w:r>
    </w:p>
    <w:p w14:paraId="3EC242FE" w14:textId="70C63242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8 насърчаване на нови производители на аквакултури; </w:t>
      </w:r>
    </w:p>
    <w:p w14:paraId="3D90CFBC" w14:textId="4A47761D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9 инвестиции в оборудване за безопасни и здравословни условия на труд; </w:t>
      </w:r>
    </w:p>
    <w:p w14:paraId="777E2161" w14:textId="299F5F4F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10 подобряване на здравето на животните и хуманното отношение към тях в съответствие с Регламент (ЕС) 2016/429 и Регламент (ЕС) № 652/2014; </w:t>
      </w:r>
    </w:p>
    <w:p w14:paraId="3CD38E62" w14:textId="144056BF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11 диверсификация на производството на аквакултури, чрез въвеждане на нови  видове и нови методи на производство (напр. интегрирани мултитрофични системи за аквакултури и разнообразяване на марикултурите с цел намаляване на риболовния натиск върху дивите запаси (напр. калкан и други черноморски видове); </w:t>
      </w:r>
    </w:p>
    <w:p w14:paraId="1B0A2117" w14:textId="06AF8BB1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>12 диверсификация на производството, чрез допълнителни дейности към основното производство (напр. спортен риболов, дегустации, ресторантьорство, търговски дейности, образователни дейности и др.);</w:t>
      </w:r>
    </w:p>
    <w:p w14:paraId="6EA440E0" w14:textId="7933F08A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>13 въвеждане на схеми и етикети за качество, в т.ч. защитено географско наименование за произход и др., проследяемост на продуктите от аквакултури чрез дигитализиране на процеса;</w:t>
      </w:r>
    </w:p>
    <w:p w14:paraId="2E59C331" w14:textId="1C84A630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14 дейности по преминаване към биологично отглеждане на аквакултури, вкл. сертифициране на производството на биологични продукти на стопанството, придобиване на сертификати за защитено географско наименование, произход и качество на продуктите (напр. за продукти произведени в екологично чист район или при определени специфични условия и др.); </w:t>
      </w:r>
    </w:p>
    <w:p w14:paraId="44A20558" w14:textId="33F35C00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>15 добавяне на стойност, вкл. чрез извършване на първична обработка (чистене, сортиране, охлаждане и опаковане) на произведената продукция за подобряване на търговския вид;</w:t>
      </w:r>
    </w:p>
    <w:p w14:paraId="16B3D2F1" w14:textId="5CA3A9EB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16 обучения за подобряване професионалните знания и умения, вкл. на дигиталните умения на персонала, свързани с пряката производствена дейност на стопанството; </w:t>
      </w:r>
    </w:p>
    <w:p w14:paraId="0BB03674" w14:textId="691973DA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17 маркетингови стратегии насочени към нови видове с пазарни перспективи или подценени от пазара; </w:t>
      </w:r>
    </w:p>
    <w:p w14:paraId="0225BDE3" w14:textId="0FD0B03F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lastRenderedPageBreak/>
        <w:t xml:space="preserve">18 Въвеждане на иновативни технологии и дейности, които водят до нови или подобрени продукти, нови или подобрени процеси или нови или подобрени управленски и организационни системи и могат да включват: </w:t>
      </w:r>
    </w:p>
    <w:p w14:paraId="7CF25459" w14:textId="77777777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- въвеждане на високотехнологични решения при производство на аквакултури; </w:t>
      </w:r>
    </w:p>
    <w:p w14:paraId="779AE4F3" w14:textId="77777777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- разработване и/или прилагане на нови технически решения и иновации по отношение на производствените съоръжения и оборудване (напр. щормоустйчиви или потопяеми садки за риба в българската акватория на Черно море или РСА за морски видове на сушата и др.); </w:t>
      </w:r>
    </w:p>
    <w:p w14:paraId="0C4E308C" w14:textId="77777777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- решаване на биологични и технологични проблеми, свързани с видове, перспективни като обект за отглеждане и/или оптимизиране на интензивното отглеждане на ценни видове аквакултури, вкл. при предоставяне на екосистемни услуги; </w:t>
      </w:r>
    </w:p>
    <w:p w14:paraId="2EA91E7D" w14:textId="77777777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- автоматизация на храненето и оптимизиране на схемите за хранене (използване на фуражи с по-висок процент на усвояване, които респективно водят до по-бърз темп на нарастване и замърсяващи по-малко водата); </w:t>
      </w:r>
    </w:p>
    <w:p w14:paraId="29035AA8" w14:textId="77777777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- подобряване на здравния статус на аквакултурите (въвеждане на собствен контрол върху здравето на аквакултурите, използване на медикаменти и химикали с по-кратък период на разграждане и намаляване на тяхното вредно въздействие и др.); </w:t>
      </w:r>
    </w:p>
    <w:p w14:paraId="00B9B02F" w14:textId="77777777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- иновации за повишаване на конкурентоспособността, устойчивостта, енергийната ефективност и декарбонизация на производствените процеси; </w:t>
      </w:r>
    </w:p>
    <w:p w14:paraId="6EA8A3AF" w14:textId="77777777" w:rsidR="000D0599" w:rsidRPr="000D0599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 xml:space="preserve">- иновации, осигуряващи намаляване въздействието върху околната среда на производствените процеси и въвеждащи елементи на кръгова икономика (напр. въвеждане на оборотно водоснабдяване с прилагане на пречистване на използваната вода, вкл. биологично в традиционни проточни басейнови стопанства с интензивно производство, преработка и оползотворяване на отпадъци от аквакултури до суровина или краен продукт и др.); </w:t>
      </w:r>
    </w:p>
    <w:p w14:paraId="186FDE1F" w14:textId="569C5BA6" w:rsidR="00C918A0" w:rsidRPr="00E80C72" w:rsidRDefault="000D0599" w:rsidP="000D059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99">
        <w:rPr>
          <w:rFonts w:ascii="Times New Roman" w:hAnsi="Times New Roman" w:cs="Times New Roman"/>
          <w:sz w:val="24"/>
          <w:szCs w:val="24"/>
        </w:rPr>
        <w:t>- използване на технологии за подобряване на веригата на доставки на продукти от аквакултури и подобряване проследимостта и информацията за потребителите (напр. създаване на смарт приложения за директни продажби, въвеждане на къси вериги за доставка на регионални продукти).</w:t>
      </w:r>
      <w:r w:rsidR="00C918A0" w:rsidRPr="00E80C72">
        <w:rPr>
          <w:rFonts w:ascii="Times New Roman" w:hAnsi="Times New Roman" w:cs="Times New Roman"/>
          <w:sz w:val="24"/>
          <w:szCs w:val="24"/>
        </w:rPr>
        <w:t>19. дейностите за видимост, прозрачност и комуникация.</w:t>
      </w:r>
    </w:p>
    <w:p w14:paraId="16A9105A" w14:textId="49B60317" w:rsidR="000C3859" w:rsidRPr="00E80C72" w:rsidRDefault="000C3859" w:rsidP="00C918A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Допустими за финансиране при опростени условия са проектни предложения за закупуване единствено на нови машини, оборудване и съоръжения с размер на безвъзмездната финансова помощ до </w:t>
      </w:r>
      <w:r w:rsidR="001E76BE" w:rsidRPr="001E76BE">
        <w:rPr>
          <w:rFonts w:ascii="Times New Roman" w:hAnsi="Times New Roman" w:cs="Times New Roman"/>
          <w:sz w:val="24"/>
          <w:szCs w:val="24"/>
        </w:rPr>
        <w:t>51 129,18 евро</w:t>
      </w:r>
      <w:r w:rsidRPr="00E80C72">
        <w:rPr>
          <w:rFonts w:ascii="Times New Roman" w:hAnsi="Times New Roman" w:cs="Times New Roman"/>
          <w:sz w:val="24"/>
          <w:szCs w:val="24"/>
        </w:rPr>
        <w:t>.</w:t>
      </w:r>
    </w:p>
    <w:p w14:paraId="6EE502F1" w14:textId="77777777" w:rsidR="00DE7EF0" w:rsidRPr="00E80C72" w:rsidRDefault="00DE7EF0" w:rsidP="00C918A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Пълният пакет документи и условията за кандидатстване и условията за изпълнение по процедурата са публикувани в </w:t>
      </w:r>
      <w:r w:rsidR="00C918A0" w:rsidRPr="00E80C72">
        <w:rPr>
          <w:rFonts w:ascii="Times New Roman" w:hAnsi="Times New Roman" w:cs="Times New Roman"/>
          <w:sz w:val="24"/>
          <w:szCs w:val="24"/>
        </w:rPr>
        <w:t xml:space="preserve">Информационната система за управление и наблюдение на средствата от Европейските фондове при споделено управление </w:t>
      </w:r>
      <w:r w:rsidRPr="00E80C72">
        <w:rPr>
          <w:rFonts w:ascii="Times New Roman" w:hAnsi="Times New Roman" w:cs="Times New Roman"/>
          <w:sz w:val="24"/>
          <w:szCs w:val="24"/>
        </w:rPr>
        <w:t xml:space="preserve">(ИСУН) и на следния интернет адрес на </w:t>
      </w:r>
      <w:r w:rsidR="00C918A0" w:rsidRPr="00E80C72">
        <w:rPr>
          <w:rFonts w:ascii="Times New Roman" w:hAnsi="Times New Roman" w:cs="Times New Roman"/>
          <w:sz w:val="24"/>
          <w:szCs w:val="24"/>
        </w:rPr>
        <w:t>Единния информационен портал на Европейските структурни и инвестиционни фондове</w:t>
      </w:r>
      <w:r w:rsidRPr="00E80C72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C918A0" w:rsidRPr="00E80C72">
          <w:rPr>
            <w:rStyle w:val="Hyperlink"/>
            <w:rFonts w:ascii="Times New Roman" w:hAnsi="Times New Roman" w:cs="Times New Roman"/>
            <w:i/>
            <w:sz w:val="24"/>
            <w:szCs w:val="24"/>
          </w:rPr>
          <w:t>www.eufunds.bg</w:t>
        </w:r>
      </w:hyperlink>
      <w:r w:rsidRPr="00E80C72">
        <w:rPr>
          <w:rFonts w:ascii="Times New Roman" w:hAnsi="Times New Roman" w:cs="Times New Roman"/>
          <w:sz w:val="24"/>
          <w:szCs w:val="24"/>
        </w:rPr>
        <w:t>.</w:t>
      </w:r>
    </w:p>
    <w:p w14:paraId="62AEC4DF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Подаването на проектното предложение по настоящата процедура се извършва </w:t>
      </w:r>
      <w:r w:rsidR="00C918A0" w:rsidRPr="00E80C72">
        <w:rPr>
          <w:rFonts w:ascii="Times New Roman" w:hAnsi="Times New Roman" w:cs="Times New Roman"/>
          <w:sz w:val="24"/>
          <w:szCs w:val="24"/>
        </w:rPr>
        <w:t xml:space="preserve">единствено </w:t>
      </w:r>
      <w:r w:rsidRPr="00E80C72">
        <w:rPr>
          <w:rFonts w:ascii="Times New Roman" w:hAnsi="Times New Roman" w:cs="Times New Roman"/>
          <w:sz w:val="24"/>
          <w:szCs w:val="24"/>
        </w:rPr>
        <w:t xml:space="preserve">по електронен път чрез ИСУН </w:t>
      </w:r>
      <w:r w:rsidR="00C918A0" w:rsidRPr="00E80C72">
        <w:rPr>
          <w:rFonts w:ascii="Times New Roman" w:hAnsi="Times New Roman" w:cs="Times New Roman"/>
          <w:sz w:val="24"/>
          <w:szCs w:val="24"/>
        </w:rPr>
        <w:t>с използването на к</w:t>
      </w:r>
      <w:r w:rsidRPr="00E80C72">
        <w:rPr>
          <w:rFonts w:ascii="Times New Roman" w:hAnsi="Times New Roman" w:cs="Times New Roman"/>
          <w:sz w:val="24"/>
          <w:szCs w:val="24"/>
        </w:rPr>
        <w:t xml:space="preserve">валифициран електронен подпис (КЕП), чрез модула „Е-кандидатстване“ на следния интернет адрес: </w:t>
      </w:r>
      <w:hyperlink r:id="rId8" w:history="1">
        <w:r w:rsidR="00C918A0" w:rsidRPr="00E80C72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https://eumis2020.government.bg</w:t>
        </w:r>
      </w:hyperlink>
      <w:r w:rsidRPr="00E80C72">
        <w:rPr>
          <w:rFonts w:ascii="Times New Roman" w:hAnsi="Times New Roman" w:cs="Times New Roman"/>
          <w:sz w:val="24"/>
          <w:szCs w:val="24"/>
        </w:rPr>
        <w:t>.</w:t>
      </w:r>
    </w:p>
    <w:p w14:paraId="65C37973" w14:textId="77777777" w:rsidR="00C918A0" w:rsidRPr="00E80C72" w:rsidRDefault="00C918A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1713D6" w14:textId="44B759E7" w:rsidR="004D584A" w:rsidRPr="00E80C72" w:rsidRDefault="004D584A" w:rsidP="00FD450F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Първи краен срок за подаване на проектни предложения: 17:00 часа на </w:t>
      </w:r>
      <w:r w:rsidR="00FD450F" w:rsidRPr="00FD450F">
        <w:rPr>
          <w:rFonts w:ascii="Times New Roman" w:hAnsi="Times New Roman" w:cs="Times New Roman"/>
          <w:sz w:val="24"/>
          <w:szCs w:val="24"/>
        </w:rPr>
        <w:t>01</w:t>
      </w:r>
      <w:r w:rsidR="005E02E7">
        <w:rPr>
          <w:rFonts w:ascii="Times New Roman" w:hAnsi="Times New Roman" w:cs="Times New Roman"/>
          <w:sz w:val="24"/>
          <w:szCs w:val="24"/>
        </w:rPr>
        <w:t>.</w:t>
      </w:r>
      <w:r w:rsidR="00FD450F" w:rsidRPr="00FD450F">
        <w:rPr>
          <w:rFonts w:ascii="Times New Roman" w:hAnsi="Times New Roman" w:cs="Times New Roman"/>
          <w:sz w:val="24"/>
          <w:szCs w:val="24"/>
        </w:rPr>
        <w:t>10</w:t>
      </w:r>
      <w:r w:rsidRPr="00E80C72">
        <w:rPr>
          <w:rFonts w:ascii="Times New Roman" w:hAnsi="Times New Roman" w:cs="Times New Roman"/>
          <w:sz w:val="24"/>
          <w:szCs w:val="24"/>
        </w:rPr>
        <w:t>.202</w:t>
      </w:r>
      <w:r w:rsidR="005E02E7">
        <w:rPr>
          <w:rFonts w:ascii="Times New Roman" w:hAnsi="Times New Roman" w:cs="Times New Roman"/>
          <w:sz w:val="24"/>
          <w:szCs w:val="24"/>
        </w:rPr>
        <w:t>6</w:t>
      </w:r>
      <w:r w:rsidRPr="00E80C72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B60B129" w14:textId="5871FBF1" w:rsidR="004D584A" w:rsidRPr="00E80C72" w:rsidRDefault="004D584A" w:rsidP="004D584A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Втори краен срок за подаване на проектни предложения: 17:00 часа на </w:t>
      </w:r>
      <w:r w:rsidR="005E02E7">
        <w:rPr>
          <w:rFonts w:ascii="Times New Roman" w:hAnsi="Times New Roman" w:cs="Times New Roman"/>
          <w:sz w:val="24"/>
          <w:szCs w:val="24"/>
        </w:rPr>
        <w:t>3</w:t>
      </w:r>
      <w:r w:rsidR="00FD450F" w:rsidRPr="00FD450F">
        <w:rPr>
          <w:rFonts w:ascii="Times New Roman" w:hAnsi="Times New Roman" w:cs="Times New Roman"/>
          <w:sz w:val="24"/>
          <w:szCs w:val="24"/>
        </w:rPr>
        <w:t>0</w:t>
      </w:r>
      <w:r w:rsidRPr="00E80C72">
        <w:rPr>
          <w:rFonts w:ascii="Times New Roman" w:hAnsi="Times New Roman" w:cs="Times New Roman"/>
          <w:sz w:val="24"/>
          <w:szCs w:val="24"/>
        </w:rPr>
        <w:t>.</w:t>
      </w:r>
      <w:r w:rsidR="005E02E7">
        <w:rPr>
          <w:rFonts w:ascii="Times New Roman" w:hAnsi="Times New Roman" w:cs="Times New Roman"/>
          <w:sz w:val="24"/>
          <w:szCs w:val="24"/>
        </w:rPr>
        <w:t>11</w:t>
      </w:r>
      <w:r w:rsidRPr="00E80C72">
        <w:rPr>
          <w:rFonts w:ascii="Times New Roman" w:hAnsi="Times New Roman" w:cs="Times New Roman"/>
          <w:sz w:val="24"/>
          <w:szCs w:val="24"/>
        </w:rPr>
        <w:t>.202</w:t>
      </w:r>
      <w:r w:rsidR="005E02E7">
        <w:rPr>
          <w:rFonts w:ascii="Times New Roman" w:hAnsi="Times New Roman" w:cs="Times New Roman"/>
          <w:sz w:val="24"/>
          <w:szCs w:val="24"/>
        </w:rPr>
        <w:t>6</w:t>
      </w:r>
      <w:r w:rsidRPr="00E80C72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779697A" w14:textId="29D718D2" w:rsidR="00DE7EF0" w:rsidRPr="005E02E7" w:rsidRDefault="004D584A" w:rsidP="00FD450F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Трети краен срок за подаване на проектни предложения: 17:00 часа на </w:t>
      </w:r>
      <w:r w:rsidR="005E02E7">
        <w:rPr>
          <w:rFonts w:ascii="Times New Roman" w:hAnsi="Times New Roman" w:cs="Times New Roman"/>
          <w:sz w:val="24"/>
          <w:szCs w:val="24"/>
        </w:rPr>
        <w:t>2</w:t>
      </w:r>
      <w:r w:rsidR="00FD450F" w:rsidRPr="00FD450F">
        <w:rPr>
          <w:rFonts w:ascii="Times New Roman" w:hAnsi="Times New Roman" w:cs="Times New Roman"/>
          <w:sz w:val="24"/>
          <w:szCs w:val="24"/>
        </w:rPr>
        <w:t>9</w:t>
      </w:r>
      <w:r w:rsidRPr="00E80C72">
        <w:rPr>
          <w:rFonts w:ascii="Times New Roman" w:hAnsi="Times New Roman" w:cs="Times New Roman"/>
          <w:sz w:val="24"/>
          <w:szCs w:val="24"/>
        </w:rPr>
        <w:t>.0</w:t>
      </w:r>
      <w:r w:rsidR="005E02E7">
        <w:rPr>
          <w:rFonts w:ascii="Times New Roman" w:hAnsi="Times New Roman" w:cs="Times New Roman"/>
          <w:sz w:val="24"/>
          <w:szCs w:val="24"/>
        </w:rPr>
        <w:t>1</w:t>
      </w:r>
      <w:r w:rsidRPr="005E02E7">
        <w:rPr>
          <w:rFonts w:ascii="Times New Roman" w:hAnsi="Times New Roman" w:cs="Times New Roman"/>
          <w:sz w:val="24"/>
          <w:szCs w:val="24"/>
        </w:rPr>
        <w:t>.202</w:t>
      </w:r>
      <w:r w:rsidR="005E02E7" w:rsidRPr="005E02E7">
        <w:rPr>
          <w:rFonts w:ascii="Times New Roman" w:hAnsi="Times New Roman" w:cs="Times New Roman"/>
          <w:sz w:val="24"/>
          <w:szCs w:val="24"/>
        </w:rPr>
        <w:t>7</w:t>
      </w:r>
      <w:r w:rsidRPr="005E02E7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DE7EF0" w:rsidRPr="005E02E7" w:rsidSect="00A75320">
      <w:footerReference w:type="default" r:id="rId9"/>
      <w:headerReference w:type="first" r:id="rId10"/>
      <w:pgSz w:w="12240" w:h="15840" w:code="1"/>
      <w:pgMar w:top="1134" w:right="1041" w:bottom="851" w:left="1134" w:header="567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F962C" w14:textId="77777777" w:rsidR="00FF42BA" w:rsidRDefault="00FF42BA" w:rsidP="00DE7EF0">
      <w:pPr>
        <w:spacing w:after="0" w:line="240" w:lineRule="auto"/>
      </w:pPr>
      <w:r>
        <w:separator/>
      </w:r>
    </w:p>
  </w:endnote>
  <w:endnote w:type="continuationSeparator" w:id="0">
    <w:p w14:paraId="51032A53" w14:textId="77777777" w:rsidR="00FF42BA" w:rsidRDefault="00FF42BA" w:rsidP="00DE7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6"/>
        <w:szCs w:val="16"/>
      </w:rPr>
      <w:id w:val="-754280622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7FC366" w14:textId="7C63AAED" w:rsidR="00DE7EF0" w:rsidRPr="00DE7EF0" w:rsidRDefault="00DE7EF0" w:rsidP="00DE7EF0">
            <w:pPr>
              <w:pStyle w:val="Footer"/>
              <w:jc w:val="right"/>
              <w:rPr>
                <w:rFonts w:ascii="Verdana" w:hAnsi="Verdana"/>
                <w:sz w:val="16"/>
                <w:szCs w:val="16"/>
              </w:rPr>
            </w:pPr>
            <w:r w:rsidRPr="00A75320">
              <w:rPr>
                <w:rFonts w:ascii="Verdana" w:hAnsi="Verdana"/>
                <w:sz w:val="16"/>
                <w:szCs w:val="16"/>
                <w:lang w:val="en-US"/>
              </w:rPr>
              <w:t xml:space="preserve">Page 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PAGE </w:instrTex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F0588C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2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  <w:r w:rsidRPr="00A75320">
              <w:rPr>
                <w:rFonts w:ascii="Verdana" w:hAnsi="Verdana"/>
                <w:sz w:val="16"/>
                <w:szCs w:val="16"/>
                <w:lang w:val="en-US"/>
              </w:rPr>
              <w:t xml:space="preserve"> of 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NUMPAGES  </w:instrTex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F0588C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5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FC59AC" w14:textId="77777777" w:rsidR="00FF42BA" w:rsidRDefault="00FF42BA" w:rsidP="00DE7EF0">
      <w:pPr>
        <w:spacing w:after="0" w:line="240" w:lineRule="auto"/>
      </w:pPr>
      <w:r>
        <w:separator/>
      </w:r>
    </w:p>
  </w:footnote>
  <w:footnote w:type="continuationSeparator" w:id="0">
    <w:p w14:paraId="6CD5DB14" w14:textId="77777777" w:rsidR="00FF42BA" w:rsidRDefault="00FF42BA" w:rsidP="00DE7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57F3F" w14:textId="77777777" w:rsidR="00DE7EF0" w:rsidRPr="00DE7EF0" w:rsidRDefault="00DE7EF0" w:rsidP="00DE7EF0">
    <w:pPr>
      <w:tabs>
        <w:tab w:val="center" w:pos="4536"/>
        <w:tab w:val="right" w:pos="9072"/>
      </w:tabs>
      <w:spacing w:after="0" w:line="240" w:lineRule="auto"/>
      <w:rPr>
        <w:rFonts w:ascii="Verdana" w:eastAsia="Calibri" w:hAnsi="Verdana" w:cs="Calibri"/>
        <w:b/>
        <w:bCs/>
      </w:rPr>
    </w:pPr>
    <w:r w:rsidRPr="00DE7EF0">
      <w:rPr>
        <w:rFonts w:ascii="Verdana" w:eastAsia="Calibri" w:hAnsi="Verdana" w:cs="Calibri"/>
        <w:noProof/>
        <w:lang w:val="en-US"/>
      </w:rPr>
      <w:drawing>
        <wp:anchor distT="0" distB="0" distL="114300" distR="114300" simplePos="0" relativeHeight="251656704" behindDoc="1" locked="0" layoutInCell="1" allowOverlap="1" wp14:anchorId="50B6782C" wp14:editId="032D04BB">
          <wp:simplePos x="0" y="0"/>
          <wp:positionH relativeFrom="column">
            <wp:posOffset>2385060</wp:posOffset>
          </wp:positionH>
          <wp:positionV relativeFrom="paragraph">
            <wp:posOffset>-46355</wp:posOffset>
          </wp:positionV>
          <wp:extent cx="1503045" cy="810895"/>
          <wp:effectExtent l="0" t="0" r="1905" b="8255"/>
          <wp:wrapTight wrapText="bothSides">
            <wp:wrapPolygon edited="0">
              <wp:start x="7665" y="0"/>
              <wp:lineTo x="548" y="8626"/>
              <wp:lineTo x="0" y="11164"/>
              <wp:lineTo x="0" y="19790"/>
              <wp:lineTo x="2190" y="20805"/>
              <wp:lineTo x="7392" y="21312"/>
              <wp:lineTo x="13962" y="21312"/>
              <wp:lineTo x="19163" y="20805"/>
              <wp:lineTo x="21354" y="19790"/>
              <wp:lineTo x="21080" y="14208"/>
              <wp:lineTo x="20532" y="9134"/>
              <wp:lineTo x="13688" y="0"/>
              <wp:lineTo x="7665" y="0"/>
            </wp:wrapPolygon>
          </wp:wrapTight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7EF0">
      <w:rPr>
        <w:rFonts w:ascii="Verdana" w:eastAsia="Calibri" w:hAnsi="Verdana" w:cs="Calibri"/>
        <w:noProof/>
        <w:lang w:val="en-US"/>
      </w:rPr>
      <w:drawing>
        <wp:anchor distT="0" distB="0" distL="114300" distR="114300" simplePos="0" relativeHeight="251657728" behindDoc="0" locked="0" layoutInCell="1" allowOverlap="1" wp14:anchorId="711B3E1E" wp14:editId="3D2AE9FB">
          <wp:simplePos x="0" y="0"/>
          <wp:positionH relativeFrom="page">
            <wp:posOffset>5112385</wp:posOffset>
          </wp:positionH>
          <wp:positionV relativeFrom="paragraph">
            <wp:posOffset>8255</wp:posOffset>
          </wp:positionV>
          <wp:extent cx="2125980" cy="796925"/>
          <wp:effectExtent l="0" t="0" r="7620" b="3175"/>
          <wp:wrapSquare wrapText="bothSides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0F7B36" w14:textId="77777777" w:rsidR="00DE7EF0" w:rsidRPr="00DE7EF0" w:rsidRDefault="00DE7EF0" w:rsidP="00DE7EF0">
    <w:pPr>
      <w:tabs>
        <w:tab w:val="center" w:pos="4536"/>
        <w:tab w:val="right" w:pos="9072"/>
      </w:tabs>
      <w:spacing w:after="0" w:line="240" w:lineRule="auto"/>
      <w:rPr>
        <w:rFonts w:ascii="Verdana" w:eastAsia="Calibri" w:hAnsi="Verdana" w:cs="Calibri"/>
        <w:b/>
        <w:bCs/>
      </w:rPr>
    </w:pPr>
    <w:r w:rsidRPr="00DE7EF0">
      <w:rPr>
        <w:rFonts w:ascii="Verdana" w:eastAsia="Calibri" w:hAnsi="Verdana" w:cs="Calibri"/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5F0DF0" wp14:editId="03A67C2B">
              <wp:simplePos x="0" y="0"/>
              <wp:positionH relativeFrom="margin">
                <wp:posOffset>1938655</wp:posOffset>
              </wp:positionH>
              <wp:positionV relativeFrom="paragraph">
                <wp:posOffset>554990</wp:posOffset>
              </wp:positionV>
              <wp:extent cx="2628900" cy="238760"/>
              <wp:effectExtent l="0" t="0" r="0" b="889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E2703A" w14:textId="77777777" w:rsidR="00DE7EF0" w:rsidRPr="009404BD" w:rsidRDefault="00DE7EF0" w:rsidP="00DE7EF0">
                          <w:pPr>
                            <w:spacing w:after="0"/>
                            <w:textAlignment w:val="baseline"/>
                            <w:rPr>
                              <w:sz w:val="16"/>
                              <w:szCs w:val="16"/>
                            </w:rPr>
                          </w:pPr>
                          <w:r w:rsidRPr="009404BD"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МИНИСТ</w:t>
                          </w:r>
                          <w:r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ЕРСТВО НА ЗЕМЕДЕЛИЕТО И ХРАНИТЕ</w:t>
                          </w:r>
                        </w:p>
                        <w:p w14:paraId="3EF82C26" w14:textId="77777777" w:rsidR="00DE7EF0" w:rsidRDefault="00DE7EF0" w:rsidP="00DE7EF0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5F0DF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52.65pt;margin-top:43.7pt;width:207pt;height:18.8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" filled="f" stroked="f">
              <v:textbox>
                <w:txbxContent>
                  <w:p w14:paraId="39E2703A" w14:textId="77777777" w:rsidR="00DE7EF0" w:rsidRPr="009404BD" w:rsidRDefault="00DE7EF0" w:rsidP="00DE7EF0">
                    <w:pPr>
                      <w:spacing w:after="0"/>
                      <w:textAlignment w:val="baseline"/>
                      <w:rPr>
                        <w:sz w:val="16"/>
                        <w:szCs w:val="16"/>
                      </w:rPr>
                    </w:pPr>
                    <w:r w:rsidRPr="009404BD"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МИНИСТ</w:t>
                    </w:r>
                    <w:r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ЕРСТВО НА ЗЕМЕДЕЛИЕТО И ХРАНИТЕ</w:t>
                    </w:r>
                  </w:p>
                  <w:p w14:paraId="3EF82C26" w14:textId="77777777" w:rsidR="00DE7EF0" w:rsidRDefault="00DE7EF0" w:rsidP="00DE7EF0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DE7EF0">
      <w:rPr>
        <w:rFonts w:ascii="Verdana" w:eastAsia="Calibri" w:hAnsi="Verdana" w:cs="Calibri"/>
        <w:b/>
        <w:noProof/>
        <w:lang w:val="en-US"/>
      </w:rPr>
      <w:drawing>
        <wp:inline distT="0" distB="0" distL="0" distR="0" wp14:anchorId="24F63824" wp14:editId="14D4919A">
          <wp:extent cx="2121535" cy="453390"/>
          <wp:effectExtent l="0" t="0" r="0" b="381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F6B30B" w14:textId="77777777" w:rsidR="00DE7EF0" w:rsidRDefault="00DE7E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0BC"/>
    <w:rsid w:val="000C3859"/>
    <w:rsid w:val="000D0599"/>
    <w:rsid w:val="000F5158"/>
    <w:rsid w:val="00113267"/>
    <w:rsid w:val="001B5313"/>
    <w:rsid w:val="001E76BE"/>
    <w:rsid w:val="002A5103"/>
    <w:rsid w:val="003559F9"/>
    <w:rsid w:val="00407F18"/>
    <w:rsid w:val="0042508C"/>
    <w:rsid w:val="004940D6"/>
    <w:rsid w:val="004D584A"/>
    <w:rsid w:val="005C257F"/>
    <w:rsid w:val="005E02E7"/>
    <w:rsid w:val="005E653A"/>
    <w:rsid w:val="007A5E5D"/>
    <w:rsid w:val="0082122B"/>
    <w:rsid w:val="00822728"/>
    <w:rsid w:val="00851A3F"/>
    <w:rsid w:val="008930C0"/>
    <w:rsid w:val="008A42B3"/>
    <w:rsid w:val="009214CF"/>
    <w:rsid w:val="00931761"/>
    <w:rsid w:val="00A75320"/>
    <w:rsid w:val="00B34BEE"/>
    <w:rsid w:val="00C918A0"/>
    <w:rsid w:val="00D308E6"/>
    <w:rsid w:val="00DE7EF0"/>
    <w:rsid w:val="00E110BC"/>
    <w:rsid w:val="00E328B7"/>
    <w:rsid w:val="00E41F26"/>
    <w:rsid w:val="00E80C72"/>
    <w:rsid w:val="00EC1160"/>
    <w:rsid w:val="00F0588C"/>
    <w:rsid w:val="00F702FF"/>
    <w:rsid w:val="00FD450F"/>
    <w:rsid w:val="00FF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88A6A3A"/>
  <w15:docId w15:val="{365EBE97-4D6A-49C2-91B3-0D4F1AD4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EF0"/>
  </w:style>
  <w:style w:type="paragraph" w:styleId="Footer">
    <w:name w:val="footer"/>
    <w:basedOn w:val="Normal"/>
    <w:link w:val="FooterChar"/>
    <w:uiPriority w:val="99"/>
    <w:unhideWhenUsed/>
    <w:rsid w:val="00DE7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EF0"/>
  </w:style>
  <w:style w:type="character" w:styleId="Hyperlink">
    <w:name w:val="Hyperlink"/>
    <w:basedOn w:val="DefaultParagraphFont"/>
    <w:uiPriority w:val="99"/>
    <w:unhideWhenUsed/>
    <w:rsid w:val="00A7532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4C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41F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1F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1F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1F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1F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mis2020.government.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ufunds.b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ufunds.bg/bg/node/8224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2173</Words>
  <Characters>12392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Stoimen Yochev</dc:creator>
  <cp:keywords/>
  <dc:description/>
  <cp:lastModifiedBy>Evgeniya Cherkezova</cp:lastModifiedBy>
  <cp:revision>27</cp:revision>
  <dcterms:created xsi:type="dcterms:W3CDTF">2024-07-24T12:43:00Z</dcterms:created>
  <dcterms:modified xsi:type="dcterms:W3CDTF">2026-07-02T13:03:00Z</dcterms:modified>
</cp:coreProperties>
</file>