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4ACB7" w14:textId="77777777" w:rsidR="004E79A7" w:rsidRPr="004E79A7" w:rsidRDefault="004E79A7" w:rsidP="004E79A7">
      <w:pPr>
        <w:spacing w:after="0" w:line="240" w:lineRule="auto"/>
        <w:jc w:val="center"/>
        <w:rPr>
          <w:rFonts w:ascii="Times New Roman" w:eastAsia="Times New Roman" w:hAnsi="Times New Roman" w:cs="Times New Roman"/>
          <w:b/>
          <w:kern w:val="0"/>
          <w:sz w:val="24"/>
          <w:szCs w:val="24"/>
          <w:lang w:val="bg-BG"/>
          <w14:ligatures w14:val="none"/>
        </w:rPr>
      </w:pPr>
    </w:p>
    <w:p w14:paraId="3532E72F" w14:textId="77777777" w:rsidR="004E79A7" w:rsidRPr="004E79A7" w:rsidRDefault="004E79A7" w:rsidP="004E79A7">
      <w:pPr>
        <w:spacing w:after="0" w:line="240" w:lineRule="auto"/>
        <w:jc w:val="center"/>
        <w:rPr>
          <w:rFonts w:ascii="Times New Roman" w:eastAsia="Times New Roman" w:hAnsi="Times New Roman" w:cs="Times New Roman"/>
          <w:b/>
          <w:kern w:val="0"/>
          <w:sz w:val="24"/>
          <w:szCs w:val="24"/>
          <w:lang w:val="bg-BG"/>
          <w14:ligatures w14:val="none"/>
        </w:rPr>
      </w:pPr>
    </w:p>
    <w:p w14:paraId="7CDBD5E7" w14:textId="77777777" w:rsidR="004E79A7" w:rsidRPr="004E79A7" w:rsidRDefault="004E79A7" w:rsidP="004E79A7">
      <w:pPr>
        <w:spacing w:after="0" w:line="240" w:lineRule="auto"/>
        <w:jc w:val="center"/>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МЕТОДИКА</w:t>
      </w:r>
    </w:p>
    <w:p w14:paraId="18AA0B56" w14:textId="77777777" w:rsidR="004E79A7" w:rsidRPr="004E79A7" w:rsidRDefault="004E79A7" w:rsidP="004E79A7">
      <w:pPr>
        <w:spacing w:after="0" w:line="240" w:lineRule="auto"/>
        <w:jc w:val="center"/>
        <w:rPr>
          <w:rFonts w:ascii="Times New Roman" w:eastAsia="Times New Roman" w:hAnsi="Times New Roman" w:cs="Times New Roman"/>
          <w:b/>
          <w:kern w:val="0"/>
          <w:sz w:val="24"/>
          <w:szCs w:val="24"/>
          <w:lang w:val="ru-RU"/>
          <w14:ligatures w14:val="none"/>
        </w:rPr>
      </w:pPr>
      <w:r w:rsidRPr="004E79A7">
        <w:rPr>
          <w:rFonts w:ascii="Times New Roman" w:eastAsia="Times New Roman" w:hAnsi="Times New Roman" w:cs="Times New Roman"/>
          <w:b/>
          <w:kern w:val="0"/>
          <w:sz w:val="24"/>
          <w:szCs w:val="24"/>
          <w:lang w:val="bg-BG"/>
          <w14:ligatures w14:val="none"/>
        </w:rPr>
        <w:t>ЗА ОЦЕНКА НА ОФЕРТИТЕ</w:t>
      </w:r>
    </w:p>
    <w:p w14:paraId="4E81A501" w14:textId="77777777" w:rsidR="004E79A7" w:rsidRPr="004E79A7" w:rsidRDefault="004E79A7" w:rsidP="004E79A7">
      <w:pPr>
        <w:spacing w:after="0" w:line="240" w:lineRule="auto"/>
        <w:rPr>
          <w:rFonts w:ascii="Times New Roman" w:eastAsia="Times New Roman" w:hAnsi="Times New Roman" w:cs="Times New Roman"/>
          <w:b/>
          <w:kern w:val="0"/>
          <w:sz w:val="24"/>
          <w:szCs w:val="24"/>
          <w:lang w:val="bg-BG"/>
          <w14:ligatures w14:val="none"/>
        </w:rPr>
      </w:pPr>
    </w:p>
    <w:p w14:paraId="5EA3EB22"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в процедура „Избор с Публична покана“ за определяне на изпълнители по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по Програма ИНТЕРРЕГ VI-Б Дунавски регион 2021-2027 г.</w:t>
      </w:r>
    </w:p>
    <w:p w14:paraId="5180540A"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p>
    <w:p w14:paraId="4324D18F" w14:textId="77777777" w:rsidR="004E79A7" w:rsidRPr="004E79A7" w:rsidRDefault="004E79A7" w:rsidP="00301AD4">
      <w:pPr>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1. Обща информация</w:t>
      </w:r>
    </w:p>
    <w:p w14:paraId="76883130" w14:textId="7A7529EA" w:rsidR="004E79A7" w:rsidRPr="00F23434" w:rsidRDefault="004E79A7" w:rsidP="00301AD4">
      <w:pPr>
        <w:spacing w:after="0" w:line="240" w:lineRule="auto"/>
        <w:jc w:val="both"/>
        <w:rPr>
          <w:rFonts w:ascii="Times New Roman" w:eastAsia="Times New Roman" w:hAnsi="Times New Roman" w:cs="Times New Roman"/>
          <w:kern w:val="0"/>
          <w:sz w:val="24"/>
          <w:szCs w:val="24"/>
          <w:lang w:val="en-US"/>
          <w14:ligatures w14:val="none"/>
        </w:rPr>
      </w:pPr>
      <w:r w:rsidRPr="004E79A7">
        <w:rPr>
          <w:rFonts w:ascii="Times New Roman" w:eastAsia="Times New Roman" w:hAnsi="Times New Roman" w:cs="Times New Roman"/>
          <w:kern w:val="0"/>
          <w:sz w:val="24"/>
          <w:szCs w:val="24"/>
          <w:lang w:val="bg-BG"/>
          <w14:ligatures w14:val="none"/>
        </w:rPr>
        <w:t>Настоящата процедура се възлага въз основа на икономически най - изгодната оферта. Тя се определя на следния критерий за възлагане: „оптимално съотношение качество/цена“ , което ще се оценява въз основа на цената, както и на показател, включващ качествени аспекти, свързани пряко с предмета на поръчката, а именно „Оценка на професионалната компетентност на персонала“.</w:t>
      </w:r>
      <w:r w:rsidR="00F23434">
        <w:rPr>
          <w:rFonts w:ascii="Times New Roman" w:eastAsia="Times New Roman" w:hAnsi="Times New Roman" w:cs="Times New Roman"/>
          <w:kern w:val="0"/>
          <w:sz w:val="24"/>
          <w:szCs w:val="24"/>
          <w:lang w:val="en-US"/>
          <w14:ligatures w14:val="none"/>
        </w:rPr>
        <w:t xml:space="preserve"> </w:t>
      </w:r>
    </w:p>
    <w:p w14:paraId="61D40143"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Комплексната оценка (КО) има максимална стойност 100 точки. На първо място се класира участникът, получил най-висока комплексна оценка на офертата.</w:t>
      </w:r>
    </w:p>
    <w:p w14:paraId="2B6C149B" w14:textId="284C999D" w:rsidR="003C6016"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Като част от поканата към настоящата поръчка е техническата спецификация</w:t>
      </w:r>
      <w:r w:rsidR="00301AD4">
        <w:rPr>
          <w:rFonts w:ascii="Times New Roman" w:eastAsia="Times New Roman" w:hAnsi="Times New Roman" w:cs="Times New Roman"/>
          <w:kern w:val="0"/>
          <w:sz w:val="24"/>
          <w:szCs w:val="24"/>
          <w:lang w:val="bg-BG"/>
          <w14:ligatures w14:val="none"/>
        </w:rPr>
        <w:t xml:space="preserve">. </w:t>
      </w:r>
      <w:r w:rsidRPr="004E79A7">
        <w:rPr>
          <w:rFonts w:ascii="Times New Roman" w:eastAsia="Times New Roman" w:hAnsi="Times New Roman" w:cs="Times New Roman"/>
          <w:kern w:val="0"/>
          <w:sz w:val="24"/>
          <w:szCs w:val="24"/>
          <w:lang w:val="bg-BG"/>
          <w14:ligatures w14:val="none"/>
        </w:rPr>
        <w:t xml:space="preserve">Същите следва да се считат като предварително обявени условия за изпълнение на поръчката. Предложения, които не отговарят на тях, както и/или на приложимото действащо законодателство и </w:t>
      </w:r>
      <w:r w:rsidRPr="00301AD4">
        <w:rPr>
          <w:rFonts w:ascii="Times New Roman" w:eastAsia="Times New Roman" w:hAnsi="Times New Roman" w:cs="Times New Roman"/>
          <w:kern w:val="0"/>
          <w:sz w:val="24"/>
          <w:szCs w:val="24"/>
          <w:lang w:val="bg-BG"/>
          <w14:ligatures w14:val="none"/>
        </w:rPr>
        <w:t>изисквания на програмата</w:t>
      </w:r>
      <w:r w:rsidRPr="004E79A7">
        <w:rPr>
          <w:rFonts w:ascii="Times New Roman" w:eastAsia="Times New Roman" w:hAnsi="Times New Roman" w:cs="Times New Roman"/>
          <w:kern w:val="0"/>
          <w:sz w:val="24"/>
          <w:szCs w:val="24"/>
          <w:lang w:val="bg-BG"/>
          <w14:ligatures w14:val="none"/>
        </w:rPr>
        <w:t xml:space="preserve"> няма да бъдат предмет на оценка и ще бъдат предложени за отстраняване.</w:t>
      </w:r>
    </w:p>
    <w:p w14:paraId="4F31EB8D" w14:textId="1D142BB7" w:rsidR="003C6016" w:rsidRDefault="003C6016" w:rsidP="00301AD4">
      <w:pPr>
        <w:spacing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Изискванията на програмата са налични на следния интернет адрес:</w:t>
      </w:r>
      <w:r w:rsidRPr="003C6016">
        <w:t xml:space="preserve"> </w:t>
      </w:r>
      <w:r w:rsidRPr="003C6016">
        <w:rPr>
          <w:rFonts w:ascii="Times New Roman" w:eastAsia="Times New Roman" w:hAnsi="Times New Roman" w:cs="Times New Roman"/>
          <w:kern w:val="0"/>
          <w:sz w:val="24"/>
          <w:szCs w:val="24"/>
          <w:lang w:val="bg-BG"/>
          <w14:ligatures w14:val="none"/>
        </w:rPr>
        <w:t>https://www.interreg-danube.eu/dtp-archive/about-dtp/new-funding-2021-2027/project-implementation-documents/regular-project</w:t>
      </w:r>
    </w:p>
    <w:p w14:paraId="1D4146E0" w14:textId="49EC6EA2"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Начинът на оценяване по настоящата методика дава възможност да бъдат сравнени и оценени обективно предложенията на кандидатите, тъй като дефинираното надграждане по отношение на професионалната компетентност на персонала става не на субективен, а на обективен принцип - предварително посочени обстоятелства, като непредлагане на последните не води до отстраняване на участника в случай, че същият е предложил експерти, отговарящи на минималните базови изисквания. </w:t>
      </w:r>
    </w:p>
    <w:p w14:paraId="6C48C98D"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p>
    <w:p w14:paraId="3F691FAF" w14:textId="77777777" w:rsidR="004E79A7" w:rsidRPr="004E79A7" w:rsidRDefault="004E79A7" w:rsidP="00301AD4">
      <w:pPr>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 xml:space="preserve">2. Указания за определяне на Комплексната оценка КО </w:t>
      </w:r>
      <w:r w:rsidRPr="004E79A7">
        <w:rPr>
          <w:rFonts w:ascii="Times New Roman" w:eastAsia="Times New Roman" w:hAnsi="Times New Roman" w:cs="Times New Roman"/>
          <w:b/>
          <w:kern w:val="0"/>
          <w:sz w:val="24"/>
          <w:szCs w:val="24"/>
          <w:lang w:val="en-US"/>
          <w14:ligatures w14:val="none"/>
        </w:rPr>
        <w:t>(</w:t>
      </w:r>
      <w:r w:rsidRPr="004E79A7">
        <w:rPr>
          <w:rFonts w:ascii="Times New Roman" w:eastAsia="Times New Roman" w:hAnsi="Times New Roman" w:cs="Times New Roman"/>
          <w:b/>
          <w:kern w:val="0"/>
          <w:sz w:val="24"/>
          <w:szCs w:val="24"/>
          <w:lang w:val="bg-BG"/>
          <w14:ligatures w14:val="none"/>
        </w:rPr>
        <w:t>важи и за двете обособени позиции</w:t>
      </w:r>
      <w:r w:rsidRPr="004E79A7">
        <w:rPr>
          <w:rFonts w:ascii="Times New Roman" w:eastAsia="Times New Roman" w:hAnsi="Times New Roman" w:cs="Times New Roman"/>
          <w:b/>
          <w:kern w:val="0"/>
          <w:sz w:val="24"/>
          <w:szCs w:val="24"/>
          <w:lang w:val="en-US"/>
          <w14:ligatures w14:val="none"/>
        </w:rPr>
        <w:t>)</w:t>
      </w:r>
    </w:p>
    <w:p w14:paraId="3EF140FC"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КО на офертите на кандидатите в настоящата процедура се изчислява базирано на следните два показателя:</w:t>
      </w:r>
    </w:p>
    <w:p w14:paraId="4856D72B"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p>
    <w:p w14:paraId="46895B5F" w14:textId="77777777" w:rsid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Показатели за комплексна оценка и съответен брой точки (относителна тежест)</w:t>
      </w:r>
    </w:p>
    <w:p w14:paraId="2B1220EA" w14:textId="77777777" w:rsidR="00301AD4" w:rsidRPr="004E79A7" w:rsidRDefault="00301AD4" w:rsidP="00301AD4">
      <w:pPr>
        <w:spacing w:after="0" w:line="240" w:lineRule="auto"/>
        <w:jc w:val="both"/>
        <w:rPr>
          <w:rFonts w:ascii="Times New Roman" w:eastAsia="Times New Roman" w:hAnsi="Times New Roman" w:cs="Times New Roman"/>
          <w:kern w:val="0"/>
          <w:sz w:val="24"/>
          <w:szCs w:val="24"/>
          <w:lang w:val="bg-BG"/>
          <w14:ligatures w14:val="none"/>
        </w:rPr>
      </w:pPr>
    </w:p>
    <w:tbl>
      <w:tblPr>
        <w:tblW w:w="9252" w:type="dxa"/>
        <w:jc w:val="center"/>
        <w:tblInd w:w="180" w:type="dxa"/>
        <w:tblLayout w:type="fixed"/>
        <w:tblCellMar>
          <w:left w:w="10" w:type="dxa"/>
          <w:right w:w="10" w:type="dxa"/>
        </w:tblCellMar>
        <w:tblLook w:val="04A0" w:firstRow="1" w:lastRow="0" w:firstColumn="1" w:lastColumn="0" w:noHBand="0" w:noVBand="1"/>
      </w:tblPr>
      <w:tblGrid>
        <w:gridCol w:w="6070"/>
        <w:gridCol w:w="3182"/>
      </w:tblGrid>
      <w:tr w:rsidR="004E79A7" w:rsidRPr="004E79A7" w14:paraId="220C0DE6" w14:textId="77777777" w:rsidTr="00301AD4">
        <w:trPr>
          <w:trHeight w:val="269"/>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E8321AE" w14:textId="77777777" w:rsidR="004E79A7" w:rsidRPr="004E79A7" w:rsidRDefault="004E79A7" w:rsidP="00301AD4">
            <w:pPr>
              <w:spacing w:after="0" w:line="240" w:lineRule="auto"/>
              <w:jc w:val="center"/>
              <w:rPr>
                <w:rFonts w:ascii="Times New Roman" w:eastAsia="Times New Roman" w:hAnsi="Times New Roman" w:cs="Times New Roman"/>
                <w:b/>
                <w:kern w:val="0"/>
                <w:sz w:val="24"/>
                <w:szCs w:val="24"/>
                <w:lang w:val="en-US"/>
                <w14:ligatures w14:val="none"/>
              </w:rPr>
            </w:pPr>
            <w:proofErr w:type="spellStart"/>
            <w:r w:rsidRPr="004E79A7">
              <w:rPr>
                <w:rFonts w:ascii="Times New Roman" w:eastAsia="Times New Roman" w:hAnsi="Times New Roman" w:cs="Times New Roman"/>
                <w:b/>
                <w:kern w:val="0"/>
                <w:sz w:val="24"/>
                <w:szCs w:val="24"/>
                <w:lang w:val="en-US"/>
                <w14:ligatures w14:val="none"/>
              </w:rPr>
              <w:t>Показател</w:t>
            </w:r>
            <w:proofErr w:type="spellEnd"/>
          </w:p>
        </w:tc>
        <w:tc>
          <w:tcPr>
            <w:tcW w:w="3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27AFE5B5" w14:textId="77777777" w:rsidR="004E79A7" w:rsidRPr="004E79A7" w:rsidRDefault="004E79A7" w:rsidP="00301AD4">
            <w:pPr>
              <w:spacing w:after="0" w:line="240" w:lineRule="auto"/>
              <w:jc w:val="both"/>
              <w:rPr>
                <w:rFonts w:ascii="Times New Roman" w:eastAsia="Times New Roman" w:hAnsi="Times New Roman" w:cs="Times New Roman"/>
                <w:b/>
                <w:kern w:val="0"/>
                <w:sz w:val="24"/>
                <w:szCs w:val="24"/>
                <w:lang w:val="en-US"/>
                <w14:ligatures w14:val="none"/>
              </w:rPr>
            </w:pPr>
            <w:proofErr w:type="spellStart"/>
            <w:r w:rsidRPr="004E79A7">
              <w:rPr>
                <w:rFonts w:ascii="Times New Roman" w:eastAsia="Times New Roman" w:hAnsi="Times New Roman" w:cs="Times New Roman"/>
                <w:b/>
                <w:kern w:val="0"/>
                <w:sz w:val="24"/>
                <w:szCs w:val="24"/>
                <w:lang w:val="en-US"/>
                <w14:ligatures w14:val="none"/>
              </w:rPr>
              <w:t>Максимален</w:t>
            </w:r>
            <w:proofErr w:type="spellEnd"/>
            <w:r w:rsidRPr="004E79A7">
              <w:rPr>
                <w:rFonts w:ascii="Times New Roman" w:eastAsia="Times New Roman" w:hAnsi="Times New Roman" w:cs="Times New Roman"/>
                <w:b/>
                <w:kern w:val="0"/>
                <w:sz w:val="24"/>
                <w:szCs w:val="24"/>
                <w:lang w:val="en-US"/>
                <w14:ligatures w14:val="none"/>
              </w:rPr>
              <w:t xml:space="preserve"> </w:t>
            </w:r>
            <w:proofErr w:type="spellStart"/>
            <w:r w:rsidRPr="004E79A7">
              <w:rPr>
                <w:rFonts w:ascii="Times New Roman" w:eastAsia="Times New Roman" w:hAnsi="Times New Roman" w:cs="Times New Roman"/>
                <w:b/>
                <w:kern w:val="0"/>
                <w:sz w:val="24"/>
                <w:szCs w:val="24"/>
                <w:lang w:val="en-US"/>
                <w14:ligatures w14:val="none"/>
              </w:rPr>
              <w:t>брой</w:t>
            </w:r>
            <w:proofErr w:type="spellEnd"/>
            <w:r w:rsidRPr="004E79A7">
              <w:rPr>
                <w:rFonts w:ascii="Times New Roman" w:eastAsia="Times New Roman" w:hAnsi="Times New Roman" w:cs="Times New Roman"/>
                <w:b/>
                <w:kern w:val="0"/>
                <w:sz w:val="24"/>
                <w:szCs w:val="24"/>
                <w:lang w:val="en-US"/>
                <w14:ligatures w14:val="none"/>
              </w:rPr>
              <w:t xml:space="preserve"> </w:t>
            </w:r>
            <w:proofErr w:type="spellStart"/>
            <w:r w:rsidRPr="004E79A7">
              <w:rPr>
                <w:rFonts w:ascii="Times New Roman" w:eastAsia="Times New Roman" w:hAnsi="Times New Roman" w:cs="Times New Roman"/>
                <w:b/>
                <w:kern w:val="0"/>
                <w:sz w:val="24"/>
                <w:szCs w:val="24"/>
                <w:lang w:val="en-US"/>
                <w14:ligatures w14:val="none"/>
              </w:rPr>
              <w:t>точки</w:t>
            </w:r>
            <w:proofErr w:type="spellEnd"/>
          </w:p>
        </w:tc>
      </w:tr>
      <w:tr w:rsidR="004E79A7" w:rsidRPr="004E79A7" w14:paraId="4DCCD2E9" w14:textId="77777777" w:rsidTr="00301AD4">
        <w:trPr>
          <w:trHeight w:val="274"/>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437DEC6C" w14:textId="77777777" w:rsidR="004E79A7" w:rsidRPr="004E79A7" w:rsidRDefault="004E79A7" w:rsidP="00301AD4">
            <w:pPr>
              <w:spacing w:after="0" w:line="240" w:lineRule="auto"/>
              <w:ind w:left="80" w:right="158"/>
              <w:jc w:val="both"/>
              <w:rPr>
                <w:rFonts w:ascii="Times New Roman" w:eastAsia="Times New Roman" w:hAnsi="Times New Roman" w:cs="Times New Roman"/>
                <w:kern w:val="0"/>
                <w:sz w:val="24"/>
                <w:szCs w:val="24"/>
                <w:lang w:val="en-US"/>
                <w14:ligatures w14:val="none"/>
              </w:rPr>
            </w:pPr>
            <w:r w:rsidRPr="004E79A7">
              <w:rPr>
                <w:rFonts w:ascii="Times New Roman" w:eastAsia="Times New Roman" w:hAnsi="Times New Roman" w:cs="Times New Roman"/>
                <w:kern w:val="0"/>
                <w:sz w:val="24"/>
                <w:szCs w:val="24"/>
                <w:lang w:val="bg-BG"/>
                <w14:ligatures w14:val="none"/>
              </w:rPr>
              <w:t>1</w:t>
            </w:r>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Показател</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Оценка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на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професионалната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компетентност</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на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персонала</w:t>
            </w:r>
            <w:proofErr w:type="spellEnd"/>
            <w:r w:rsidRPr="004E79A7">
              <w:rPr>
                <w:rFonts w:ascii="Times New Roman" w:eastAsia="Times New Roman" w:hAnsi="Times New Roman" w:cs="Times New Roman"/>
                <w:kern w:val="0"/>
                <w:sz w:val="24"/>
                <w:szCs w:val="24"/>
                <w:lang w:val="en-US"/>
                <w14:ligatures w14:val="none"/>
              </w:rPr>
              <w:t>“ - (ОПК)</w:t>
            </w:r>
          </w:p>
        </w:tc>
        <w:tc>
          <w:tcPr>
            <w:tcW w:w="3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50E3CA18" w14:textId="77777777" w:rsidR="004E79A7" w:rsidRPr="004E79A7" w:rsidRDefault="004E79A7" w:rsidP="00301AD4">
            <w:pPr>
              <w:spacing w:after="0" w:line="240" w:lineRule="auto"/>
              <w:jc w:val="center"/>
              <w:rPr>
                <w:rFonts w:ascii="Times New Roman" w:eastAsia="Times New Roman" w:hAnsi="Times New Roman" w:cs="Times New Roman"/>
                <w:kern w:val="0"/>
                <w:sz w:val="24"/>
                <w:szCs w:val="24"/>
                <w:lang w:val="en-US"/>
                <w14:ligatures w14:val="none"/>
              </w:rPr>
            </w:pPr>
            <w:r w:rsidRPr="004E79A7">
              <w:rPr>
                <w:rFonts w:ascii="Times New Roman" w:eastAsia="Times New Roman" w:hAnsi="Times New Roman" w:cs="Times New Roman"/>
                <w:kern w:val="0"/>
                <w:sz w:val="24"/>
                <w:szCs w:val="24"/>
                <w:lang w:val="bg-BG"/>
                <w14:ligatures w14:val="none"/>
              </w:rPr>
              <w:t>50</w:t>
            </w:r>
            <w:r w:rsidRPr="004E79A7">
              <w:rPr>
                <w:rFonts w:ascii="Times New Roman" w:eastAsia="Times New Roman" w:hAnsi="Times New Roman" w:cs="Times New Roman"/>
                <w:kern w:val="0"/>
                <w:sz w:val="24"/>
                <w:szCs w:val="24"/>
                <w:lang w:val="en-US"/>
                <w14:ligatures w14:val="none"/>
              </w:rPr>
              <w:t xml:space="preserve"> т.</w:t>
            </w:r>
          </w:p>
        </w:tc>
      </w:tr>
      <w:tr w:rsidR="004E79A7" w:rsidRPr="004E79A7" w14:paraId="7E8B35EE" w14:textId="77777777" w:rsidTr="00301AD4">
        <w:trPr>
          <w:trHeight w:val="264"/>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45C40677" w14:textId="77777777" w:rsidR="004E79A7" w:rsidRPr="004E79A7" w:rsidRDefault="004E79A7" w:rsidP="00301AD4">
            <w:pPr>
              <w:spacing w:after="0" w:line="240" w:lineRule="auto"/>
              <w:ind w:left="80" w:right="158"/>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2</w:t>
            </w:r>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Показател</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Оценка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на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ценовото</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предложение</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на</w:t>
            </w:r>
            <w:proofErr w:type="spellEnd"/>
            <w:r w:rsidRPr="004E79A7">
              <w:rPr>
                <w:rFonts w:ascii="Times New Roman" w:eastAsia="Times New Roman" w:hAnsi="Times New Roman" w:cs="Times New Roman"/>
                <w:kern w:val="0"/>
                <w:sz w:val="24"/>
                <w:szCs w:val="24"/>
                <w:lang w:val="en-US"/>
                <w14:ligatures w14:val="none"/>
              </w:rPr>
              <w:t xml:space="preserve"> </w:t>
            </w:r>
            <w:proofErr w:type="spellStart"/>
            <w:r w:rsidRPr="004E79A7">
              <w:rPr>
                <w:rFonts w:ascii="Times New Roman" w:eastAsia="Times New Roman" w:hAnsi="Times New Roman" w:cs="Times New Roman"/>
                <w:kern w:val="0"/>
                <w:sz w:val="24"/>
                <w:szCs w:val="24"/>
                <w:lang w:val="en-US"/>
                <w14:ligatures w14:val="none"/>
              </w:rPr>
              <w:t>участника</w:t>
            </w:r>
            <w:proofErr w:type="spellEnd"/>
            <w:r w:rsidRPr="004E79A7">
              <w:rPr>
                <w:rFonts w:ascii="Times New Roman" w:eastAsia="Times New Roman" w:hAnsi="Times New Roman" w:cs="Times New Roman"/>
                <w:kern w:val="0"/>
                <w:sz w:val="24"/>
                <w:szCs w:val="24"/>
                <w:lang w:val="en-US"/>
                <w14:ligatures w14:val="none"/>
              </w:rPr>
              <w:t>“ - (ОЦ)</w:t>
            </w:r>
          </w:p>
        </w:tc>
        <w:tc>
          <w:tcPr>
            <w:tcW w:w="31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C38EA8F" w14:textId="77777777" w:rsidR="004E79A7" w:rsidRPr="004E79A7" w:rsidRDefault="004E79A7" w:rsidP="00301AD4">
            <w:pPr>
              <w:spacing w:after="0" w:line="240" w:lineRule="auto"/>
              <w:jc w:val="center"/>
              <w:rPr>
                <w:rFonts w:ascii="Times New Roman" w:eastAsia="Times New Roman" w:hAnsi="Times New Roman" w:cs="Times New Roman"/>
                <w:kern w:val="0"/>
                <w:sz w:val="24"/>
                <w:szCs w:val="24"/>
                <w:lang w:val="en-US"/>
                <w14:ligatures w14:val="none"/>
              </w:rPr>
            </w:pPr>
            <w:r w:rsidRPr="004E79A7">
              <w:rPr>
                <w:rFonts w:ascii="Times New Roman" w:eastAsia="Times New Roman" w:hAnsi="Times New Roman" w:cs="Times New Roman"/>
                <w:kern w:val="0"/>
                <w:sz w:val="24"/>
                <w:szCs w:val="24"/>
                <w:lang w:val="bg-BG"/>
                <w14:ligatures w14:val="none"/>
              </w:rPr>
              <w:t>50</w:t>
            </w:r>
            <w:r w:rsidRPr="004E79A7">
              <w:rPr>
                <w:rFonts w:ascii="Times New Roman" w:eastAsia="Times New Roman" w:hAnsi="Times New Roman" w:cs="Times New Roman"/>
                <w:kern w:val="0"/>
                <w:sz w:val="24"/>
                <w:szCs w:val="24"/>
                <w:lang w:val="en-US"/>
                <w14:ligatures w14:val="none"/>
              </w:rPr>
              <w:t xml:space="preserve"> т.</w:t>
            </w:r>
          </w:p>
        </w:tc>
      </w:tr>
    </w:tbl>
    <w:p w14:paraId="3DA0DE54"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p>
    <w:p w14:paraId="5F7E0186"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Формулата, по която се изчислява КО за всеки участник, е: КО = ОПК + ОЦ с максимална стойност 100 точки.</w:t>
      </w:r>
    </w:p>
    <w:p w14:paraId="000D56B0" w14:textId="77777777" w:rsidR="004E79A7" w:rsidRPr="004E79A7" w:rsidRDefault="004E79A7" w:rsidP="00301AD4">
      <w:pPr>
        <w:spacing w:after="0" w:line="240" w:lineRule="auto"/>
        <w:jc w:val="both"/>
        <w:rPr>
          <w:rFonts w:ascii="Times New Roman" w:eastAsia="Times New Roman" w:hAnsi="Times New Roman" w:cs="Times New Roman"/>
          <w:kern w:val="0"/>
          <w:sz w:val="24"/>
          <w:szCs w:val="24"/>
          <w:lang w:val="bg-BG"/>
          <w14:ligatures w14:val="none"/>
        </w:rPr>
      </w:pPr>
    </w:p>
    <w:p w14:paraId="1AC34BB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lastRenderedPageBreak/>
        <w:t>3.</w:t>
      </w:r>
      <w:r w:rsidRPr="004E79A7">
        <w:rPr>
          <w:rFonts w:ascii="Times New Roman" w:eastAsia="Times New Roman" w:hAnsi="Times New Roman" w:cs="Times New Roman"/>
          <w:b/>
          <w:kern w:val="0"/>
          <w:sz w:val="24"/>
          <w:szCs w:val="24"/>
          <w:lang w:val="bg-BG"/>
          <w14:ligatures w14:val="none"/>
        </w:rPr>
        <w:tab/>
        <w:t>Указания по отношение на значението, включително относителната тежест на всеки от показателите</w:t>
      </w:r>
    </w:p>
    <w:p w14:paraId="513CAB0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p>
    <w:p w14:paraId="1F79590D"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3.1. Показател  „Оценка на професионалната компетентност на персонала“ (ОПК)  - </w:t>
      </w:r>
      <w:r w:rsidRPr="004E79A7">
        <w:rPr>
          <w:rFonts w:ascii="Times New Roman" w:eastAsia="Times New Roman" w:hAnsi="Times New Roman" w:cs="Times New Roman"/>
          <w:kern w:val="0"/>
          <w:sz w:val="24"/>
          <w:szCs w:val="24"/>
          <w:lang w:val="en-US"/>
          <w14:ligatures w14:val="none"/>
        </w:rPr>
        <w:t>(</w:t>
      </w:r>
      <w:r w:rsidRPr="004E79A7">
        <w:rPr>
          <w:rFonts w:ascii="Times New Roman" w:eastAsia="Times New Roman" w:hAnsi="Times New Roman" w:cs="Times New Roman"/>
          <w:kern w:val="0"/>
          <w:sz w:val="24"/>
          <w:szCs w:val="24"/>
          <w:lang w:val="bg-BG"/>
          <w14:ligatures w14:val="none"/>
        </w:rPr>
        <w:t>важи и за двете обособени позиции</w:t>
      </w:r>
      <w:r w:rsidRPr="004E79A7">
        <w:rPr>
          <w:rFonts w:ascii="Times New Roman" w:eastAsia="Times New Roman" w:hAnsi="Times New Roman" w:cs="Times New Roman"/>
          <w:kern w:val="0"/>
          <w:sz w:val="24"/>
          <w:szCs w:val="24"/>
          <w:lang w:val="en-US"/>
          <w14:ligatures w14:val="none"/>
        </w:rPr>
        <w:t>)</w:t>
      </w:r>
      <w:r w:rsidRPr="004E79A7">
        <w:rPr>
          <w:rFonts w:ascii="Times New Roman" w:eastAsia="Times New Roman" w:hAnsi="Times New Roman" w:cs="Times New Roman"/>
          <w:kern w:val="0"/>
          <w:sz w:val="24"/>
          <w:szCs w:val="24"/>
          <w:lang w:val="bg-BG"/>
          <w14:ligatures w14:val="none"/>
        </w:rPr>
        <w:t xml:space="preserve"> </w:t>
      </w:r>
    </w:p>
    <w:p w14:paraId="0D59FBBA"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Максималният брой точки, които участниците могат да получат по показател ОПК е 50 точки. Отчитайки обстоятелството, че обект на поръчката е предоставяне на услуги, реализирани посредством ангажиране на персонал с необходимите знания и опит, то професионалната им компетентност и специфичен опит ще окаже съществено влияние върху изпълнение на възлаганата чрез настоящата процедура поръчка. С оглед на горното, на оценка подлежи професионалната компетентност и реализиран опит на отделните експерти, които ще сформират екипа за управление на проекта </w:t>
      </w:r>
      <w:r w:rsidRPr="004E79A7">
        <w:rPr>
          <w:rFonts w:ascii="Times New Roman" w:eastAsia="Times New Roman" w:hAnsi="Times New Roman" w:cs="Times New Roman"/>
          <w:kern w:val="0"/>
          <w:sz w:val="24"/>
          <w:szCs w:val="24"/>
          <w:lang w:val="en-US"/>
          <w14:ligatures w14:val="none"/>
        </w:rPr>
        <w:t>(</w:t>
      </w:r>
      <w:r w:rsidRPr="004E79A7">
        <w:rPr>
          <w:rFonts w:ascii="Times New Roman" w:eastAsia="Times New Roman" w:hAnsi="Times New Roman" w:cs="Times New Roman"/>
          <w:kern w:val="0"/>
          <w:sz w:val="24"/>
          <w:szCs w:val="24"/>
          <w:lang w:val="bg-BG"/>
          <w14:ligatures w14:val="none"/>
        </w:rPr>
        <w:t>ЕУП</w:t>
      </w:r>
      <w:r w:rsidRPr="004E79A7">
        <w:rPr>
          <w:rFonts w:ascii="Times New Roman" w:eastAsia="Times New Roman" w:hAnsi="Times New Roman" w:cs="Times New Roman"/>
          <w:kern w:val="0"/>
          <w:sz w:val="24"/>
          <w:szCs w:val="24"/>
          <w:lang w:val="en-US"/>
          <w14:ligatures w14:val="none"/>
        </w:rPr>
        <w:t>)</w:t>
      </w:r>
      <w:r w:rsidRPr="004E79A7">
        <w:rPr>
          <w:rFonts w:ascii="Times New Roman" w:eastAsia="Times New Roman" w:hAnsi="Times New Roman" w:cs="Times New Roman"/>
          <w:kern w:val="0"/>
          <w:sz w:val="24"/>
          <w:szCs w:val="24"/>
          <w:lang w:val="bg-BG"/>
          <w14:ligatures w14:val="none"/>
        </w:rPr>
        <w:t xml:space="preserve">. По-долу е уточнен съставът на ЕУП, като са посочени конкретните минимални базови изисквания, както и специфичните изисквания за присъждане на съответен брой точки. </w:t>
      </w:r>
    </w:p>
    <w:p w14:paraId="501AC44B" w14:textId="073875DC"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Минималните/базови изисквания, надграждащите обстоятелства и съответно максималния брой точки към всеки от експертите са формирани при съобразяване на функциите и относителната тежест на задачите и отговорностите на всеки от тях в ЕУП, </w:t>
      </w:r>
      <w:r w:rsidRPr="00301AD4">
        <w:rPr>
          <w:rFonts w:ascii="Times New Roman" w:eastAsia="Times New Roman" w:hAnsi="Times New Roman" w:cs="Times New Roman"/>
          <w:kern w:val="0"/>
          <w:sz w:val="24"/>
          <w:szCs w:val="24"/>
          <w:lang w:val="bg-BG"/>
          <w14:ligatures w14:val="none"/>
        </w:rPr>
        <w:t>при отчитане на сложността, спецификата и обхвата на</w:t>
      </w:r>
      <w:r w:rsidRPr="004E79A7">
        <w:rPr>
          <w:rFonts w:ascii="Times New Roman" w:eastAsia="Times New Roman" w:hAnsi="Times New Roman" w:cs="Times New Roman"/>
          <w:kern w:val="0"/>
          <w:sz w:val="24"/>
          <w:szCs w:val="24"/>
          <w:lang w:val="bg-BG"/>
          <w14:ligatures w14:val="none"/>
        </w:rPr>
        <w:t xml:space="preserve"> проекта, обект на управлението по настоящата обществена поръчка.</w:t>
      </w:r>
    </w:p>
    <w:p w14:paraId="2DE9542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Изискване на възложителя е за всяка от посочените по-долу позиции, включени в съответната обособена позиция да бъде предложен различен експерт, т.е. един експерт не може да съвместява една или повече длъжности в позицията.</w:t>
      </w:r>
    </w:p>
    <w:p w14:paraId="6B4E2D03"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3121CBEB"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По-долу е налична информация относно минималните / базови изисквания, изискванията за наличието на придобито образование и реализиран общ и специфичен професионален опит към всеки един от експертите в състава на ЕУП и указания относно начина на оценяване на всеки от тях:</w:t>
      </w:r>
    </w:p>
    <w:p w14:paraId="7898CBB6"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18CC010D"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Обособена позиция № 1 - Финансово и техническо управление на проекта</w:t>
      </w:r>
    </w:p>
    <w:p w14:paraId="655113FB"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Експерт „Финансово управление“</w:t>
      </w:r>
    </w:p>
    <w:p w14:paraId="7278703A" w14:textId="603C3DF5" w:rsidR="004E79A7" w:rsidRPr="00301AD4" w:rsidRDefault="004E79A7" w:rsidP="00301AD4">
      <w:pPr>
        <w:numPr>
          <w:ilvl w:val="0"/>
          <w:numId w:val="1"/>
        </w:numPr>
        <w:tabs>
          <w:tab w:val="left" w:pos="284"/>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301AD4">
        <w:rPr>
          <w:rFonts w:ascii="Times New Roman" w:eastAsia="Times New Roman" w:hAnsi="Times New Roman" w:cs="Times New Roman"/>
          <w:kern w:val="0"/>
          <w:sz w:val="24"/>
          <w:szCs w:val="24"/>
          <w:lang w:val="bg-BG"/>
          <w14:ligatures w14:val="none"/>
        </w:rPr>
        <w:t>Образование - висше образование, образователно-квалификационна степен „бакалавър“ и/или „магистър“</w:t>
      </w:r>
      <w:r w:rsidR="003C6016" w:rsidRPr="00301AD4">
        <w:rPr>
          <w:rFonts w:ascii="Times New Roman" w:eastAsia="Times New Roman" w:hAnsi="Times New Roman" w:cs="Times New Roman"/>
          <w:kern w:val="0"/>
          <w:sz w:val="24"/>
          <w:szCs w:val="24"/>
          <w:lang w:val="bg-BG"/>
          <w14:ligatures w14:val="none"/>
        </w:rPr>
        <w:t>, независимо от областта, в която е придобито образованието</w:t>
      </w:r>
      <w:r w:rsidRPr="00301AD4">
        <w:rPr>
          <w:rFonts w:ascii="Times New Roman" w:eastAsia="Times New Roman" w:hAnsi="Times New Roman" w:cs="Times New Roman"/>
          <w:kern w:val="0"/>
          <w:sz w:val="24"/>
          <w:szCs w:val="24"/>
          <w:lang w:val="bg-BG"/>
          <w14:ligatures w14:val="none"/>
        </w:rPr>
        <w:t xml:space="preserve"> или придобита в чужбина еквивалентна образователна степен, </w:t>
      </w:r>
    </w:p>
    <w:p w14:paraId="05115118" w14:textId="77777777" w:rsidR="004E79A7" w:rsidRPr="00301AD4" w:rsidRDefault="004E79A7" w:rsidP="00301AD4">
      <w:pPr>
        <w:numPr>
          <w:ilvl w:val="0"/>
          <w:numId w:val="1"/>
        </w:numPr>
        <w:tabs>
          <w:tab w:val="left" w:pos="284"/>
        </w:tabs>
        <w:spacing w:after="0" w:line="240" w:lineRule="auto"/>
        <w:ind w:left="0" w:firstLine="0"/>
        <w:jc w:val="both"/>
        <w:rPr>
          <w:rFonts w:ascii="Times New Roman" w:eastAsia="Times New Roman" w:hAnsi="Times New Roman" w:cs="Times New Roman"/>
          <w:b/>
          <w:bCs/>
          <w:kern w:val="0"/>
          <w:sz w:val="24"/>
          <w:szCs w:val="24"/>
          <w:lang w:val="bg-BG"/>
          <w14:ligatures w14:val="none"/>
        </w:rPr>
      </w:pPr>
      <w:r w:rsidRPr="00301AD4">
        <w:rPr>
          <w:rFonts w:ascii="Times New Roman" w:eastAsia="Times New Roman" w:hAnsi="Times New Roman" w:cs="Times New Roman"/>
          <w:kern w:val="0"/>
          <w:sz w:val="24"/>
          <w:szCs w:val="24"/>
          <w:lang w:val="bg-BG"/>
          <w14:ligatures w14:val="none"/>
        </w:rPr>
        <w:t xml:space="preserve">Специфичен опит - да владее английски език на ниво минимум В1 от </w:t>
      </w:r>
      <w:r w:rsidRPr="00301AD4">
        <w:rPr>
          <w:rFonts w:ascii="Times New Roman" w:eastAsia="Times New Roman" w:hAnsi="Times New Roman" w:cs="Times New Roman"/>
          <w:bCs/>
          <w:kern w:val="0"/>
          <w:sz w:val="24"/>
          <w:szCs w:val="24"/>
          <w:lang w:val="bg-BG"/>
          <w14:ligatures w14:val="none"/>
        </w:rPr>
        <w:t xml:space="preserve">Европейската референтна езикова рамка или еквивалентно ниво от еквивалентна езикова рамка. </w:t>
      </w:r>
    </w:p>
    <w:p w14:paraId="0460C2DD"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bCs/>
          <w:kern w:val="0"/>
          <w:sz w:val="24"/>
          <w:szCs w:val="24"/>
          <w:lang w:val="bg-BG"/>
          <w14:ligatures w14:val="none"/>
        </w:rPr>
      </w:pPr>
    </w:p>
    <w:p w14:paraId="0F205428"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r w:rsidRPr="004E79A7">
        <w:rPr>
          <w:rFonts w:ascii="Times New Roman" w:eastAsia="Times New Roman" w:hAnsi="Times New Roman" w:cs="Times New Roman"/>
          <w:bCs/>
          <w:kern w:val="0"/>
          <w:sz w:val="24"/>
          <w:szCs w:val="24"/>
          <w:lang w:val="bg-BG"/>
          <w14:ligatures w14:val="none"/>
        </w:rPr>
        <w:t>Изисквания за реализиран специфичен професионален опит, възприети като надграждащи фактори, за които се присъждат допълнителен брой точки  при съблюдаване на посочените по-долу параметри в таблицата:</w:t>
      </w:r>
    </w:p>
    <w:p w14:paraId="66493B06"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p>
    <w:tbl>
      <w:tblPr>
        <w:tblW w:w="9356" w:type="dxa"/>
        <w:tblInd w:w="108" w:type="dxa"/>
        <w:tblCellMar>
          <w:left w:w="10" w:type="dxa"/>
          <w:right w:w="10" w:type="dxa"/>
        </w:tblCellMar>
        <w:tblLook w:val="0000" w:firstRow="0" w:lastRow="0" w:firstColumn="0" w:lastColumn="0" w:noHBand="0" w:noVBand="0"/>
      </w:tblPr>
      <w:tblGrid>
        <w:gridCol w:w="6946"/>
        <w:gridCol w:w="2410"/>
      </w:tblGrid>
      <w:tr w:rsidR="004E79A7" w:rsidRPr="004E79A7" w14:paraId="006BD73B" w14:textId="77777777" w:rsidTr="00F32CB8">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A53BC"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bookmarkStart w:id="0" w:name="_Hlk26698374"/>
            <w:r w:rsidRPr="004E79A7">
              <w:rPr>
                <w:rFonts w:ascii="Times New Roman" w:eastAsia="Times New Roman" w:hAnsi="Times New Roman" w:cs="Times New Roman"/>
                <w:kern w:val="0"/>
                <w:sz w:val="24"/>
                <w:szCs w:val="24"/>
                <w:lang w:val="bg"/>
                <w14:ligatures w14:val="none"/>
              </w:rPr>
              <w:t>Опит в изпълнението на 1 /една/ услуга, свързана с финансово-счетоводни или сходни дейности, свързани с изпълнението, контрола и администрирането на проекти, независимо от вида на финансирането и/или сходен тип дейности</w:t>
            </w:r>
            <w:r w:rsidRPr="004E79A7">
              <w:rPr>
                <w:rFonts w:ascii="Times New Roman" w:eastAsia="Times New Roman" w:hAnsi="Times New Roman" w:cs="Times New Roman"/>
                <w:kern w:val="0"/>
                <w:sz w:val="24"/>
                <w:szCs w:val="24"/>
                <w:lang w:val="bg-BG"/>
                <w14:ligatures w14:val="none"/>
              </w:rPr>
              <w:t xml:space="preserve"> </w:t>
            </w:r>
            <w:r w:rsidRPr="004E79A7">
              <w:rPr>
                <w:rFonts w:ascii="Times New Roman" w:eastAsia="Times New Roman" w:hAnsi="Times New Roman" w:cs="Times New Roman"/>
                <w:kern w:val="0"/>
                <w:sz w:val="24"/>
                <w:szCs w:val="24"/>
                <w:lang w:val="bg"/>
                <w14:ligatures w14:val="none"/>
              </w:rPr>
              <w:t>в екип/звено за управление /изпълнение на проект (ЕУП /ЗУП) или част от екип за външна техническа помощ.</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251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Брой точки - 5</w:t>
            </w:r>
          </w:p>
        </w:tc>
      </w:tr>
      <w:tr w:rsidR="004E79A7" w:rsidRPr="004E79A7" w14:paraId="02534442" w14:textId="77777777" w:rsidTr="00F32CB8">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C920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bookmarkStart w:id="1" w:name="_Hlk26698439"/>
            <w:bookmarkEnd w:id="0"/>
            <w:r w:rsidRPr="004E79A7">
              <w:rPr>
                <w:rFonts w:ascii="Times New Roman" w:eastAsia="Times New Roman" w:hAnsi="Times New Roman" w:cs="Times New Roman"/>
                <w:kern w:val="0"/>
                <w:sz w:val="24"/>
                <w:szCs w:val="24"/>
                <w:lang w:val="bg"/>
                <w14:ligatures w14:val="none"/>
              </w:rPr>
              <w:t xml:space="preserve">Опит в изпълнението на 2 /две/ услуги, свързани с финансово-счетоводни или сходни дейности, свързани с изпълнението, контрола и администрирането на проекти, независимо от вида на финансирането и/или сходен тип дейности в екип/звено за </w:t>
            </w:r>
            <w:r w:rsidRPr="004E79A7">
              <w:rPr>
                <w:rFonts w:ascii="Times New Roman" w:eastAsia="Times New Roman" w:hAnsi="Times New Roman" w:cs="Times New Roman"/>
                <w:kern w:val="0"/>
                <w:sz w:val="24"/>
                <w:szCs w:val="24"/>
                <w:lang w:val="bg"/>
                <w14:ligatures w14:val="none"/>
              </w:rPr>
              <w:lastRenderedPageBreak/>
              <w:t>управление /изпълнение на проект (ЕУП /ЗУП) или част от екип за външна техническа помощ.</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BEF96"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lastRenderedPageBreak/>
              <w:t>Брой точки – 15</w:t>
            </w:r>
          </w:p>
        </w:tc>
      </w:tr>
      <w:bookmarkEnd w:id="1"/>
      <w:tr w:rsidR="004E79A7" w:rsidRPr="004E79A7" w14:paraId="0D6E2307" w14:textId="77777777" w:rsidTr="00F32CB8">
        <w:tc>
          <w:tcPr>
            <w:tcW w:w="69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E47B5"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
                <w14:ligatures w14:val="none"/>
              </w:rPr>
              <w:lastRenderedPageBreak/>
              <w:t>Опит в изпълнението на 3 /три/ услуги, свързани с финансово-счетоводни или сходни дейности, свързани с изпълнението, контрола и администрирането на проекти, независимо от вида на финансирането и/или сходен тип дейности в екип/звено за управление /изпълнение на проект (ЕУП /ЗУП) или част от екип за външна техническа помощ.</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1B948"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BG"/>
                <w14:ligatures w14:val="none"/>
              </w:rPr>
              <w:t>Брой точки - 25</w:t>
            </w:r>
          </w:p>
          <w:p w14:paraId="26EDD76C"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tc>
      </w:tr>
    </w:tbl>
    <w:p w14:paraId="5542806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p>
    <w:p w14:paraId="73441C5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Експерт „Техническо управление“</w:t>
      </w:r>
    </w:p>
    <w:p w14:paraId="16FF6523" w14:textId="6BC4E701" w:rsidR="004E79A7" w:rsidRPr="00301AD4" w:rsidRDefault="004E79A7" w:rsidP="00301AD4">
      <w:pPr>
        <w:numPr>
          <w:ilvl w:val="0"/>
          <w:numId w:val="1"/>
        </w:numPr>
        <w:tabs>
          <w:tab w:val="left" w:pos="284"/>
        </w:tabs>
        <w:spacing w:after="0" w:line="240" w:lineRule="auto"/>
        <w:ind w:left="0" w:firstLine="0"/>
        <w:jc w:val="both"/>
        <w:rPr>
          <w:rFonts w:ascii="Times New Roman" w:eastAsia="Times New Roman" w:hAnsi="Times New Roman" w:cs="Times New Roman"/>
          <w:kern w:val="0"/>
          <w:sz w:val="24"/>
          <w:szCs w:val="24"/>
          <w:lang w:val="bg-BG"/>
          <w14:ligatures w14:val="none"/>
        </w:rPr>
      </w:pPr>
      <w:r w:rsidRPr="00301AD4">
        <w:rPr>
          <w:rFonts w:ascii="Times New Roman" w:eastAsia="Times New Roman" w:hAnsi="Times New Roman" w:cs="Times New Roman"/>
          <w:kern w:val="0"/>
          <w:sz w:val="24"/>
          <w:szCs w:val="24"/>
          <w:lang w:val="bg-BG"/>
          <w14:ligatures w14:val="none"/>
        </w:rPr>
        <w:t>Образование - висше образование, образователно-квалификационна степен „бакалавър“ и/или „магистър“</w:t>
      </w:r>
      <w:r w:rsidR="003C6016" w:rsidRPr="00301AD4">
        <w:t xml:space="preserve"> </w:t>
      </w:r>
      <w:r w:rsidR="003C6016" w:rsidRPr="00301AD4">
        <w:rPr>
          <w:rFonts w:ascii="Times New Roman" w:eastAsia="Times New Roman" w:hAnsi="Times New Roman" w:cs="Times New Roman"/>
          <w:kern w:val="0"/>
          <w:sz w:val="24"/>
          <w:szCs w:val="24"/>
          <w:lang w:val="bg-BG"/>
          <w14:ligatures w14:val="none"/>
        </w:rPr>
        <w:t>независимо от областта, в която е придобито образованието</w:t>
      </w:r>
      <w:r w:rsidRPr="00301AD4">
        <w:rPr>
          <w:rFonts w:ascii="Times New Roman" w:eastAsia="Times New Roman" w:hAnsi="Times New Roman" w:cs="Times New Roman"/>
          <w:kern w:val="0"/>
          <w:sz w:val="24"/>
          <w:szCs w:val="24"/>
          <w:lang w:val="bg-BG"/>
          <w14:ligatures w14:val="none"/>
        </w:rPr>
        <w:t xml:space="preserve"> или придобита в чужбина еквивалентна образователна степен;</w:t>
      </w:r>
    </w:p>
    <w:p w14:paraId="5ED7A031" w14:textId="77777777" w:rsidR="004E79A7" w:rsidRPr="00301AD4" w:rsidRDefault="004E79A7" w:rsidP="00301AD4">
      <w:pPr>
        <w:numPr>
          <w:ilvl w:val="0"/>
          <w:numId w:val="1"/>
        </w:numPr>
        <w:tabs>
          <w:tab w:val="left" w:pos="284"/>
        </w:tabs>
        <w:spacing w:after="0" w:line="240" w:lineRule="auto"/>
        <w:ind w:left="0" w:firstLine="0"/>
        <w:jc w:val="both"/>
        <w:rPr>
          <w:rFonts w:ascii="Times New Roman" w:eastAsia="Times New Roman" w:hAnsi="Times New Roman" w:cs="Times New Roman"/>
          <w:b/>
          <w:bCs/>
          <w:kern w:val="0"/>
          <w:sz w:val="24"/>
          <w:szCs w:val="24"/>
          <w:lang w:val="bg-BG"/>
          <w14:ligatures w14:val="none"/>
        </w:rPr>
      </w:pPr>
      <w:r w:rsidRPr="00301AD4">
        <w:rPr>
          <w:rFonts w:ascii="Times New Roman" w:eastAsia="Times New Roman" w:hAnsi="Times New Roman" w:cs="Times New Roman"/>
          <w:kern w:val="0"/>
          <w:sz w:val="24"/>
          <w:szCs w:val="24"/>
          <w:lang w:val="bg-BG"/>
          <w14:ligatures w14:val="none"/>
        </w:rPr>
        <w:t xml:space="preserve">Специфичен опит - да владее английски език на ниво минимум В1 от </w:t>
      </w:r>
      <w:r w:rsidRPr="00301AD4">
        <w:rPr>
          <w:rFonts w:ascii="Times New Roman" w:eastAsia="Times New Roman" w:hAnsi="Times New Roman" w:cs="Times New Roman"/>
          <w:bCs/>
          <w:kern w:val="0"/>
          <w:sz w:val="24"/>
          <w:szCs w:val="24"/>
          <w:lang w:val="bg-BG"/>
          <w14:ligatures w14:val="none"/>
        </w:rPr>
        <w:t>Европейската референтна езикова рамка или еквивалентно ниво от еквивалентна езикова рамка.</w:t>
      </w:r>
    </w:p>
    <w:p w14:paraId="112965A6"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p>
    <w:p w14:paraId="7C2D4FB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r w:rsidRPr="004E79A7">
        <w:rPr>
          <w:rFonts w:ascii="Times New Roman" w:eastAsia="Times New Roman" w:hAnsi="Times New Roman" w:cs="Times New Roman"/>
          <w:bCs/>
          <w:kern w:val="0"/>
          <w:sz w:val="24"/>
          <w:szCs w:val="24"/>
          <w:lang w:val="bg-BG"/>
          <w14:ligatures w14:val="none"/>
        </w:rPr>
        <w:t>Изисквания за реализиран специфичен професионален опит, възприети като надграждащи фактори, за които се присъждат допълнителен брой точки  при съблюдаване на посочените по-долу параметри в таблицата:</w:t>
      </w:r>
    </w:p>
    <w:tbl>
      <w:tblPr>
        <w:tblW w:w="9356" w:type="dxa"/>
        <w:tblInd w:w="108" w:type="dxa"/>
        <w:tblCellMar>
          <w:left w:w="10" w:type="dxa"/>
          <w:right w:w="10" w:type="dxa"/>
        </w:tblCellMar>
        <w:tblLook w:val="0000" w:firstRow="0" w:lastRow="0" w:firstColumn="0" w:lastColumn="0" w:noHBand="0" w:noVBand="0"/>
      </w:tblPr>
      <w:tblGrid>
        <w:gridCol w:w="7088"/>
        <w:gridCol w:w="2268"/>
      </w:tblGrid>
      <w:tr w:rsidR="004E79A7" w:rsidRPr="004E79A7" w14:paraId="13299130" w14:textId="77777777" w:rsidTr="00F32CB8">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82B7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bCs/>
                <w:kern w:val="0"/>
                <w:sz w:val="24"/>
                <w:szCs w:val="24"/>
                <w:lang w:val="bg-BG"/>
                <w14:ligatures w14:val="none"/>
              </w:rPr>
              <w:t xml:space="preserve"> </w:t>
            </w:r>
            <w:r w:rsidRPr="004E79A7">
              <w:rPr>
                <w:rFonts w:ascii="Times New Roman" w:eastAsia="Times New Roman" w:hAnsi="Times New Roman" w:cs="Times New Roman"/>
                <w:kern w:val="0"/>
                <w:sz w:val="24"/>
                <w:szCs w:val="24"/>
                <w:lang w:val="bg"/>
                <w14:ligatures w14:val="none"/>
              </w:rPr>
              <w:t>Опит в изпълнението на 1 /една/ услуга, свързана с техническо управление или сходни дейности, свързани с изпълнението, контрола и администрирането на проекти, независимо от вида на финансирането и/или сходен тип дейности</w:t>
            </w:r>
            <w:r w:rsidRPr="004E79A7">
              <w:rPr>
                <w:rFonts w:ascii="Times New Roman" w:eastAsia="Times New Roman" w:hAnsi="Times New Roman" w:cs="Times New Roman"/>
                <w:kern w:val="0"/>
                <w:sz w:val="24"/>
                <w:szCs w:val="24"/>
                <w:lang w:val="bg-BG"/>
                <w14:ligatures w14:val="none"/>
              </w:rPr>
              <w:t xml:space="preserve"> </w:t>
            </w:r>
            <w:r w:rsidRPr="004E79A7">
              <w:rPr>
                <w:rFonts w:ascii="Times New Roman" w:eastAsia="Times New Roman" w:hAnsi="Times New Roman" w:cs="Times New Roman"/>
                <w:kern w:val="0"/>
                <w:sz w:val="24"/>
                <w:szCs w:val="24"/>
                <w:lang w:val="bg"/>
                <w14:ligatures w14:val="none"/>
              </w:rPr>
              <w:t>в екип/звено за управление /изпълнение на проект (ЕУП /ЗУП) или част от екип за външна техническа помощ.</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799F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Брой точки - 5</w:t>
            </w:r>
          </w:p>
        </w:tc>
      </w:tr>
      <w:tr w:rsidR="004E79A7" w:rsidRPr="004E79A7" w14:paraId="652B2687" w14:textId="77777777" w:rsidTr="00F32CB8">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3A1B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
                <w14:ligatures w14:val="none"/>
              </w:rPr>
              <w:t>Опит в изпълнението на 2 /две/ услуги, свързани с техническо управление или сходни дейности, свързани с изпълнението, контрола и администрирането на проекти, независимо от вида на финансирането и/или сходен тип дейности в екип/звено за управление /изпълнение на проект (ЕУП /ЗУП) или част от екип за външна техническа помощ.</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01464"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Брой точки – 15</w:t>
            </w:r>
          </w:p>
        </w:tc>
      </w:tr>
      <w:tr w:rsidR="004E79A7" w:rsidRPr="004E79A7" w14:paraId="3896C8B0" w14:textId="77777777" w:rsidTr="00F32CB8">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1FFF4"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
                <w14:ligatures w14:val="none"/>
              </w:rPr>
              <w:t>Опит в изпълнението на 3 /три/ услуги, свързани с техническо управление или сходни дейности, свързани с изпълнението, контрола и администрирането на проекти, независимо от вида на финансирането и/или сходен тип дейности в екип/звено за управление /изпълнение на проект (ЕУП /ЗУП) или част от екип за външна техническа помощ.</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5179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BG"/>
                <w14:ligatures w14:val="none"/>
              </w:rPr>
              <w:t>Брой точки - 25</w:t>
            </w:r>
            <w:r w:rsidRPr="004E79A7">
              <w:rPr>
                <w:rFonts w:ascii="Times New Roman" w:eastAsia="Times New Roman" w:hAnsi="Times New Roman" w:cs="Times New Roman"/>
                <w:kern w:val="0"/>
                <w:sz w:val="24"/>
                <w:szCs w:val="24"/>
                <w:lang w:val="bg"/>
                <w14:ligatures w14:val="none"/>
              </w:rPr>
              <w:t xml:space="preserve"> </w:t>
            </w:r>
          </w:p>
          <w:p w14:paraId="321707E6"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tc>
      </w:tr>
    </w:tbl>
    <w:p w14:paraId="0B9DE26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bCs/>
          <w:kern w:val="0"/>
          <w:sz w:val="24"/>
          <w:szCs w:val="24"/>
          <w:lang w:val="bg-BG"/>
          <w14:ligatures w14:val="none"/>
        </w:rPr>
      </w:pPr>
    </w:p>
    <w:p w14:paraId="43025FE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Обособена позиция № 2 - Независими услуги по осигуряване на качеството на проекта</w:t>
      </w:r>
    </w:p>
    <w:p w14:paraId="4D270C3F"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
          <w:kern w:val="0"/>
          <w:sz w:val="24"/>
          <w:szCs w:val="24"/>
          <w:lang w:val="bg-BG"/>
          <w14:ligatures w14:val="none"/>
        </w:rPr>
      </w:pPr>
      <w:r w:rsidRPr="004E79A7">
        <w:rPr>
          <w:rFonts w:ascii="Times New Roman" w:eastAsia="Times New Roman" w:hAnsi="Times New Roman" w:cs="Times New Roman"/>
          <w:b/>
          <w:kern w:val="0"/>
          <w:sz w:val="24"/>
          <w:szCs w:val="24"/>
          <w:lang w:val="bg-BG"/>
          <w14:ligatures w14:val="none"/>
        </w:rPr>
        <w:t>Експерт „Осигуряване на качеството на проекта“</w:t>
      </w:r>
    </w:p>
    <w:p w14:paraId="1B776E1E" w14:textId="08A503EF" w:rsidR="004E79A7" w:rsidRPr="00301AD4" w:rsidRDefault="00301AD4"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Pr>
          <w:rFonts w:ascii="Times New Roman" w:eastAsia="Times New Roman" w:hAnsi="Times New Roman" w:cs="Times New Roman"/>
          <w:kern w:val="0"/>
          <w:sz w:val="24"/>
          <w:szCs w:val="24"/>
          <w:lang w:val="bg-BG"/>
          <w14:ligatures w14:val="none"/>
        </w:rPr>
        <w:t>•</w:t>
      </w:r>
      <w:r>
        <w:rPr>
          <w:rFonts w:ascii="Times New Roman" w:eastAsia="Times New Roman" w:hAnsi="Times New Roman" w:cs="Times New Roman"/>
          <w:kern w:val="0"/>
          <w:sz w:val="24"/>
          <w:szCs w:val="24"/>
          <w:lang w:val="bg-BG"/>
          <w14:ligatures w14:val="none"/>
        </w:rPr>
        <w:tab/>
      </w:r>
      <w:bookmarkStart w:id="2" w:name="_GoBack"/>
      <w:bookmarkEnd w:id="2"/>
      <w:r w:rsidRPr="00301AD4">
        <w:rPr>
          <w:rFonts w:ascii="Times New Roman" w:eastAsia="Times New Roman" w:hAnsi="Times New Roman" w:cs="Times New Roman"/>
          <w:kern w:val="0"/>
          <w:sz w:val="24"/>
          <w:szCs w:val="24"/>
          <w:lang w:val="bg-BG"/>
          <w14:ligatures w14:val="none"/>
        </w:rPr>
        <w:t>Образование - висше образование, образователно-квалификационна степен „бакалавър“ и/или „магистър“ независимо от областта, в която е придобито образованието или придобита в чужбина еквивалентна образователна степен;</w:t>
      </w:r>
    </w:p>
    <w:p w14:paraId="4FC83590"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301AD4">
        <w:rPr>
          <w:rFonts w:ascii="Times New Roman" w:eastAsia="Times New Roman" w:hAnsi="Times New Roman" w:cs="Times New Roman"/>
          <w:kern w:val="0"/>
          <w:sz w:val="24"/>
          <w:szCs w:val="24"/>
          <w:lang w:val="bg-BG"/>
          <w14:ligatures w14:val="none"/>
        </w:rPr>
        <w:t>•</w:t>
      </w:r>
      <w:r w:rsidRPr="00301AD4">
        <w:rPr>
          <w:rFonts w:ascii="Times New Roman" w:eastAsia="Times New Roman" w:hAnsi="Times New Roman" w:cs="Times New Roman"/>
          <w:kern w:val="0"/>
          <w:sz w:val="24"/>
          <w:szCs w:val="24"/>
          <w:lang w:val="bg-BG"/>
          <w14:ligatures w14:val="none"/>
        </w:rPr>
        <w:tab/>
        <w:t>Специфичен опит – да владее английски език на ниво минимум В1 от Европейската референтна езикова рамка или еквивалентно ниво от еквивалентна езикова рамка.</w:t>
      </w:r>
    </w:p>
    <w:p w14:paraId="4EBBA5C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0FD3ED0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bCs/>
          <w:kern w:val="0"/>
          <w:sz w:val="24"/>
          <w:szCs w:val="24"/>
          <w:lang w:val="bg-BG"/>
          <w14:ligatures w14:val="none"/>
        </w:rPr>
      </w:pPr>
      <w:r w:rsidRPr="004E79A7">
        <w:rPr>
          <w:rFonts w:ascii="Times New Roman" w:eastAsia="Times New Roman" w:hAnsi="Times New Roman" w:cs="Times New Roman"/>
          <w:bCs/>
          <w:kern w:val="0"/>
          <w:sz w:val="24"/>
          <w:szCs w:val="24"/>
          <w:lang w:val="bg-BG"/>
          <w14:ligatures w14:val="none"/>
        </w:rPr>
        <w:t>Изисквания за реализиран специфичен професионален опит, възприети като надграждащи фактори, за които се присъждат допълнителен брой точки при съблюдаване на посочените по-долу параметри в таблицата:</w:t>
      </w:r>
    </w:p>
    <w:tbl>
      <w:tblPr>
        <w:tblW w:w="9356" w:type="dxa"/>
        <w:tblInd w:w="108" w:type="dxa"/>
        <w:tblCellMar>
          <w:left w:w="10" w:type="dxa"/>
          <w:right w:w="10" w:type="dxa"/>
        </w:tblCellMar>
        <w:tblLook w:val="0000" w:firstRow="0" w:lastRow="0" w:firstColumn="0" w:lastColumn="0" w:noHBand="0" w:noVBand="0"/>
      </w:tblPr>
      <w:tblGrid>
        <w:gridCol w:w="7088"/>
        <w:gridCol w:w="2268"/>
      </w:tblGrid>
      <w:tr w:rsidR="004E79A7" w:rsidRPr="004E79A7" w14:paraId="4EDDD56A" w14:textId="77777777" w:rsidTr="00F32CB8">
        <w:trPr>
          <w:trHeight w:val="888"/>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8292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
                <w14:ligatures w14:val="none"/>
              </w:rPr>
              <w:lastRenderedPageBreak/>
              <w:t>Опит в изпълнението на 1 /една/ услуга, свързана с осигуряване на качеството по проект, независимо от вида на финансирането и/или сходен тип дейности.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FF605"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
                <w14:ligatures w14:val="none"/>
              </w:rPr>
              <w:t>Брой точки - 10</w:t>
            </w:r>
          </w:p>
        </w:tc>
      </w:tr>
      <w:tr w:rsidR="004E79A7" w:rsidRPr="004E79A7" w14:paraId="663B2537" w14:textId="77777777" w:rsidTr="00F32CB8">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114C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
                <w14:ligatures w14:val="none"/>
              </w:rPr>
              <w:t>Опит в изпълнението на 2 /две/ услуги, свързани с осигуряване на качеството по проекти, независимо от вида на финансирането и/или сходен тип дейности.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7FFBF"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Брой точки – 30</w:t>
            </w:r>
          </w:p>
        </w:tc>
      </w:tr>
      <w:tr w:rsidR="004E79A7" w:rsidRPr="004E79A7" w14:paraId="0E96A455" w14:textId="77777777" w:rsidTr="00F32CB8">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F9F3A"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
                <w14:ligatures w14:val="none"/>
              </w:rPr>
              <w:t>Опит в изпълнението на 3 /три/ услуги, свързани с осигуряване на качеството по проекти, независимо от вида на финансирането и/или сходен тип дейности.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C2B4B"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
                <w14:ligatures w14:val="none"/>
              </w:rPr>
            </w:pPr>
            <w:r w:rsidRPr="004E79A7">
              <w:rPr>
                <w:rFonts w:ascii="Times New Roman" w:eastAsia="Times New Roman" w:hAnsi="Times New Roman" w:cs="Times New Roman"/>
                <w:kern w:val="0"/>
                <w:sz w:val="24"/>
                <w:szCs w:val="24"/>
                <w:lang w:val="bg-BG"/>
                <w14:ligatures w14:val="none"/>
              </w:rPr>
              <w:t>Брой точки - 50</w:t>
            </w:r>
            <w:r w:rsidRPr="004E79A7">
              <w:rPr>
                <w:rFonts w:ascii="Times New Roman" w:eastAsia="Times New Roman" w:hAnsi="Times New Roman" w:cs="Times New Roman"/>
                <w:kern w:val="0"/>
                <w:sz w:val="24"/>
                <w:szCs w:val="24"/>
                <w:lang w:val="bg"/>
                <w14:ligatures w14:val="none"/>
              </w:rPr>
              <w:t xml:space="preserve"> </w:t>
            </w:r>
          </w:p>
          <w:p w14:paraId="0AF5B11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tc>
      </w:tr>
    </w:tbl>
    <w:p w14:paraId="442B0B7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4263FC7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Начин за определяне на оценката на предложения експерт, вкл. основания за предложение за отстраняване:</w:t>
      </w:r>
    </w:p>
    <w:p w14:paraId="10D872F0"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1. В случай, че кандидат предложи експерт, неотговарящ на посочените минимални базови изисквания или липсва предложение за тази експертна позиция, то той ще бъде предложен за отстраняване.</w:t>
      </w:r>
    </w:p>
    <w:p w14:paraId="5ABE2CA4"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2. При установяване на съответствие единствено с поставените минимални базови изисквания към експерта, кандидатът получава 1 точка.</w:t>
      </w:r>
    </w:p>
    <w:p w14:paraId="4CC3660B"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3. При установяване на съответствие с базовите изисквания и наличие на реализиран специфичен професионален опит у предлагания експерт, възприет и посочен като надграждащ  фактор,  се пристъпва към извършване на оценка при съблюдаване на посочените в таблицата параметри.</w:t>
      </w:r>
    </w:p>
    <w:p w14:paraId="7F2EA55C"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Максималният брой точки е въведен, тъй като се счита, че такъв експерт притежава оптимална професионална компетентност и опит (с оглед на избрания критерий за възлагане) да изпълнява функциите си ефективно и ефикасно, съобразно предварително заложените задачи и отговорности на експерта от гледна точка спецификата, характера, сложността и обема на настоящата поръчка.</w:t>
      </w:r>
    </w:p>
    <w:p w14:paraId="3B8AB3C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5320C99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За доказване на изискуемите релевантни/ относими образование и общ и специфичен професионален опит, участниците могат да представят неограничен брой удостоверителни документи, доказващи съответствието на лицата с предварително поставените изисквания.</w:t>
      </w:r>
    </w:p>
    <w:p w14:paraId="2BE19073"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Образованието на експертите от екипа се доказва чрез копия на документи за завършено образование, издадени от учебно заведение по смисъла на Закона за висшето образование или на националното законодателство на чуждестранното учебно заведение, както и документи, удостоверяващи еквивалентност на придобитото образование, в случай че за някой от експертите същото не е в професионалното направление, посочено от Възложителя.</w:t>
      </w:r>
    </w:p>
    <w:p w14:paraId="076F5E4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За удостоверяване на опита на експертите от екипа, към предложението на участника се представят</w:t>
      </w:r>
      <w:r w:rsidRPr="004E79A7">
        <w:rPr>
          <w:rFonts w:ascii="Times New Roman" w:eastAsia="Times New Roman" w:hAnsi="Times New Roman" w:cs="Times New Roman"/>
          <w:kern w:val="0"/>
          <w:sz w:val="24"/>
          <w:szCs w:val="24"/>
          <w:lang w:val="en-US"/>
          <w14:ligatures w14:val="none"/>
        </w:rPr>
        <w:t xml:space="preserve"> </w:t>
      </w:r>
      <w:r w:rsidRPr="004E79A7">
        <w:rPr>
          <w:rFonts w:ascii="Times New Roman" w:eastAsia="Times New Roman" w:hAnsi="Times New Roman" w:cs="Times New Roman"/>
          <w:kern w:val="0"/>
          <w:sz w:val="24"/>
          <w:szCs w:val="24"/>
          <w:lang w:val="bg-BG"/>
          <w14:ligatures w14:val="none"/>
        </w:rPr>
        <w:t>подписана от ръководителя/експерта автобиография, придружена с копия на всички релевантни документи, доказващи наличието на реализиран опит/специфичен професионален опит като неизчерпателно посочени – референции/удостоверения или еквивалентен документ от получатели на услугите, и/или други документи, доказващи наличието на реализиран опит/специфичен професионален опит, издадени от трето лице, различно от участника и/или експерта.</w:t>
      </w:r>
    </w:p>
    <w:p w14:paraId="56807CBE"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Под „еквивалентна образователна степен" следва да се разбира придобита образователна степен, приравнена към посочените.</w:t>
      </w:r>
    </w:p>
    <w:p w14:paraId="1A3E72A5"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При използването на експерти - чуждестранни лица, за доказването на съответствие с поставените изисквания за образователно - квалификационна степен се прилагат разпоредбите на Директива 2005/З6/Е0, както и условията и реда за признаване на професионални квалификации, придобити в други държави членки и в трети държави, с </w:t>
      </w:r>
      <w:r w:rsidRPr="004E79A7">
        <w:rPr>
          <w:rFonts w:ascii="Times New Roman" w:eastAsia="Times New Roman" w:hAnsi="Times New Roman" w:cs="Times New Roman"/>
          <w:kern w:val="0"/>
          <w:sz w:val="24"/>
          <w:szCs w:val="24"/>
          <w:lang w:val="bg-BG"/>
          <w14:ligatures w14:val="none"/>
        </w:rPr>
        <w:lastRenderedPageBreak/>
        <w:t>цел достъп и упражняване на регулирани професии в Република България. С Решение на Министерски съвет № 352 от 21.05.2015 г. е приет Първи национален план за действие по взаимна оценка на регулираните професии в държавите членки съгласно чл. 59 „Прозрачност" от изменената Директива 2005/З6/Е0 на Европейския парламент и на Съвета от 7 септември 2005 година относно признаването на професионалните квалификации.</w:t>
      </w:r>
    </w:p>
    <w:p w14:paraId="68C0F3D0"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4D56648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3.2. Показател „Оценка на ценовото предложение на участника“  (ОЦ) - </w:t>
      </w:r>
      <w:r w:rsidRPr="004E79A7">
        <w:rPr>
          <w:rFonts w:ascii="Times New Roman" w:eastAsia="Times New Roman" w:hAnsi="Times New Roman" w:cs="Times New Roman"/>
          <w:kern w:val="0"/>
          <w:sz w:val="24"/>
          <w:szCs w:val="24"/>
          <w:lang w:val="en-US"/>
          <w14:ligatures w14:val="none"/>
        </w:rPr>
        <w:t>(</w:t>
      </w:r>
      <w:r w:rsidRPr="004E79A7">
        <w:rPr>
          <w:rFonts w:ascii="Times New Roman" w:eastAsia="Times New Roman" w:hAnsi="Times New Roman" w:cs="Times New Roman"/>
          <w:kern w:val="0"/>
          <w:sz w:val="24"/>
          <w:szCs w:val="24"/>
          <w:lang w:val="bg-BG"/>
          <w14:ligatures w14:val="none"/>
        </w:rPr>
        <w:t>важи и за двете обособени позиции</w:t>
      </w:r>
      <w:r w:rsidRPr="004E79A7">
        <w:rPr>
          <w:rFonts w:ascii="Times New Roman" w:eastAsia="Times New Roman" w:hAnsi="Times New Roman" w:cs="Times New Roman"/>
          <w:kern w:val="0"/>
          <w:sz w:val="24"/>
          <w:szCs w:val="24"/>
          <w:lang w:val="en-US"/>
          <w14:ligatures w14:val="none"/>
        </w:rPr>
        <w:t>)</w:t>
      </w:r>
    </w:p>
    <w:p w14:paraId="065B7373"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Преди да се пристъпи към оценка по показателя, ценовите предложения се проверяват, за да се установи, че са подготвени и представени в съответствие с предварителните условия и изисквания на Възложителя.</w:t>
      </w:r>
    </w:p>
    <w:p w14:paraId="7D68C58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376F12E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Начин за определяне на оценката по показател ОЦ – „Оценка на ценовото предложение на участника“</w:t>
      </w:r>
    </w:p>
    <w:p w14:paraId="3B3504C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7C043BF9"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Показател ОЦ – „Оценка на ценовото предложение на участника“ е с максимален брой точки – 50 т. </w:t>
      </w:r>
    </w:p>
    <w:p w14:paraId="497DB3D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Максималният брой точки /ОЦ/ получава офертата с най-ниска обща предложена цена за изпълнение на поръчката, за съответната обособена позиция – 50 точки. Точките на останалите участници се определят в съотношение към най-ниската предложена цена по следната формула:</w:t>
      </w:r>
    </w:p>
    <w:p w14:paraId="76685C9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1CB452B7"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                                   С min</w:t>
      </w:r>
    </w:p>
    <w:p w14:paraId="4CD5EBC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            ОЦ  = 50   х    --------,  където :</w:t>
      </w:r>
    </w:p>
    <w:p w14:paraId="45C22A92"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                                     C n </w:t>
      </w:r>
    </w:p>
    <w:p w14:paraId="44E80C9D"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“50” е максималният брой точки по показателя;</w:t>
      </w:r>
    </w:p>
    <w:p w14:paraId="1538BA4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“C min” е най-ниската предложена цена за изпълнение на поръчката;</w:t>
      </w:r>
    </w:p>
    <w:p w14:paraId="3C4E1393"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“C n” е цената, предложена от оценявания кандидат.</w:t>
      </w:r>
    </w:p>
    <w:p w14:paraId="1A51BE94"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4D08F4E1"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 xml:space="preserve">Комплексната оценка /КО/ на всеки кандидат, по отделните обособени позиции,  се получава  като сбор от оценките, получени  по двата показателя ОПК и  ОЦ, изчислени по формулата: </w:t>
      </w:r>
    </w:p>
    <w:p w14:paraId="6BA72FA8"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КО = ОПК + ОЦ</w:t>
      </w:r>
    </w:p>
    <w:p w14:paraId="07DC2AA8"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p>
    <w:p w14:paraId="245D34CB" w14:textId="77777777" w:rsidR="004E79A7" w:rsidRPr="004E79A7" w:rsidRDefault="004E79A7" w:rsidP="00301AD4">
      <w:pPr>
        <w:tabs>
          <w:tab w:val="left" w:pos="284"/>
        </w:tabs>
        <w:spacing w:after="0" w:line="240" w:lineRule="auto"/>
        <w:jc w:val="both"/>
        <w:rPr>
          <w:rFonts w:ascii="Times New Roman" w:eastAsia="Times New Roman" w:hAnsi="Times New Roman" w:cs="Times New Roman"/>
          <w:kern w:val="0"/>
          <w:sz w:val="24"/>
          <w:szCs w:val="24"/>
          <w:lang w:val="bg-BG"/>
          <w14:ligatures w14:val="none"/>
        </w:rPr>
      </w:pPr>
      <w:r w:rsidRPr="004E79A7">
        <w:rPr>
          <w:rFonts w:ascii="Times New Roman" w:eastAsia="Times New Roman" w:hAnsi="Times New Roman" w:cs="Times New Roman"/>
          <w:kern w:val="0"/>
          <w:sz w:val="24"/>
          <w:szCs w:val="24"/>
          <w:lang w:val="bg-BG"/>
          <w14:ligatures w14:val="none"/>
        </w:rPr>
        <w:t>При определяне на оценката по показател ОЦ,  както и при определяне на комплексната оценка,  изчисленията по формулите се правят до втория знак след десетичната запетая. Офертата получила най-висока комплексна оценка, се класира на първо място.</w:t>
      </w:r>
    </w:p>
    <w:p w14:paraId="6AC067AA" w14:textId="37C97140" w:rsidR="007268F1" w:rsidRDefault="007268F1"/>
    <w:sectPr w:rsidR="007268F1">
      <w:headerReference w:type="default" r:id="rId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BF0758" w15:done="0"/>
  <w15:commentEx w15:paraId="7BD5F442" w15:paraIdParent="26BF0758" w15:done="0"/>
  <w15:commentEx w15:paraId="09898C45" w15:done="0"/>
  <w15:commentEx w15:paraId="13927402" w15:paraIdParent="09898C45" w15:done="0"/>
  <w15:commentEx w15:paraId="478AB6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BB74E27" w16cex:dateUtc="2024-03-07T13:17:00Z"/>
  <w16cex:commentExtensible w16cex:durableId="2D78EE0B" w16cex:dateUtc="2024-03-07T13:17:00Z"/>
  <w16cex:commentExtensible w16cex:durableId="497547DF" w16cex:dateUtc="2024-03-07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F0758" w16cid:durableId="295F895F"/>
  <w16cid:commentId w16cid:paraId="7BD5F442" w16cid:durableId="1BB74E27"/>
  <w16cid:commentId w16cid:paraId="09898C45" w16cid:durableId="295F89C0"/>
  <w16cid:commentId w16cid:paraId="13927402" w16cid:durableId="2D78EE0B"/>
  <w16cid:commentId w16cid:paraId="478AB6AB" w16cid:durableId="497547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C7A0F" w14:textId="77777777" w:rsidR="00413008" w:rsidRDefault="00413008" w:rsidP="00D65403">
      <w:pPr>
        <w:spacing w:after="0" w:line="240" w:lineRule="auto"/>
      </w:pPr>
      <w:r>
        <w:separator/>
      </w:r>
    </w:p>
  </w:endnote>
  <w:endnote w:type="continuationSeparator" w:id="0">
    <w:p w14:paraId="2E8698E3" w14:textId="77777777" w:rsidR="00413008" w:rsidRDefault="00413008" w:rsidP="00D6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5BB89" w14:textId="77777777" w:rsidR="00413008" w:rsidRDefault="00413008" w:rsidP="00D65403">
      <w:pPr>
        <w:spacing w:after="0" w:line="240" w:lineRule="auto"/>
      </w:pPr>
      <w:r>
        <w:separator/>
      </w:r>
    </w:p>
  </w:footnote>
  <w:footnote w:type="continuationSeparator" w:id="0">
    <w:p w14:paraId="11837C74" w14:textId="77777777" w:rsidR="00413008" w:rsidRDefault="00413008" w:rsidP="00D65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B7694" w14:textId="790BAF5E" w:rsidR="00D65403" w:rsidRPr="00D65403" w:rsidRDefault="00D65403" w:rsidP="00D65403">
    <w:pPr>
      <w:pStyle w:val="Header"/>
    </w:pPr>
    <w:r>
      <w:rPr>
        <w:noProof/>
        <w:lang w:val="bg-BG" w:eastAsia="bg-BG"/>
      </w:rPr>
      <w:drawing>
        <wp:inline distT="0" distB="0" distL="0" distR="0" wp14:anchorId="50539F9C" wp14:editId="331F0441">
          <wp:extent cx="2754630" cy="327472"/>
          <wp:effectExtent l="0" t="0" r="0" b="0"/>
          <wp:docPr id="66127844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1245" cy="333014"/>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D0CD4"/>
    <w:multiLevelType w:val="hybridMultilevel"/>
    <w:tmpl w:val="B23068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nya Ratarova BSPB">
    <w15:presenceInfo w15:providerId="AD" w15:userId="S::vanya.ratarova@bspb.org::68bcf96f-397f-420c-ab50-846c345109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DC4"/>
    <w:rsid w:val="001203D0"/>
    <w:rsid w:val="00265DC4"/>
    <w:rsid w:val="002F4A86"/>
    <w:rsid w:val="00301AD4"/>
    <w:rsid w:val="0032351D"/>
    <w:rsid w:val="003C6016"/>
    <w:rsid w:val="00413008"/>
    <w:rsid w:val="004E79A7"/>
    <w:rsid w:val="006B3FA8"/>
    <w:rsid w:val="007268F1"/>
    <w:rsid w:val="007B7FED"/>
    <w:rsid w:val="009B6ACA"/>
    <w:rsid w:val="00B11419"/>
    <w:rsid w:val="00BE372F"/>
    <w:rsid w:val="00D65403"/>
    <w:rsid w:val="00F234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49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character" w:styleId="CommentReference">
    <w:name w:val="annotation reference"/>
    <w:rsid w:val="004E79A7"/>
    <w:rPr>
      <w:sz w:val="16"/>
      <w:szCs w:val="16"/>
    </w:rPr>
  </w:style>
  <w:style w:type="paragraph" w:styleId="CommentText">
    <w:name w:val="annotation text"/>
    <w:basedOn w:val="Normal"/>
    <w:link w:val="CommentTextChar"/>
    <w:rsid w:val="004E79A7"/>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4E79A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23434"/>
    <w:pPr>
      <w:spacing w:after="160"/>
    </w:pPr>
    <w:rPr>
      <w:rFonts w:asciiTheme="minorHAnsi" w:eastAsiaTheme="minorHAnsi" w:hAnsiTheme="minorHAnsi" w:cstheme="minorBidi"/>
      <w:b/>
      <w:bCs/>
      <w:kern w:val="2"/>
      <w:lang w:val="hu-HU"/>
      <w14:ligatures w14:val="standardContextual"/>
    </w:rPr>
  </w:style>
  <w:style w:type="character" w:customStyle="1" w:styleId="CommentSubjectChar">
    <w:name w:val="Comment Subject Char"/>
    <w:basedOn w:val="CommentTextChar"/>
    <w:link w:val="CommentSubject"/>
    <w:uiPriority w:val="99"/>
    <w:semiHidden/>
    <w:rsid w:val="00F23434"/>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3C6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016"/>
    <w:rPr>
      <w:rFonts w:ascii="Tahoma" w:hAnsi="Tahoma" w:cs="Tahoma"/>
      <w:sz w:val="16"/>
      <w:szCs w:val="16"/>
    </w:rPr>
  </w:style>
  <w:style w:type="paragraph" w:styleId="ListParagraph">
    <w:name w:val="List Paragraph"/>
    <w:basedOn w:val="Normal"/>
    <w:uiPriority w:val="34"/>
    <w:qFormat/>
    <w:rsid w:val="00301A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4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403"/>
  </w:style>
  <w:style w:type="paragraph" w:styleId="Footer">
    <w:name w:val="footer"/>
    <w:basedOn w:val="Normal"/>
    <w:link w:val="FooterChar"/>
    <w:uiPriority w:val="99"/>
    <w:unhideWhenUsed/>
    <w:rsid w:val="00D65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5403"/>
  </w:style>
  <w:style w:type="character" w:styleId="CommentReference">
    <w:name w:val="annotation reference"/>
    <w:rsid w:val="004E79A7"/>
    <w:rPr>
      <w:sz w:val="16"/>
      <w:szCs w:val="16"/>
    </w:rPr>
  </w:style>
  <w:style w:type="paragraph" w:styleId="CommentText">
    <w:name w:val="annotation text"/>
    <w:basedOn w:val="Normal"/>
    <w:link w:val="CommentTextChar"/>
    <w:rsid w:val="004E79A7"/>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4E79A7"/>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23434"/>
    <w:pPr>
      <w:spacing w:after="160"/>
    </w:pPr>
    <w:rPr>
      <w:rFonts w:asciiTheme="minorHAnsi" w:eastAsiaTheme="minorHAnsi" w:hAnsiTheme="minorHAnsi" w:cstheme="minorBidi"/>
      <w:b/>
      <w:bCs/>
      <w:kern w:val="2"/>
      <w:lang w:val="hu-HU"/>
      <w14:ligatures w14:val="standardContextual"/>
    </w:rPr>
  </w:style>
  <w:style w:type="character" w:customStyle="1" w:styleId="CommentSubjectChar">
    <w:name w:val="Comment Subject Char"/>
    <w:basedOn w:val="CommentTextChar"/>
    <w:link w:val="CommentSubject"/>
    <w:uiPriority w:val="99"/>
    <w:semiHidden/>
    <w:rsid w:val="00F23434"/>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3C6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016"/>
    <w:rPr>
      <w:rFonts w:ascii="Tahoma" w:hAnsi="Tahoma" w:cs="Tahoma"/>
      <w:sz w:val="16"/>
      <w:szCs w:val="16"/>
    </w:rPr>
  </w:style>
  <w:style w:type="paragraph" w:styleId="ListParagraph">
    <w:name w:val="List Paragraph"/>
    <w:basedOn w:val="Normal"/>
    <w:uiPriority w:val="34"/>
    <w:qFormat/>
    <w:rsid w:val="00301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1860</Words>
  <Characters>11627</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Ratarova BSPB</dc:creator>
  <cp:keywords/>
  <dc:description/>
  <cp:lastModifiedBy>nikolovaeva@abv.bg</cp:lastModifiedBy>
  <cp:revision>7</cp:revision>
  <dcterms:created xsi:type="dcterms:W3CDTF">2024-03-07T13:08:00Z</dcterms:created>
  <dcterms:modified xsi:type="dcterms:W3CDTF">2024-03-10T12:12:00Z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ac639edd-73a1-497b-b006-cce4d230c730</vt:lpwstr>
  </property>
</Properties>
</file>