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B7B1EC" w14:textId="0D45E267" w:rsidR="00530C8F" w:rsidRDefault="00530C8F" w:rsidP="00D6454E">
      <w:pPr>
        <w:tabs>
          <w:tab w:val="left" w:pos="2835"/>
        </w:tabs>
        <w:rPr>
          <w:rFonts w:ascii="Open Sans" w:hAnsi="Open Sans" w:cs="Open Sans"/>
        </w:rPr>
      </w:pPr>
    </w:p>
    <w:p w14:paraId="6F26AA9F" w14:textId="01FFB35F" w:rsidR="00383319" w:rsidRDefault="00383319" w:rsidP="00D6454E">
      <w:pPr>
        <w:pBdr>
          <w:top w:val="single" w:sz="4" w:space="1" w:color="auto"/>
        </w:pBdr>
        <w:tabs>
          <w:tab w:val="left" w:pos="709"/>
        </w:tabs>
        <w:spacing w:after="0" w:line="240" w:lineRule="auto"/>
        <w:ind w:left="426" w:right="340"/>
        <w:rPr>
          <w:rFonts w:ascii="Times New Roman" w:eastAsia="Times New Roman" w:hAnsi="Times New Roman" w:cs="Times New Roman"/>
          <w:b/>
          <w:sz w:val="24"/>
          <w:szCs w:val="24"/>
          <w:lang w:val="bg-BG"/>
        </w:rPr>
      </w:pPr>
      <w:r w:rsidRPr="00383319">
        <w:rPr>
          <w:rFonts w:ascii="Times New Roman" w:eastAsia="Times New Roman" w:hAnsi="Times New Roman" w:cs="Times New Roman"/>
          <w:b/>
          <w:sz w:val="24"/>
          <w:szCs w:val="24"/>
          <w:lang w:val="bg-BG"/>
        </w:rPr>
        <w:t xml:space="preserve">Публична покана по чл. </w:t>
      </w:r>
      <w:r w:rsidRPr="00383319">
        <w:rPr>
          <w:rFonts w:ascii="Times New Roman" w:eastAsia="Times New Roman" w:hAnsi="Times New Roman" w:cs="Times New Roman"/>
          <w:b/>
          <w:sz w:val="24"/>
          <w:szCs w:val="24"/>
        </w:rPr>
        <w:t>5</w:t>
      </w:r>
      <w:r w:rsidRPr="00383319">
        <w:rPr>
          <w:rFonts w:ascii="Times New Roman" w:eastAsia="Times New Roman" w:hAnsi="Times New Roman" w:cs="Times New Roman"/>
          <w:b/>
          <w:sz w:val="24"/>
          <w:szCs w:val="24"/>
          <w:lang w:val="bg-BG"/>
        </w:rPr>
        <w:t>1 от</w:t>
      </w:r>
      <w:r w:rsidR="00D6454E">
        <w:rPr>
          <w:rFonts w:ascii="Times New Roman" w:eastAsia="Times New Roman" w:hAnsi="Times New Roman" w:cs="Times New Roman"/>
          <w:b/>
          <w:sz w:val="24"/>
          <w:szCs w:val="24"/>
          <w:lang w:val="bg-BG"/>
        </w:rPr>
        <w:t xml:space="preserve"> </w:t>
      </w:r>
      <w:r w:rsidR="007B29D8" w:rsidRPr="007B29D8">
        <w:rPr>
          <w:rFonts w:ascii="Times New Roman" w:eastAsia="Times New Roman" w:hAnsi="Times New Roman" w:cs="Times New Roman"/>
          <w:b/>
          <w:sz w:val="24"/>
          <w:szCs w:val="24"/>
          <w:lang w:val="bg-BG"/>
        </w:rPr>
        <w:t xml:space="preserve">ЗУСЕФСУ </w:t>
      </w:r>
    </w:p>
    <w:p w14:paraId="4990ED2C" w14:textId="77777777" w:rsidR="00D6454E" w:rsidRDefault="00D6454E" w:rsidP="00D6454E">
      <w:pPr>
        <w:pBdr>
          <w:top w:val="single" w:sz="4" w:space="1" w:color="auto"/>
        </w:pBdr>
        <w:tabs>
          <w:tab w:val="left" w:pos="709"/>
        </w:tabs>
        <w:spacing w:after="0" w:line="240" w:lineRule="auto"/>
        <w:ind w:left="426" w:right="340"/>
        <w:rPr>
          <w:rFonts w:ascii="Times New Roman" w:eastAsia="Times New Roman" w:hAnsi="Times New Roman" w:cs="Times New Roman"/>
          <w:b/>
          <w:sz w:val="24"/>
          <w:szCs w:val="24"/>
          <w:lang w:val="bg-BG"/>
        </w:rPr>
      </w:pPr>
    </w:p>
    <w:p w14:paraId="57E78A86" w14:textId="77777777" w:rsidR="00D6454E" w:rsidRPr="00D6454E" w:rsidRDefault="00D6454E" w:rsidP="00D6454E">
      <w:pPr>
        <w:pBdr>
          <w:top w:val="single" w:sz="4" w:space="1" w:color="auto"/>
        </w:pBdr>
        <w:tabs>
          <w:tab w:val="left" w:pos="709"/>
        </w:tabs>
        <w:spacing w:after="0" w:line="240" w:lineRule="auto"/>
        <w:ind w:left="426" w:right="340"/>
        <w:rPr>
          <w:rFonts w:ascii="Times New Roman" w:eastAsia="Times New Roman" w:hAnsi="Times New Roman" w:cs="Times New Roman"/>
          <w:b/>
          <w:sz w:val="24"/>
          <w:szCs w:val="24"/>
          <w:lang w:val="bg-BG"/>
        </w:rPr>
      </w:pPr>
    </w:p>
    <w:p w14:paraId="396C8841" w14:textId="77777777" w:rsidR="00383319" w:rsidRPr="00383319" w:rsidRDefault="00383319" w:rsidP="00D6454E">
      <w:pPr>
        <w:tabs>
          <w:tab w:val="left" w:pos="709"/>
          <w:tab w:val="left" w:pos="3045"/>
          <w:tab w:val="left" w:pos="7845"/>
        </w:tabs>
        <w:spacing w:after="0" w:line="240" w:lineRule="auto"/>
        <w:ind w:left="426" w:right="340"/>
        <w:jc w:val="center"/>
        <w:rPr>
          <w:rFonts w:ascii="Times New Roman" w:eastAsia="Times New Roman" w:hAnsi="Times New Roman" w:cs="Times New Roman"/>
          <w:b/>
          <w:sz w:val="24"/>
          <w:szCs w:val="24"/>
          <w:lang w:val="bg-BG"/>
        </w:rPr>
      </w:pPr>
      <w:r w:rsidRPr="00383319">
        <w:rPr>
          <w:rFonts w:ascii="Times New Roman" w:eastAsia="Times New Roman" w:hAnsi="Times New Roman" w:cs="Times New Roman"/>
          <w:b/>
          <w:sz w:val="24"/>
          <w:szCs w:val="24"/>
          <w:lang w:val="bg-BG"/>
        </w:rPr>
        <w:t>ПУБЛИЧНА ПОКАНА</w:t>
      </w:r>
    </w:p>
    <w:p w14:paraId="13B3EE12" w14:textId="77777777" w:rsidR="00383319" w:rsidRPr="00383319" w:rsidRDefault="00383319" w:rsidP="00D6454E">
      <w:pPr>
        <w:tabs>
          <w:tab w:val="left" w:pos="709"/>
          <w:tab w:val="left" w:pos="3045"/>
          <w:tab w:val="left" w:pos="7845"/>
        </w:tabs>
        <w:spacing w:after="0" w:line="240" w:lineRule="auto"/>
        <w:ind w:left="426" w:right="340"/>
        <w:rPr>
          <w:rFonts w:ascii="Times New Roman" w:eastAsia="Times New Roman" w:hAnsi="Times New Roman" w:cs="Times New Roman"/>
          <w:sz w:val="24"/>
          <w:szCs w:val="24"/>
          <w:lang w:val="bg-BG"/>
        </w:rPr>
      </w:pPr>
    </w:p>
    <w:p w14:paraId="78C0F4D0" w14:textId="77777777" w:rsidR="00383319" w:rsidRPr="00383319" w:rsidRDefault="00383319" w:rsidP="00D6454E">
      <w:pPr>
        <w:tabs>
          <w:tab w:val="left" w:pos="709"/>
          <w:tab w:val="left" w:pos="3045"/>
          <w:tab w:val="left" w:pos="7845"/>
        </w:tabs>
        <w:spacing w:after="0" w:line="240" w:lineRule="auto"/>
        <w:ind w:left="426" w:right="340"/>
        <w:rPr>
          <w:rFonts w:ascii="Times New Roman" w:eastAsia="Times New Roman" w:hAnsi="Times New Roman" w:cs="Times New Roman"/>
          <w:b/>
          <w:sz w:val="24"/>
          <w:szCs w:val="24"/>
          <w:lang w:val="bg-BG"/>
        </w:rPr>
      </w:pPr>
      <w:r w:rsidRPr="00383319">
        <w:rPr>
          <w:rFonts w:ascii="Times New Roman" w:eastAsia="Times New Roman" w:hAnsi="Times New Roman" w:cs="Times New Roman"/>
          <w:b/>
          <w:sz w:val="24"/>
          <w:szCs w:val="24"/>
          <w:lang w:val="bg-BG"/>
        </w:rPr>
        <w:t>РАЗДЕЛ 1: ДАННИ ЗА ВЪЗЛОЖИТЕЛЯ</w:t>
      </w:r>
    </w:p>
    <w:p w14:paraId="1D7CCC52" w14:textId="77777777" w:rsidR="00383319" w:rsidRPr="00383319" w:rsidRDefault="00383319" w:rsidP="00D6454E">
      <w:pPr>
        <w:tabs>
          <w:tab w:val="left" w:pos="709"/>
          <w:tab w:val="left" w:pos="3045"/>
          <w:tab w:val="left" w:pos="7845"/>
        </w:tabs>
        <w:spacing w:after="0" w:line="240" w:lineRule="auto"/>
        <w:ind w:left="426" w:right="340"/>
        <w:rPr>
          <w:rFonts w:ascii="Times New Roman" w:eastAsia="Times New Roman" w:hAnsi="Times New Roman" w:cs="Times New Roman"/>
          <w:b/>
          <w:sz w:val="24"/>
          <w:szCs w:val="24"/>
          <w:lang w:val="bg-BG"/>
        </w:rPr>
      </w:pPr>
    </w:p>
    <w:p w14:paraId="57B729E6"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sz w:val="24"/>
          <w:szCs w:val="24"/>
          <w:lang w:val="bg-BG"/>
        </w:rPr>
      </w:pPr>
      <w:r w:rsidRPr="00383319">
        <w:rPr>
          <w:rFonts w:ascii="Times New Roman" w:eastAsia="Times New Roman" w:hAnsi="Times New Roman" w:cs="Times New Roman"/>
          <w:b/>
          <w:sz w:val="24"/>
          <w:szCs w:val="24"/>
          <w:lang w:val="bg-BG"/>
        </w:rPr>
        <w:t>I.1) Наименование, адреси и лица за контакт</w:t>
      </w:r>
    </w:p>
    <w:p w14:paraId="28CF3AAB"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sz w:val="24"/>
          <w:szCs w:val="24"/>
          <w:lang w:val="bg-BG"/>
        </w:rPr>
      </w:pPr>
    </w:p>
    <w:tbl>
      <w:tblPr>
        <w:tblW w:w="0" w:type="auto"/>
        <w:jc w:val="center"/>
        <w:tblLayout w:type="fixed"/>
        <w:tblLook w:val="0000" w:firstRow="0" w:lastRow="0" w:firstColumn="0" w:lastColumn="0" w:noHBand="0" w:noVBand="0"/>
      </w:tblPr>
      <w:tblGrid>
        <w:gridCol w:w="4248"/>
        <w:gridCol w:w="1800"/>
        <w:gridCol w:w="3704"/>
      </w:tblGrid>
      <w:tr w:rsidR="00383319" w:rsidRPr="00383319" w14:paraId="77B766F0" w14:textId="77777777" w:rsidTr="00D6454E">
        <w:trPr>
          <w:trHeight w:val="570"/>
          <w:jc w:val="center"/>
        </w:trPr>
        <w:tc>
          <w:tcPr>
            <w:tcW w:w="9752" w:type="dxa"/>
            <w:gridSpan w:val="3"/>
            <w:tcBorders>
              <w:top w:val="single" w:sz="4" w:space="0" w:color="000000"/>
              <w:left w:val="single" w:sz="4" w:space="0" w:color="000000"/>
              <w:bottom w:val="single" w:sz="4" w:space="0" w:color="000000"/>
              <w:right w:val="single" w:sz="4" w:space="0" w:color="000000"/>
            </w:tcBorders>
          </w:tcPr>
          <w:p w14:paraId="310A6AFE"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Официално наименование: </w:t>
            </w:r>
            <w:r w:rsidRPr="00383319">
              <w:rPr>
                <w:rFonts w:ascii="Times New Roman" w:eastAsia="Times New Roman" w:hAnsi="Times New Roman" w:cs="Times New Roman"/>
                <w:bCs/>
                <w:sz w:val="24"/>
                <w:szCs w:val="24"/>
                <w:lang w:val="bg-BG"/>
              </w:rPr>
              <w:t>Сдружение „Българско дружество за защита на птиците” (БДЗП)</w:t>
            </w:r>
          </w:p>
        </w:tc>
      </w:tr>
      <w:tr w:rsidR="00383319" w:rsidRPr="00383319" w14:paraId="0D91420D" w14:textId="77777777" w:rsidTr="00D6454E">
        <w:trPr>
          <w:trHeight w:val="570"/>
          <w:jc w:val="center"/>
        </w:trPr>
        <w:tc>
          <w:tcPr>
            <w:tcW w:w="9752" w:type="dxa"/>
            <w:gridSpan w:val="3"/>
            <w:tcBorders>
              <w:left w:val="single" w:sz="4" w:space="0" w:color="000000"/>
              <w:bottom w:val="single" w:sz="4" w:space="0" w:color="000000"/>
              <w:right w:val="single" w:sz="4" w:space="0" w:color="000000"/>
            </w:tcBorders>
            <w:shd w:val="clear" w:color="auto" w:fill="FFFFFF"/>
          </w:tcPr>
          <w:p w14:paraId="51F50F21"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Адрес:  </w:t>
            </w:r>
            <w:r w:rsidRPr="00383319">
              <w:rPr>
                <w:rFonts w:ascii="Times New Roman" w:eastAsia="Times New Roman" w:hAnsi="Times New Roman" w:cs="Times New Roman"/>
                <w:bCs/>
                <w:sz w:val="24"/>
                <w:szCs w:val="24"/>
                <w:lang w:val="bg-BG"/>
              </w:rPr>
              <w:t>ж.к. Яворов, бл. 71, вх. 4, ет. 1, ап. 1</w:t>
            </w:r>
          </w:p>
          <w:p w14:paraId="41524E43"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b/>
                <w:bCs/>
                <w:sz w:val="24"/>
                <w:szCs w:val="24"/>
                <w:lang w:val="bg-BG"/>
              </w:rPr>
            </w:pPr>
          </w:p>
        </w:tc>
      </w:tr>
      <w:tr w:rsidR="00383319" w:rsidRPr="00383319" w14:paraId="7EBE0AC3" w14:textId="77777777" w:rsidTr="00D6454E">
        <w:trPr>
          <w:jc w:val="center"/>
        </w:trPr>
        <w:tc>
          <w:tcPr>
            <w:tcW w:w="4248" w:type="dxa"/>
            <w:tcBorders>
              <w:left w:val="single" w:sz="4" w:space="0" w:color="000000"/>
              <w:bottom w:val="single" w:sz="4" w:space="0" w:color="000000"/>
            </w:tcBorders>
            <w:shd w:val="clear" w:color="auto" w:fill="FFFFFF"/>
          </w:tcPr>
          <w:p w14:paraId="189F9ACE"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
                <w:sz w:val="24"/>
                <w:szCs w:val="24"/>
                <w:lang w:val="bg-BG"/>
              </w:rPr>
            </w:pPr>
            <w:r w:rsidRPr="00383319">
              <w:rPr>
                <w:rFonts w:ascii="Times New Roman" w:eastAsia="Times New Roman" w:hAnsi="Times New Roman" w:cs="Times New Roman"/>
                <w:b/>
                <w:sz w:val="24"/>
                <w:szCs w:val="24"/>
                <w:lang w:val="bg-BG"/>
              </w:rPr>
              <w:t xml:space="preserve">Град: </w:t>
            </w:r>
            <w:r w:rsidRPr="00383319">
              <w:rPr>
                <w:rFonts w:ascii="Times New Roman" w:eastAsia="Times New Roman" w:hAnsi="Times New Roman" w:cs="Times New Roman"/>
                <w:sz w:val="24"/>
                <w:szCs w:val="24"/>
                <w:lang w:val="bg-BG"/>
              </w:rPr>
              <w:t>София</w:t>
            </w:r>
          </w:p>
        </w:tc>
        <w:tc>
          <w:tcPr>
            <w:tcW w:w="1800" w:type="dxa"/>
            <w:tcBorders>
              <w:left w:val="single" w:sz="4" w:space="0" w:color="000000"/>
              <w:bottom w:val="single" w:sz="4" w:space="0" w:color="000000"/>
            </w:tcBorders>
            <w:shd w:val="clear" w:color="auto" w:fill="FFFFFF"/>
          </w:tcPr>
          <w:p w14:paraId="3E029F83"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
                <w:sz w:val="24"/>
                <w:szCs w:val="24"/>
                <w:lang w:val="bg-BG"/>
              </w:rPr>
            </w:pPr>
            <w:r w:rsidRPr="00383319">
              <w:rPr>
                <w:rFonts w:ascii="Times New Roman" w:eastAsia="Times New Roman" w:hAnsi="Times New Roman" w:cs="Times New Roman"/>
                <w:b/>
                <w:sz w:val="24"/>
                <w:szCs w:val="24"/>
                <w:lang w:val="bg-BG"/>
              </w:rPr>
              <w:t xml:space="preserve">Пощенски код: </w:t>
            </w:r>
            <w:r w:rsidRPr="00383319">
              <w:rPr>
                <w:rFonts w:ascii="Times New Roman" w:eastAsia="Times New Roman" w:hAnsi="Times New Roman" w:cs="Times New Roman"/>
                <w:sz w:val="24"/>
                <w:szCs w:val="24"/>
                <w:lang w:val="bg-BG"/>
              </w:rPr>
              <w:t>1111</w:t>
            </w:r>
          </w:p>
          <w:p w14:paraId="05AE33CB"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b/>
                <w:sz w:val="24"/>
                <w:szCs w:val="24"/>
                <w:lang w:val="bg-BG"/>
              </w:rPr>
            </w:pPr>
          </w:p>
        </w:tc>
        <w:tc>
          <w:tcPr>
            <w:tcW w:w="3704" w:type="dxa"/>
            <w:tcBorders>
              <w:left w:val="single" w:sz="4" w:space="0" w:color="000000"/>
              <w:bottom w:val="single" w:sz="4" w:space="0" w:color="000000"/>
              <w:right w:val="single" w:sz="4" w:space="0" w:color="000000"/>
            </w:tcBorders>
          </w:tcPr>
          <w:p w14:paraId="0705A600" w14:textId="77777777" w:rsidR="00383319" w:rsidRPr="00383319" w:rsidRDefault="00383319" w:rsidP="00246B2C">
            <w:pPr>
              <w:tabs>
                <w:tab w:val="left" w:pos="709"/>
              </w:tabs>
              <w:autoSpaceDE w:val="0"/>
              <w:snapToGrid w:val="0"/>
              <w:spacing w:after="0" w:line="240" w:lineRule="auto"/>
              <w:ind w:left="62" w:right="340"/>
              <w:rPr>
                <w:rFonts w:ascii="Times New Roman" w:eastAsia="Times New Roman" w:hAnsi="Times New Roman" w:cs="Times New Roman"/>
                <w:b/>
                <w:sz w:val="24"/>
                <w:szCs w:val="24"/>
                <w:lang w:val="bg-BG"/>
              </w:rPr>
            </w:pPr>
            <w:r w:rsidRPr="00383319">
              <w:rPr>
                <w:rFonts w:ascii="Times New Roman" w:eastAsia="Times New Roman" w:hAnsi="Times New Roman" w:cs="Times New Roman"/>
                <w:b/>
                <w:sz w:val="24"/>
                <w:szCs w:val="24"/>
                <w:lang w:val="bg-BG"/>
              </w:rPr>
              <w:t xml:space="preserve">Държава: </w:t>
            </w:r>
            <w:r w:rsidRPr="00246B2C">
              <w:rPr>
                <w:rFonts w:ascii="Times New Roman" w:eastAsia="Times New Roman" w:hAnsi="Times New Roman" w:cs="Times New Roman"/>
                <w:bCs/>
                <w:sz w:val="24"/>
                <w:szCs w:val="24"/>
                <w:lang w:val="bg-BG"/>
              </w:rPr>
              <w:t>Република България</w:t>
            </w:r>
          </w:p>
        </w:tc>
      </w:tr>
      <w:tr w:rsidR="00383319" w:rsidRPr="002843D7" w14:paraId="7AC0BED5" w14:textId="77777777" w:rsidTr="00D6454E">
        <w:trPr>
          <w:jc w:val="center"/>
        </w:trPr>
        <w:tc>
          <w:tcPr>
            <w:tcW w:w="4248" w:type="dxa"/>
            <w:tcBorders>
              <w:left w:val="single" w:sz="4" w:space="0" w:color="000000"/>
              <w:bottom w:val="single" w:sz="4" w:space="0" w:color="000000"/>
            </w:tcBorders>
          </w:tcPr>
          <w:p w14:paraId="5BAFE6F4" w14:textId="10626EE8" w:rsidR="00383319" w:rsidRPr="002843D7" w:rsidRDefault="00383319" w:rsidP="00246B2C">
            <w:pPr>
              <w:tabs>
                <w:tab w:val="left" w:pos="709"/>
              </w:tabs>
              <w:autoSpaceDE w:val="0"/>
              <w:snapToGrid w:val="0"/>
              <w:spacing w:after="0" w:line="240" w:lineRule="auto"/>
              <w:ind w:left="62" w:right="340"/>
              <w:rPr>
                <w:rFonts w:ascii="Times New Roman" w:eastAsia="Times New Roman" w:hAnsi="Times New Roman" w:cs="Times New Roman"/>
                <w:b/>
                <w:bCs/>
                <w:sz w:val="24"/>
                <w:szCs w:val="24"/>
                <w:lang w:val="ru-RU"/>
              </w:rPr>
            </w:pPr>
            <w:r w:rsidRPr="002843D7">
              <w:rPr>
                <w:rFonts w:ascii="Times New Roman" w:eastAsia="Times New Roman" w:hAnsi="Times New Roman" w:cs="Times New Roman"/>
                <w:b/>
                <w:bCs/>
                <w:sz w:val="24"/>
                <w:szCs w:val="24"/>
                <w:lang w:val="bg-BG"/>
              </w:rPr>
              <w:t>За контакти: БДЗП</w:t>
            </w:r>
          </w:p>
          <w:p w14:paraId="063C1242" w14:textId="352EF584" w:rsidR="00383319" w:rsidRPr="002843D7" w:rsidRDefault="00383319" w:rsidP="00246B2C">
            <w:pPr>
              <w:tabs>
                <w:tab w:val="left" w:pos="709"/>
              </w:tabs>
              <w:autoSpaceDE w:val="0"/>
              <w:spacing w:after="0" w:line="240" w:lineRule="auto"/>
              <w:ind w:left="62" w:right="340"/>
              <w:rPr>
                <w:rFonts w:ascii="Times New Roman" w:eastAsia="Times New Roman" w:hAnsi="Times New Roman" w:cs="Times New Roman"/>
                <w:b/>
                <w:bCs/>
                <w:sz w:val="24"/>
                <w:szCs w:val="24"/>
                <w:lang w:val="ru-RU"/>
              </w:rPr>
            </w:pPr>
            <w:r w:rsidRPr="002843D7">
              <w:rPr>
                <w:rFonts w:ascii="Times New Roman" w:eastAsia="Times New Roman" w:hAnsi="Times New Roman" w:cs="Times New Roman"/>
                <w:b/>
                <w:bCs/>
                <w:sz w:val="24"/>
                <w:szCs w:val="24"/>
                <w:lang w:val="bg-BG"/>
              </w:rPr>
              <w:t>Лице/а за контакт: Ваня Рътарова-Георгиева</w:t>
            </w:r>
          </w:p>
        </w:tc>
        <w:tc>
          <w:tcPr>
            <w:tcW w:w="5504" w:type="dxa"/>
            <w:gridSpan w:val="2"/>
            <w:tcBorders>
              <w:left w:val="single" w:sz="4" w:space="0" w:color="000000"/>
              <w:bottom w:val="single" w:sz="4" w:space="0" w:color="000000"/>
              <w:right w:val="single" w:sz="4" w:space="0" w:color="000000"/>
            </w:tcBorders>
          </w:tcPr>
          <w:p w14:paraId="49952BDE" w14:textId="5D2D1A54" w:rsidR="00383319" w:rsidRPr="002843D7"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
                <w:sz w:val="24"/>
                <w:szCs w:val="24"/>
                <w:lang w:val="bg-BG"/>
              </w:rPr>
            </w:pPr>
            <w:r w:rsidRPr="002843D7">
              <w:rPr>
                <w:rFonts w:ascii="Times New Roman" w:eastAsia="Times New Roman" w:hAnsi="Times New Roman" w:cs="Times New Roman"/>
                <w:b/>
                <w:sz w:val="24"/>
                <w:szCs w:val="24"/>
                <w:lang w:val="bg-BG"/>
              </w:rPr>
              <w:t xml:space="preserve">Телефон: 0878599351 </w:t>
            </w:r>
          </w:p>
        </w:tc>
      </w:tr>
      <w:tr w:rsidR="00383319" w:rsidRPr="002843D7" w14:paraId="015B7165" w14:textId="77777777" w:rsidTr="00D6454E">
        <w:trPr>
          <w:jc w:val="center"/>
        </w:trPr>
        <w:tc>
          <w:tcPr>
            <w:tcW w:w="4248" w:type="dxa"/>
            <w:tcBorders>
              <w:left w:val="single" w:sz="4" w:space="0" w:color="000000"/>
              <w:bottom w:val="single" w:sz="4" w:space="0" w:color="000000"/>
            </w:tcBorders>
          </w:tcPr>
          <w:p w14:paraId="15450F0E" w14:textId="50039A47" w:rsidR="00383319" w:rsidRPr="002843D7" w:rsidRDefault="00383319" w:rsidP="00246B2C">
            <w:pPr>
              <w:tabs>
                <w:tab w:val="left" w:pos="709"/>
              </w:tabs>
              <w:autoSpaceDE w:val="0"/>
              <w:snapToGrid w:val="0"/>
              <w:spacing w:after="0" w:line="240" w:lineRule="auto"/>
              <w:ind w:left="62" w:right="340"/>
              <w:rPr>
                <w:rFonts w:ascii="Times New Roman" w:eastAsia="Times New Roman" w:hAnsi="Times New Roman" w:cs="Times New Roman"/>
                <w:b/>
                <w:sz w:val="24"/>
                <w:szCs w:val="24"/>
              </w:rPr>
            </w:pPr>
            <w:r w:rsidRPr="002843D7">
              <w:rPr>
                <w:rFonts w:ascii="Times New Roman" w:eastAsia="Times New Roman" w:hAnsi="Times New Roman" w:cs="Times New Roman"/>
                <w:b/>
                <w:sz w:val="24"/>
                <w:szCs w:val="24"/>
                <w:lang w:val="bg-BG"/>
              </w:rPr>
              <w:t xml:space="preserve">Електронна поща: </w:t>
            </w:r>
            <w:hyperlink r:id="rId8" w:history="1">
              <w:r w:rsidRPr="002843D7">
                <w:rPr>
                  <w:rStyle w:val="Hyperlink"/>
                  <w:rFonts w:ascii="Times New Roman" w:eastAsia="Times New Roman" w:hAnsi="Times New Roman" w:cs="Times New Roman"/>
                  <w:b/>
                  <w:sz w:val="24"/>
                  <w:szCs w:val="24"/>
                </w:rPr>
                <w:t>bspb_hq@bspb.org</w:t>
              </w:r>
            </w:hyperlink>
            <w:r w:rsidRPr="002843D7">
              <w:rPr>
                <w:rFonts w:ascii="Times New Roman" w:eastAsia="Times New Roman" w:hAnsi="Times New Roman" w:cs="Times New Roman"/>
                <w:b/>
                <w:sz w:val="24"/>
                <w:szCs w:val="24"/>
              </w:rPr>
              <w:t xml:space="preserve"> </w:t>
            </w:r>
          </w:p>
        </w:tc>
        <w:tc>
          <w:tcPr>
            <w:tcW w:w="5504" w:type="dxa"/>
            <w:gridSpan w:val="2"/>
            <w:tcBorders>
              <w:left w:val="single" w:sz="4" w:space="0" w:color="000000"/>
              <w:bottom w:val="single" w:sz="4" w:space="0" w:color="000000"/>
              <w:right w:val="single" w:sz="4" w:space="0" w:color="000000"/>
            </w:tcBorders>
          </w:tcPr>
          <w:p w14:paraId="155F3AB2" w14:textId="526205D7" w:rsidR="00383319" w:rsidRPr="002843D7"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sz w:val="24"/>
                <w:szCs w:val="24"/>
                <w:lang w:val="bg-BG"/>
              </w:rPr>
            </w:pPr>
            <w:r w:rsidRPr="002843D7">
              <w:rPr>
                <w:rFonts w:ascii="Times New Roman" w:eastAsia="Times New Roman" w:hAnsi="Times New Roman" w:cs="Times New Roman"/>
                <w:b/>
                <w:sz w:val="24"/>
                <w:szCs w:val="24"/>
                <w:lang w:val="bg-BG"/>
              </w:rPr>
              <w:t>Факс</w:t>
            </w:r>
            <w:r w:rsidRPr="002843D7">
              <w:rPr>
                <w:rFonts w:ascii="Times New Roman" w:eastAsia="Times New Roman" w:hAnsi="Times New Roman" w:cs="Times New Roman"/>
                <w:sz w:val="24"/>
                <w:szCs w:val="24"/>
                <w:lang w:val="bg-BG"/>
              </w:rPr>
              <w:t>: непр.</w:t>
            </w:r>
          </w:p>
        </w:tc>
      </w:tr>
      <w:tr w:rsidR="00383319" w:rsidRPr="00383319" w14:paraId="70D37FC6" w14:textId="77777777" w:rsidTr="00D6454E">
        <w:trPr>
          <w:jc w:val="center"/>
        </w:trPr>
        <w:tc>
          <w:tcPr>
            <w:tcW w:w="9752" w:type="dxa"/>
            <w:gridSpan w:val="3"/>
            <w:tcBorders>
              <w:left w:val="single" w:sz="4" w:space="0" w:color="000000"/>
              <w:bottom w:val="single" w:sz="4" w:space="0" w:color="000000"/>
              <w:right w:val="single" w:sz="4" w:space="0" w:color="000000"/>
            </w:tcBorders>
          </w:tcPr>
          <w:p w14:paraId="2C19E20B"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i/>
                <w:sz w:val="24"/>
                <w:szCs w:val="24"/>
                <w:lang w:val="bg-BG"/>
              </w:rPr>
            </w:pPr>
            <w:r w:rsidRPr="002843D7">
              <w:rPr>
                <w:rFonts w:ascii="Times New Roman" w:eastAsia="Times New Roman" w:hAnsi="Times New Roman" w:cs="Times New Roman"/>
                <w:b/>
                <w:bCs/>
                <w:sz w:val="24"/>
                <w:szCs w:val="24"/>
                <w:lang w:val="bg-BG"/>
              </w:rPr>
              <w:t>Интернет адрес/и</w:t>
            </w:r>
            <w:r w:rsidRPr="002843D7">
              <w:rPr>
                <w:rFonts w:ascii="Times New Roman" w:eastAsia="Times New Roman" w:hAnsi="Times New Roman" w:cs="Times New Roman"/>
                <w:sz w:val="24"/>
                <w:szCs w:val="24"/>
                <w:lang w:val="bg-BG"/>
              </w:rPr>
              <w:t xml:space="preserve"> </w:t>
            </w:r>
            <w:r w:rsidRPr="002843D7">
              <w:rPr>
                <w:rFonts w:ascii="Times New Roman" w:eastAsia="Times New Roman" w:hAnsi="Times New Roman" w:cs="Times New Roman"/>
                <w:i/>
                <w:sz w:val="24"/>
                <w:szCs w:val="24"/>
                <w:lang w:val="bg-BG"/>
              </w:rPr>
              <w:t xml:space="preserve">(когато е приложимо): </w:t>
            </w:r>
            <w:hyperlink r:id="rId9" w:history="1">
              <w:r w:rsidRPr="002843D7">
                <w:rPr>
                  <w:rFonts w:ascii="Times New Roman" w:eastAsia="Times New Roman" w:hAnsi="Times New Roman" w:cs="Times New Roman"/>
                  <w:i/>
                  <w:color w:val="0000FF"/>
                  <w:sz w:val="24"/>
                  <w:szCs w:val="24"/>
                  <w:u w:val="single"/>
                  <w:lang w:val="bg-BG"/>
                </w:rPr>
                <w:t>https://bspb.org/</w:t>
              </w:r>
            </w:hyperlink>
            <w:r w:rsidRPr="00383319">
              <w:rPr>
                <w:rFonts w:ascii="Times New Roman" w:eastAsia="Times New Roman" w:hAnsi="Times New Roman" w:cs="Times New Roman"/>
                <w:i/>
                <w:sz w:val="24"/>
                <w:szCs w:val="24"/>
                <w:lang w:val="bg-BG"/>
              </w:rPr>
              <w:t xml:space="preserve"> </w:t>
            </w:r>
          </w:p>
          <w:p w14:paraId="78019C3B"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ru-RU"/>
              </w:rPr>
            </w:pPr>
          </w:p>
        </w:tc>
      </w:tr>
    </w:tbl>
    <w:p w14:paraId="7CD9CC95"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p>
    <w:p w14:paraId="4A8A617F"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I.2)</w:t>
      </w:r>
      <w:r w:rsidRPr="00383319">
        <w:rPr>
          <w:rFonts w:ascii="Times New Roman" w:eastAsia="Times New Roman" w:hAnsi="Times New Roman" w:cs="Times New Roman"/>
          <w:sz w:val="24"/>
          <w:szCs w:val="24"/>
          <w:lang w:val="bg-BG"/>
        </w:rPr>
        <w:t xml:space="preserve"> </w:t>
      </w:r>
      <w:r w:rsidRPr="00383319">
        <w:rPr>
          <w:rFonts w:ascii="Times New Roman" w:eastAsia="Times New Roman" w:hAnsi="Times New Roman" w:cs="Times New Roman"/>
          <w:b/>
          <w:bCs/>
          <w:sz w:val="24"/>
          <w:szCs w:val="24"/>
          <w:lang w:val="bg-BG"/>
        </w:rPr>
        <w:t>Вид на Възложителя и основна дейност/и</w:t>
      </w:r>
    </w:p>
    <w:p w14:paraId="39CB183C" w14:textId="77777777" w:rsidR="00383319" w:rsidRPr="00383319" w:rsidRDefault="00383319" w:rsidP="00D6454E">
      <w:pPr>
        <w:tabs>
          <w:tab w:val="left" w:pos="709"/>
          <w:tab w:val="center" w:pos="4153"/>
          <w:tab w:val="right" w:pos="8306"/>
        </w:tabs>
        <w:autoSpaceDE w:val="0"/>
        <w:spacing w:after="0" w:line="240" w:lineRule="auto"/>
        <w:ind w:left="426" w:right="340"/>
        <w:jc w:val="both"/>
        <w:rPr>
          <w:rFonts w:ascii="Times New Roman" w:eastAsia="Times New Roman" w:hAnsi="Times New Roman" w:cs="Times New Roman"/>
          <w:sz w:val="24"/>
          <w:szCs w:val="24"/>
          <w:lang w:val="bg-BG"/>
        </w:rPr>
      </w:pPr>
    </w:p>
    <w:tbl>
      <w:tblPr>
        <w:tblW w:w="0" w:type="auto"/>
        <w:jc w:val="center"/>
        <w:tblLayout w:type="fixed"/>
        <w:tblLook w:val="0000" w:firstRow="0" w:lastRow="0" w:firstColumn="0" w:lastColumn="0" w:noHBand="0" w:noVBand="0"/>
      </w:tblPr>
      <w:tblGrid>
        <w:gridCol w:w="4428"/>
        <w:gridCol w:w="5324"/>
      </w:tblGrid>
      <w:tr w:rsidR="00383319" w:rsidRPr="00383319" w14:paraId="1E444D0A" w14:textId="77777777" w:rsidTr="00D6454E">
        <w:trPr>
          <w:trHeight w:val="70"/>
          <w:jc w:val="center"/>
        </w:trPr>
        <w:tc>
          <w:tcPr>
            <w:tcW w:w="4428" w:type="dxa"/>
            <w:tcBorders>
              <w:top w:val="single" w:sz="4" w:space="0" w:color="000000"/>
              <w:left w:val="single" w:sz="4" w:space="0" w:color="000000"/>
              <w:bottom w:val="single" w:sz="4" w:space="0" w:color="000000"/>
            </w:tcBorders>
          </w:tcPr>
          <w:p w14:paraId="3F6D7A22"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xml:space="preserve">  търговско дружество </w:t>
            </w:r>
          </w:p>
          <w:p w14:paraId="65F33700"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sym w:font="Wingdings" w:char="F0FD"/>
            </w:r>
            <w:r w:rsidRPr="00383319">
              <w:rPr>
                <w:rFonts w:ascii="Times New Roman" w:eastAsia="Times New Roman" w:hAnsi="Times New Roman" w:cs="Times New Roman"/>
                <w:sz w:val="24"/>
                <w:szCs w:val="24"/>
                <w:lang w:val="bg-BG"/>
              </w:rPr>
              <w:t xml:space="preserve"> юридическо лице с нестопанска цел</w:t>
            </w:r>
          </w:p>
          <w:p w14:paraId="3E91F43C"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друго (</w:t>
            </w:r>
            <w:r w:rsidRPr="00383319">
              <w:rPr>
                <w:rFonts w:ascii="Times New Roman" w:eastAsia="Times New Roman" w:hAnsi="Times New Roman" w:cs="Times New Roman"/>
                <w:i/>
                <w:iCs/>
                <w:sz w:val="24"/>
                <w:szCs w:val="24"/>
                <w:lang w:val="bg-BG"/>
              </w:rPr>
              <w:t>моля, уточнете</w:t>
            </w:r>
            <w:r w:rsidRPr="00383319">
              <w:rPr>
                <w:rFonts w:ascii="Times New Roman" w:eastAsia="Times New Roman" w:hAnsi="Times New Roman" w:cs="Times New Roman"/>
                <w:sz w:val="24"/>
                <w:szCs w:val="24"/>
                <w:lang w:val="bg-BG"/>
              </w:rPr>
              <w:t>):</w:t>
            </w:r>
          </w:p>
          <w:p w14:paraId="00537798"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p>
        </w:tc>
        <w:tc>
          <w:tcPr>
            <w:tcW w:w="5324" w:type="dxa"/>
            <w:tcBorders>
              <w:top w:val="single" w:sz="4" w:space="0" w:color="000000"/>
              <w:left w:val="single" w:sz="4" w:space="0" w:color="000000"/>
              <w:bottom w:val="single" w:sz="4" w:space="0" w:color="000000"/>
              <w:right w:val="single" w:sz="4" w:space="0" w:color="000000"/>
            </w:tcBorders>
          </w:tcPr>
          <w:p w14:paraId="1D1FB4DF"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обществени услуги</w:t>
            </w:r>
          </w:p>
          <w:p w14:paraId="646AA0C2"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sym w:font="Wingdings" w:char="F0FD"/>
            </w:r>
            <w:r w:rsidRPr="00383319">
              <w:rPr>
                <w:rFonts w:ascii="Times New Roman" w:eastAsia="Times New Roman" w:hAnsi="Times New Roman" w:cs="Times New Roman"/>
                <w:sz w:val="24"/>
                <w:szCs w:val="24"/>
                <w:lang w:val="bg-BG"/>
              </w:rPr>
              <w:t xml:space="preserve"> околна среда</w:t>
            </w:r>
          </w:p>
          <w:p w14:paraId="69A62138"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икономическа и финансова дейност</w:t>
            </w:r>
          </w:p>
          <w:p w14:paraId="25554D05"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здравеопазване</w:t>
            </w:r>
          </w:p>
          <w:p w14:paraId="54786CF7"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настаняване/жилищно строителство и места за отдих и култура</w:t>
            </w:r>
          </w:p>
          <w:p w14:paraId="2AF929C1"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социална закрила</w:t>
            </w:r>
          </w:p>
          <w:p w14:paraId="33C3ABC7"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отдих, култура и религия</w:t>
            </w:r>
          </w:p>
          <w:p w14:paraId="74A1C2E3"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образование</w:t>
            </w:r>
          </w:p>
          <w:p w14:paraId="7CBE773F"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търговска дейност</w:t>
            </w:r>
          </w:p>
          <w:p w14:paraId="31F1A499"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друго (</w:t>
            </w:r>
            <w:r w:rsidRPr="00383319">
              <w:rPr>
                <w:rFonts w:ascii="Times New Roman" w:eastAsia="Times New Roman" w:hAnsi="Times New Roman" w:cs="Times New Roman"/>
                <w:i/>
                <w:iCs/>
                <w:sz w:val="24"/>
                <w:szCs w:val="24"/>
                <w:lang w:val="bg-BG"/>
              </w:rPr>
              <w:t>моля, уточнете</w:t>
            </w:r>
            <w:r w:rsidRPr="00383319">
              <w:rPr>
                <w:rFonts w:ascii="Times New Roman" w:eastAsia="Times New Roman" w:hAnsi="Times New Roman" w:cs="Times New Roman"/>
                <w:sz w:val="24"/>
                <w:szCs w:val="24"/>
                <w:lang w:val="bg-BG"/>
              </w:rPr>
              <w:t xml:space="preserve">): </w:t>
            </w:r>
          </w:p>
        </w:tc>
      </w:tr>
    </w:tbl>
    <w:p w14:paraId="3D4C28BD" w14:textId="77777777" w:rsidR="00383319" w:rsidRPr="00383319" w:rsidRDefault="00383319" w:rsidP="00D6454E">
      <w:pPr>
        <w:keepNext/>
        <w:tabs>
          <w:tab w:val="left" w:pos="0"/>
          <w:tab w:val="left" w:pos="709"/>
        </w:tabs>
        <w:spacing w:before="240" w:after="60" w:line="240" w:lineRule="auto"/>
        <w:ind w:left="426" w:right="340"/>
        <w:jc w:val="both"/>
        <w:outlineLvl w:val="2"/>
        <w:rPr>
          <w:rFonts w:ascii="Times New Roman" w:eastAsia="Times New Roman" w:hAnsi="Times New Roman" w:cs="Times New Roman"/>
          <w:b/>
          <w:bCs/>
          <w:sz w:val="24"/>
          <w:szCs w:val="24"/>
          <w:lang w:val="bg-BG" w:eastAsia="bg-BG"/>
        </w:rPr>
      </w:pPr>
      <w:r w:rsidRPr="00383319">
        <w:rPr>
          <w:rFonts w:ascii="Times New Roman" w:eastAsia="Times New Roman" w:hAnsi="Times New Roman" w:cs="Times New Roman"/>
          <w:b/>
          <w:bCs/>
          <w:sz w:val="24"/>
          <w:szCs w:val="24"/>
          <w:lang w:val="bg-BG" w:eastAsia="bg-BG"/>
        </w:rPr>
        <w:t xml:space="preserve">РАЗДЕЛ ІІ.: ОБЕКТ И ПРЕДМЕТ НА ПРОЦЕДУРАТА ЗА ОПРЕДЕЛЯНЕ НА ИЗПЪЛНИТЕЛ </w:t>
      </w:r>
    </w:p>
    <w:p w14:paraId="2DC3A5AA"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p>
    <w:p w14:paraId="45B73DC7"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ІІ.1) Описание</w:t>
      </w:r>
    </w:p>
    <w:p w14:paraId="21C9DF06"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p>
    <w:tbl>
      <w:tblPr>
        <w:tblW w:w="0" w:type="auto"/>
        <w:jc w:val="center"/>
        <w:tblLayout w:type="fixed"/>
        <w:tblLook w:val="0000" w:firstRow="0" w:lastRow="0" w:firstColumn="0" w:lastColumn="0" w:noHBand="0" w:noVBand="0"/>
      </w:tblPr>
      <w:tblGrid>
        <w:gridCol w:w="3168"/>
        <w:gridCol w:w="2880"/>
        <w:gridCol w:w="3704"/>
      </w:tblGrid>
      <w:tr w:rsidR="00383319" w:rsidRPr="00383319" w14:paraId="24005008" w14:textId="77777777" w:rsidTr="00D6454E">
        <w:trPr>
          <w:jc w:val="center"/>
        </w:trPr>
        <w:tc>
          <w:tcPr>
            <w:tcW w:w="9752" w:type="dxa"/>
            <w:gridSpan w:val="3"/>
            <w:tcBorders>
              <w:top w:val="single" w:sz="4" w:space="0" w:color="000000"/>
              <w:left w:val="single" w:sz="4" w:space="0" w:color="000000"/>
              <w:bottom w:val="single" w:sz="4" w:space="0" w:color="000000"/>
              <w:right w:val="single" w:sz="4" w:space="0" w:color="000000"/>
            </w:tcBorders>
          </w:tcPr>
          <w:p w14:paraId="587DB9F4"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ІІ.1.1) Обект на процедурата и място на изпълнение на строителството, доставката или услугата</w:t>
            </w:r>
          </w:p>
          <w:p w14:paraId="6A539822" w14:textId="77777777" w:rsidR="00383319" w:rsidRPr="00383319" w:rsidRDefault="00383319" w:rsidP="00D6454E">
            <w:pPr>
              <w:tabs>
                <w:tab w:val="left" w:pos="709"/>
                <w:tab w:val="center" w:pos="4153"/>
                <w:tab w:val="right" w:pos="8306"/>
              </w:tabs>
              <w:autoSpaceDE w:val="0"/>
              <w:spacing w:after="0" w:line="240" w:lineRule="auto"/>
              <w:ind w:left="204" w:right="340"/>
              <w:jc w:val="both"/>
              <w:rPr>
                <w:rFonts w:ascii="Times New Roman" w:eastAsia="Times New Roman" w:hAnsi="Times New Roman" w:cs="Times New Roman"/>
                <w:b/>
                <w:bCs/>
                <w:sz w:val="24"/>
                <w:szCs w:val="24"/>
                <w:lang w:val="bg-BG"/>
              </w:rPr>
            </w:pPr>
          </w:p>
        </w:tc>
      </w:tr>
      <w:tr w:rsidR="00383319" w:rsidRPr="00383319" w14:paraId="3F118CF4" w14:textId="77777777" w:rsidTr="00D6454E">
        <w:trPr>
          <w:jc w:val="center"/>
        </w:trPr>
        <w:tc>
          <w:tcPr>
            <w:tcW w:w="9752" w:type="dxa"/>
            <w:gridSpan w:val="3"/>
            <w:tcBorders>
              <w:left w:val="single" w:sz="4" w:space="0" w:color="000000"/>
              <w:bottom w:val="single" w:sz="4" w:space="0" w:color="000000"/>
              <w:right w:val="single" w:sz="4" w:space="0" w:color="000000"/>
            </w:tcBorders>
          </w:tcPr>
          <w:p w14:paraId="3B0B0A2A"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i/>
                <w:sz w:val="24"/>
                <w:szCs w:val="24"/>
                <w:lang w:val="bg-BG"/>
              </w:rPr>
              <w:t xml:space="preserve"> (</w:t>
            </w:r>
            <w:r w:rsidRPr="00383319">
              <w:rPr>
                <w:rFonts w:ascii="Times New Roman" w:eastAsia="Times New Roman" w:hAnsi="Times New Roman" w:cs="Times New Roman"/>
                <w:i/>
                <w:iCs/>
                <w:sz w:val="24"/>
                <w:szCs w:val="24"/>
                <w:lang w:val="bg-BG"/>
              </w:rPr>
              <w:t xml:space="preserve">Изберете само един обект – строителство, доставки или услуги, който </w:t>
            </w:r>
            <w:r w:rsidRPr="00383319">
              <w:rPr>
                <w:rFonts w:ascii="Times New Roman" w:eastAsia="Times New Roman" w:hAnsi="Times New Roman" w:cs="Times New Roman"/>
                <w:i/>
                <w:iCs/>
                <w:sz w:val="24"/>
                <w:szCs w:val="24"/>
                <w:lang w:val="bg-BG"/>
              </w:rPr>
              <w:lastRenderedPageBreak/>
              <w:t>съответства на конкретния предмет на  вашата процедура</w:t>
            </w:r>
            <w:r w:rsidRPr="00383319">
              <w:rPr>
                <w:rFonts w:ascii="Times New Roman" w:eastAsia="Times New Roman" w:hAnsi="Times New Roman" w:cs="Times New Roman"/>
                <w:sz w:val="24"/>
                <w:szCs w:val="24"/>
                <w:lang w:val="bg-BG"/>
              </w:rPr>
              <w:t>)</w:t>
            </w:r>
          </w:p>
          <w:p w14:paraId="3191BD22"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p>
        </w:tc>
      </w:tr>
      <w:tr w:rsidR="00383319" w:rsidRPr="00383319" w14:paraId="5F08F525" w14:textId="77777777" w:rsidTr="00D6454E">
        <w:trPr>
          <w:jc w:val="center"/>
        </w:trPr>
        <w:tc>
          <w:tcPr>
            <w:tcW w:w="3168" w:type="dxa"/>
            <w:tcBorders>
              <w:left w:val="single" w:sz="4" w:space="0" w:color="000000"/>
              <w:bottom w:val="single" w:sz="4" w:space="0" w:color="000000"/>
            </w:tcBorders>
          </w:tcPr>
          <w:p w14:paraId="1F59510C"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b/>
                <w:bCs/>
                <w:sz w:val="24"/>
                <w:szCs w:val="24"/>
                <w:lang w:val="bg-BG"/>
              </w:rPr>
              <w:lastRenderedPageBreak/>
              <w:t>(а) Строителство</w:t>
            </w:r>
            <w:r w:rsidRPr="00383319">
              <w:rPr>
                <w:rFonts w:ascii="Times New Roman" w:eastAsia="Times New Roman" w:hAnsi="Times New Roman" w:cs="Times New Roman"/>
                <w:sz w:val="24"/>
                <w:szCs w:val="24"/>
                <w:lang w:val="bg-BG"/>
              </w:rPr>
              <w:t xml:space="preserve">   </w:t>
            </w:r>
            <w:r w:rsidRPr="00383319">
              <w:rPr>
                <w:rFonts w:ascii="Times New Roman" w:eastAsia="Times New Roman" w:hAnsi="Times New Roman" w:cs="Times New Roman"/>
                <w:sz w:val="24"/>
                <w:szCs w:val="24"/>
                <w:lang w:val="bg-BG"/>
              </w:rPr>
              <w:t xml:space="preserve">        </w:t>
            </w:r>
          </w:p>
        </w:tc>
        <w:tc>
          <w:tcPr>
            <w:tcW w:w="2880" w:type="dxa"/>
            <w:tcBorders>
              <w:left w:val="single" w:sz="4" w:space="0" w:color="000000"/>
              <w:bottom w:val="single" w:sz="4" w:space="0" w:color="000000"/>
            </w:tcBorders>
          </w:tcPr>
          <w:p w14:paraId="4086FC1F"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b/>
                <w:bCs/>
                <w:sz w:val="24"/>
                <w:szCs w:val="24"/>
                <w:lang w:val="bg-BG"/>
              </w:rPr>
              <w:t>(б) Доставки</w:t>
            </w:r>
            <w:r w:rsidRPr="00383319">
              <w:rPr>
                <w:rFonts w:ascii="Times New Roman" w:eastAsia="Times New Roman" w:hAnsi="Times New Roman" w:cs="Times New Roman"/>
                <w:sz w:val="24"/>
                <w:szCs w:val="24"/>
                <w:lang w:val="bg-BG"/>
              </w:rPr>
              <w:t xml:space="preserve">   </w:t>
            </w:r>
            <w:r w:rsidRPr="00383319">
              <w:rPr>
                <w:rFonts w:ascii="Times New Roman" w:eastAsia="Times New Roman" w:hAnsi="Times New Roman" w:cs="Times New Roman"/>
                <w:sz w:val="24"/>
                <w:szCs w:val="24"/>
                <w:lang w:val="bg-BG"/>
              </w:rPr>
              <w:t></w:t>
            </w:r>
          </w:p>
          <w:p w14:paraId="15830509"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p>
        </w:tc>
        <w:tc>
          <w:tcPr>
            <w:tcW w:w="3704" w:type="dxa"/>
            <w:tcBorders>
              <w:left w:val="single" w:sz="4" w:space="0" w:color="000000"/>
              <w:bottom w:val="single" w:sz="4" w:space="0" w:color="000000"/>
              <w:right w:val="single" w:sz="4" w:space="0" w:color="000000"/>
            </w:tcBorders>
          </w:tcPr>
          <w:p w14:paraId="5E64E097" w14:textId="77777777" w:rsidR="00383319" w:rsidRPr="00383319" w:rsidRDefault="00383319" w:rsidP="00D6454E">
            <w:pPr>
              <w:tabs>
                <w:tab w:val="left" w:pos="709"/>
              </w:tabs>
              <w:autoSpaceDE w:val="0"/>
              <w:snapToGrid w:val="0"/>
              <w:spacing w:after="0" w:line="240" w:lineRule="auto"/>
              <w:ind w:left="204" w:right="340"/>
              <w:rPr>
                <w:rFonts w:ascii="Times New Roman" w:eastAsia="Times New Roman" w:hAnsi="Times New Roman" w:cs="Times New Roman"/>
                <w:sz w:val="24"/>
                <w:szCs w:val="24"/>
                <w:lang w:val="bg-BG"/>
              </w:rPr>
            </w:pPr>
            <w:r w:rsidRPr="00383319">
              <w:rPr>
                <w:rFonts w:ascii="Times New Roman" w:eastAsia="Times New Roman" w:hAnsi="Times New Roman" w:cs="Times New Roman"/>
                <w:b/>
                <w:bCs/>
                <w:sz w:val="24"/>
                <w:szCs w:val="24"/>
                <w:lang w:val="bg-BG"/>
              </w:rPr>
              <w:t xml:space="preserve">(в) Услуги   </w:t>
            </w:r>
            <w:r w:rsidRPr="00383319">
              <w:rPr>
                <w:rFonts w:ascii="Times New Roman" w:eastAsia="Times New Roman" w:hAnsi="Times New Roman" w:cs="Times New Roman"/>
                <w:sz w:val="24"/>
                <w:szCs w:val="24"/>
                <w:lang w:val="bg-BG"/>
              </w:rPr>
              <w:sym w:font="Wingdings" w:char="F0FD"/>
            </w:r>
            <w:r w:rsidRPr="00383319">
              <w:rPr>
                <w:rFonts w:ascii="Times New Roman" w:eastAsia="Times New Roman" w:hAnsi="Times New Roman" w:cs="Times New Roman"/>
                <w:b/>
                <w:bCs/>
                <w:sz w:val="24"/>
                <w:szCs w:val="24"/>
                <w:lang w:val="bg-BG"/>
              </w:rPr>
              <w:t xml:space="preserve">                 </w:t>
            </w:r>
          </w:p>
        </w:tc>
      </w:tr>
      <w:tr w:rsidR="00383319" w:rsidRPr="00383319" w14:paraId="6732A276" w14:textId="77777777" w:rsidTr="00D6454E">
        <w:trPr>
          <w:jc w:val="center"/>
        </w:trPr>
        <w:tc>
          <w:tcPr>
            <w:tcW w:w="3168" w:type="dxa"/>
            <w:tcBorders>
              <w:left w:val="single" w:sz="4" w:space="0" w:color="000000"/>
              <w:bottom w:val="single" w:sz="4" w:space="0" w:color="000000"/>
            </w:tcBorders>
          </w:tcPr>
          <w:p w14:paraId="75B162AE"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sz w:val="24"/>
                <w:szCs w:val="24"/>
                <w:lang w:val="ru-RU"/>
              </w:rPr>
            </w:pPr>
            <w:r w:rsidRPr="00383319">
              <w:rPr>
                <w:rFonts w:ascii="Times New Roman" w:eastAsia="Times New Roman" w:hAnsi="Times New Roman" w:cs="Times New Roman"/>
                <w:sz w:val="24"/>
                <w:szCs w:val="24"/>
                <w:lang w:val="bg-BG"/>
              </w:rPr>
              <w:t xml:space="preserve"> Изграждане </w:t>
            </w:r>
          </w:p>
          <w:p w14:paraId="3123B009"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sz w:val="24"/>
                <w:szCs w:val="24"/>
                <w:lang w:val="bg-BG"/>
              </w:rPr>
            </w:pPr>
          </w:p>
          <w:p w14:paraId="412528CE"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ru-RU"/>
              </w:rPr>
            </w:pPr>
          </w:p>
          <w:p w14:paraId="499B3104" w14:textId="77777777" w:rsidR="00383319" w:rsidRPr="00383319" w:rsidRDefault="00383319" w:rsidP="00D6454E">
            <w:pPr>
              <w:tabs>
                <w:tab w:val="left" w:pos="709"/>
              </w:tabs>
              <w:autoSpaceDE w:val="0"/>
              <w:spacing w:after="0" w:line="240" w:lineRule="auto"/>
              <w:ind w:left="204" w:right="340"/>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Проектиране и</w:t>
            </w:r>
            <w:r w:rsidRPr="00383319">
              <w:rPr>
                <w:rFonts w:ascii="Times New Roman" w:eastAsia="Times New Roman" w:hAnsi="Times New Roman" w:cs="Times New Roman"/>
                <w:sz w:val="24"/>
                <w:szCs w:val="24"/>
                <w:lang w:val="ru-RU"/>
              </w:rPr>
              <w:t xml:space="preserve"> </w:t>
            </w:r>
            <w:r w:rsidRPr="00383319">
              <w:rPr>
                <w:rFonts w:ascii="Times New Roman" w:eastAsia="Times New Roman" w:hAnsi="Times New Roman" w:cs="Times New Roman"/>
                <w:sz w:val="24"/>
                <w:szCs w:val="24"/>
                <w:lang w:val="bg-BG"/>
              </w:rPr>
              <w:t>изпълнение</w:t>
            </w:r>
          </w:p>
          <w:p w14:paraId="61B4398C" w14:textId="77777777" w:rsidR="00383319" w:rsidRPr="00383319" w:rsidRDefault="00383319" w:rsidP="00D6454E">
            <w:pPr>
              <w:tabs>
                <w:tab w:val="left" w:pos="709"/>
                <w:tab w:val="center" w:pos="4153"/>
                <w:tab w:val="right" w:pos="8306"/>
              </w:tabs>
              <w:autoSpaceDE w:val="0"/>
              <w:spacing w:after="0" w:line="240" w:lineRule="auto"/>
              <w:ind w:left="204" w:right="340"/>
              <w:rPr>
                <w:rFonts w:ascii="Times New Roman" w:eastAsia="Times New Roman" w:hAnsi="Times New Roman" w:cs="Times New Roman"/>
                <w:sz w:val="24"/>
                <w:szCs w:val="24"/>
                <w:lang w:val="ru-RU"/>
              </w:rPr>
            </w:pPr>
          </w:p>
          <w:p w14:paraId="5A109A8E" w14:textId="77777777" w:rsidR="00383319" w:rsidRPr="00383319" w:rsidRDefault="00383319" w:rsidP="00D6454E">
            <w:pPr>
              <w:tabs>
                <w:tab w:val="left" w:pos="709"/>
                <w:tab w:val="center" w:pos="4153"/>
                <w:tab w:val="right" w:pos="8306"/>
              </w:tabs>
              <w:autoSpaceDE w:val="0"/>
              <w:spacing w:after="0" w:line="240" w:lineRule="auto"/>
              <w:ind w:left="204" w:right="340"/>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Рехабилитация,</w:t>
            </w:r>
            <w:r w:rsidRPr="00383319">
              <w:rPr>
                <w:rFonts w:ascii="Times New Roman" w:eastAsia="Times New Roman" w:hAnsi="Times New Roman" w:cs="Times New Roman"/>
                <w:sz w:val="24"/>
                <w:szCs w:val="24"/>
                <w:lang w:val="ru-RU"/>
              </w:rPr>
              <w:t xml:space="preserve"> </w:t>
            </w:r>
            <w:r w:rsidRPr="00383319">
              <w:rPr>
                <w:rFonts w:ascii="Times New Roman" w:eastAsia="Times New Roman" w:hAnsi="Times New Roman" w:cs="Times New Roman"/>
                <w:sz w:val="24"/>
                <w:szCs w:val="24"/>
                <w:lang w:val="bg-BG"/>
              </w:rPr>
              <w:t>реконструкция</w:t>
            </w:r>
          </w:p>
          <w:p w14:paraId="4A062C9A" w14:textId="77777777" w:rsidR="00383319" w:rsidRPr="00383319" w:rsidRDefault="00383319" w:rsidP="00D6454E">
            <w:pPr>
              <w:tabs>
                <w:tab w:val="left" w:pos="709"/>
                <w:tab w:val="center" w:pos="4153"/>
                <w:tab w:val="right" w:pos="8306"/>
              </w:tabs>
              <w:autoSpaceDE w:val="0"/>
              <w:spacing w:after="0" w:line="240" w:lineRule="auto"/>
              <w:ind w:left="204" w:right="340"/>
              <w:jc w:val="both"/>
              <w:rPr>
                <w:rFonts w:ascii="Times New Roman" w:eastAsia="Times New Roman" w:hAnsi="Times New Roman" w:cs="Times New Roman"/>
                <w:sz w:val="24"/>
                <w:szCs w:val="24"/>
                <w:lang w:val="bg-BG"/>
              </w:rPr>
            </w:pPr>
          </w:p>
          <w:p w14:paraId="69E9E2D0" w14:textId="77777777" w:rsidR="00383319" w:rsidRPr="00383319" w:rsidRDefault="00383319" w:rsidP="00D6454E">
            <w:pPr>
              <w:tabs>
                <w:tab w:val="left" w:pos="709"/>
                <w:tab w:val="center" w:pos="4153"/>
                <w:tab w:val="right" w:pos="8306"/>
              </w:tabs>
              <w:autoSpaceDE w:val="0"/>
              <w:spacing w:after="0" w:line="240" w:lineRule="auto"/>
              <w:ind w:left="204" w:right="340"/>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Строително-монтажни работи</w:t>
            </w:r>
          </w:p>
          <w:p w14:paraId="4CAF41B8" w14:textId="77777777" w:rsidR="00383319" w:rsidRPr="00383319" w:rsidRDefault="00383319" w:rsidP="00D6454E">
            <w:pPr>
              <w:tabs>
                <w:tab w:val="left" w:pos="709"/>
                <w:tab w:val="center" w:pos="4153"/>
                <w:tab w:val="right" w:pos="8306"/>
              </w:tabs>
              <w:autoSpaceDE w:val="0"/>
              <w:spacing w:after="0" w:line="240" w:lineRule="auto"/>
              <w:ind w:left="204" w:right="340"/>
              <w:jc w:val="both"/>
              <w:rPr>
                <w:rFonts w:ascii="Times New Roman" w:eastAsia="Times New Roman" w:hAnsi="Times New Roman" w:cs="Times New Roman"/>
                <w:sz w:val="24"/>
                <w:szCs w:val="24"/>
                <w:lang w:val="bg-BG"/>
              </w:rPr>
            </w:pPr>
          </w:p>
        </w:tc>
        <w:tc>
          <w:tcPr>
            <w:tcW w:w="2880" w:type="dxa"/>
            <w:tcBorders>
              <w:left w:val="single" w:sz="4" w:space="0" w:color="000000"/>
              <w:bottom w:val="single" w:sz="4" w:space="0" w:color="000000"/>
            </w:tcBorders>
          </w:tcPr>
          <w:p w14:paraId="7A7908DB"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Покупка</w:t>
            </w:r>
          </w:p>
          <w:p w14:paraId="1055B1AC"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sz w:val="24"/>
                <w:szCs w:val="24"/>
                <w:lang w:val="bg-BG"/>
              </w:rPr>
            </w:pPr>
          </w:p>
          <w:p w14:paraId="428DCD8E"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Лизинг</w:t>
            </w:r>
          </w:p>
          <w:p w14:paraId="551391A8"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i/>
                <w:sz w:val="24"/>
                <w:szCs w:val="24"/>
                <w:lang w:val="bg-BG"/>
              </w:rPr>
            </w:pPr>
          </w:p>
          <w:p w14:paraId="6AC7C866"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Покупка на изплащане</w:t>
            </w:r>
          </w:p>
          <w:p w14:paraId="0D5FE040"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p>
          <w:p w14:paraId="322AC002"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Наем за машини и оборудване</w:t>
            </w:r>
          </w:p>
          <w:p w14:paraId="2D14CE84"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p>
          <w:p w14:paraId="124363DD" w14:textId="77777777" w:rsidR="00383319" w:rsidRPr="00383319" w:rsidRDefault="00383319" w:rsidP="00D6454E">
            <w:pPr>
              <w:tabs>
                <w:tab w:val="left" w:pos="709"/>
              </w:tabs>
              <w:autoSpaceDE w:val="0"/>
              <w:spacing w:after="0" w:line="240" w:lineRule="auto"/>
              <w:ind w:left="204" w:right="340"/>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Комбинация от изброените</w:t>
            </w:r>
          </w:p>
          <w:p w14:paraId="3E5ADAD2"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p>
          <w:p w14:paraId="3E897358"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Други (моля, пояснете)</w:t>
            </w:r>
          </w:p>
          <w:p w14:paraId="3A1AD4A1"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rPr>
            </w:pPr>
            <w:r w:rsidRPr="00383319">
              <w:rPr>
                <w:rFonts w:ascii="Times New Roman" w:eastAsia="Times New Roman" w:hAnsi="Times New Roman" w:cs="Times New Roman"/>
                <w:sz w:val="24"/>
                <w:szCs w:val="24"/>
                <w:lang w:val="bg-BG"/>
              </w:rPr>
              <w:t>……………....................................................................</w:t>
            </w:r>
          </w:p>
        </w:tc>
        <w:tc>
          <w:tcPr>
            <w:tcW w:w="3704" w:type="dxa"/>
            <w:tcBorders>
              <w:left w:val="single" w:sz="4" w:space="0" w:color="000000"/>
              <w:bottom w:val="single" w:sz="4" w:space="0" w:color="000000"/>
              <w:right w:val="single" w:sz="4" w:space="0" w:color="000000"/>
            </w:tcBorders>
          </w:tcPr>
          <w:p w14:paraId="325C0047" w14:textId="77777777" w:rsidR="00383319" w:rsidRPr="00383319" w:rsidRDefault="00383319" w:rsidP="00D6454E">
            <w:pPr>
              <w:tabs>
                <w:tab w:val="left" w:pos="709"/>
              </w:tabs>
              <w:autoSpaceDE w:val="0"/>
              <w:snapToGrid w:val="0"/>
              <w:spacing w:after="0" w:line="240" w:lineRule="auto"/>
              <w:ind w:left="204" w:right="340"/>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Категория услуга:</w:t>
            </w:r>
            <w:r w:rsidRPr="00383319">
              <w:rPr>
                <w:rFonts w:ascii="HebarU" w:eastAsia="Times New Roman" w:hAnsi="HebarU" w:cs="Times New Roman"/>
                <w:sz w:val="24"/>
                <w:szCs w:val="20"/>
                <w:lang w:val="bg-BG"/>
              </w:rPr>
              <w:t xml:space="preserve"> </w:t>
            </w:r>
          </w:p>
          <w:p w14:paraId="0E836AD4"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p>
          <w:p w14:paraId="15A6F884"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16 - Консултантски услуги по управление и свързани с тях услуги</w:t>
            </w:r>
          </w:p>
          <w:p w14:paraId="41989CDF"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p>
          <w:p w14:paraId="16C6E457" w14:textId="77777777" w:rsidR="00383319" w:rsidRPr="00383319" w:rsidRDefault="00383319" w:rsidP="00D6454E">
            <w:pPr>
              <w:tabs>
                <w:tab w:val="left" w:pos="709"/>
              </w:tabs>
              <w:autoSpaceDE w:val="0"/>
              <w:spacing w:after="0" w:line="240" w:lineRule="auto"/>
              <w:ind w:left="204" w:right="340"/>
              <w:rPr>
                <w:rFonts w:ascii="Times New Roman" w:eastAsia="Times New Roman" w:hAnsi="Times New Roman" w:cs="Times New Roman"/>
                <w:i/>
                <w:iCs/>
                <w:sz w:val="24"/>
                <w:szCs w:val="24"/>
                <w:u w:val="single"/>
                <w:lang w:val="bg-BG"/>
              </w:rPr>
            </w:pPr>
          </w:p>
        </w:tc>
      </w:tr>
      <w:tr w:rsidR="00383319" w:rsidRPr="00383319" w14:paraId="288176F5" w14:textId="77777777" w:rsidTr="00D6454E">
        <w:trPr>
          <w:jc w:val="center"/>
        </w:trPr>
        <w:tc>
          <w:tcPr>
            <w:tcW w:w="3168" w:type="dxa"/>
            <w:tcBorders>
              <w:left w:val="single" w:sz="4" w:space="0" w:color="000000"/>
              <w:bottom w:val="single" w:sz="4" w:space="0" w:color="000000"/>
            </w:tcBorders>
          </w:tcPr>
          <w:p w14:paraId="1C8F864D"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sz w:val="24"/>
                <w:szCs w:val="24"/>
                <w:lang w:val="ru-RU"/>
              </w:rPr>
            </w:pPr>
            <w:r w:rsidRPr="00383319">
              <w:rPr>
                <w:rFonts w:ascii="Times New Roman" w:eastAsia="Times New Roman" w:hAnsi="Times New Roman" w:cs="Times New Roman"/>
                <w:sz w:val="24"/>
                <w:szCs w:val="24"/>
                <w:lang w:val="bg-BG"/>
              </w:rPr>
              <w:t>Място на изпълнение на строителството</w:t>
            </w:r>
            <w:r w:rsidRPr="00383319">
              <w:rPr>
                <w:rFonts w:ascii="Times New Roman" w:eastAsia="Times New Roman" w:hAnsi="Times New Roman" w:cs="Times New Roman"/>
                <w:sz w:val="24"/>
                <w:szCs w:val="24"/>
                <w:lang w:val="ru-RU"/>
              </w:rPr>
              <w:t>:</w:t>
            </w:r>
          </w:p>
          <w:p w14:paraId="491FEDFF"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________________________</w:t>
            </w:r>
          </w:p>
          <w:p w14:paraId="68FA280D"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________________________</w:t>
            </w:r>
          </w:p>
          <w:p w14:paraId="5FDF6173"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p>
          <w:p w14:paraId="17AA53BE"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код NUTS: </w:t>
            </w:r>
            <w:r w:rsidRPr="00383319">
              <w:rPr>
                <w:rFonts w:ascii="Times New Roman" w:eastAsia="Times New Roman" w:hAnsi="Times New Roman" w:cs="Times New Roman"/>
                <w:b/>
                <w:bCs/>
                <w:sz w:val="24"/>
                <w:szCs w:val="24"/>
                <w:lang w:val="bg-BG"/>
              </w:rPr>
              <w:t xml:space="preserve"> </w:t>
            </w:r>
            <w:r w:rsidRPr="00383319">
              <w:rPr>
                <w:rFonts w:ascii="Times New Roman" w:eastAsia="Times New Roman" w:hAnsi="Times New Roman" w:cs="Times New Roman"/>
                <w:b/>
                <w:bCs/>
                <w:sz w:val="24"/>
                <w:szCs w:val="24"/>
                <w:lang w:val="bg-BG"/>
              </w:rPr>
              <w:t xml:space="preserve"> </w:t>
            </w:r>
            <w:r w:rsidRPr="00383319">
              <w:rPr>
                <w:rFonts w:ascii="Times New Roman" w:eastAsia="Times New Roman" w:hAnsi="Times New Roman" w:cs="Times New Roman"/>
                <w:b/>
                <w:bCs/>
                <w:sz w:val="24"/>
                <w:szCs w:val="24"/>
                <w:lang w:val="bg-BG"/>
              </w:rPr>
              <w:t xml:space="preserve"> </w:t>
            </w:r>
            <w:r w:rsidRPr="00383319">
              <w:rPr>
                <w:rFonts w:ascii="Times New Roman" w:eastAsia="Times New Roman" w:hAnsi="Times New Roman" w:cs="Times New Roman"/>
                <w:b/>
                <w:bCs/>
                <w:sz w:val="24"/>
                <w:szCs w:val="24"/>
                <w:lang w:val="bg-BG"/>
              </w:rPr>
              <w:t xml:space="preserve"> </w:t>
            </w:r>
            <w:r w:rsidRPr="00383319">
              <w:rPr>
                <w:rFonts w:ascii="Times New Roman" w:eastAsia="Times New Roman" w:hAnsi="Times New Roman" w:cs="Times New Roman"/>
                <w:b/>
                <w:bCs/>
                <w:sz w:val="24"/>
                <w:szCs w:val="24"/>
                <w:lang w:val="bg-BG"/>
              </w:rPr>
              <w:t></w:t>
            </w:r>
          </w:p>
        </w:tc>
        <w:tc>
          <w:tcPr>
            <w:tcW w:w="2880" w:type="dxa"/>
            <w:tcBorders>
              <w:left w:val="single" w:sz="4" w:space="0" w:color="000000"/>
              <w:bottom w:val="single" w:sz="4" w:space="0" w:color="000000"/>
            </w:tcBorders>
          </w:tcPr>
          <w:p w14:paraId="7C5B6721"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Място на изпълнение на доставка:</w:t>
            </w:r>
          </w:p>
          <w:p w14:paraId="5990454A"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________________________</w:t>
            </w:r>
          </w:p>
          <w:p w14:paraId="0EBEFBBB"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________________________</w:t>
            </w:r>
          </w:p>
          <w:p w14:paraId="4FCBF239"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p>
          <w:p w14:paraId="5E1864E0"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код NUTS: </w:t>
            </w:r>
            <w:r w:rsidRPr="00383319">
              <w:rPr>
                <w:rFonts w:ascii="Times New Roman" w:eastAsia="Times New Roman" w:hAnsi="Times New Roman" w:cs="Times New Roman"/>
                <w:b/>
                <w:bCs/>
                <w:sz w:val="24"/>
                <w:szCs w:val="24"/>
                <w:lang w:val="bg-BG"/>
              </w:rPr>
              <w:t xml:space="preserve"> </w:t>
            </w:r>
            <w:r w:rsidRPr="00383319">
              <w:rPr>
                <w:rFonts w:ascii="Times New Roman" w:eastAsia="Times New Roman" w:hAnsi="Times New Roman" w:cs="Times New Roman"/>
                <w:b/>
                <w:bCs/>
                <w:sz w:val="24"/>
                <w:szCs w:val="24"/>
                <w:lang w:val="bg-BG"/>
              </w:rPr>
              <w:t xml:space="preserve"> </w:t>
            </w:r>
            <w:r w:rsidRPr="00383319">
              <w:rPr>
                <w:rFonts w:ascii="Times New Roman" w:eastAsia="Times New Roman" w:hAnsi="Times New Roman" w:cs="Times New Roman"/>
                <w:b/>
                <w:bCs/>
                <w:sz w:val="24"/>
                <w:szCs w:val="24"/>
                <w:lang w:val="bg-BG"/>
              </w:rPr>
              <w:t xml:space="preserve"> </w:t>
            </w:r>
            <w:r w:rsidRPr="00383319">
              <w:rPr>
                <w:rFonts w:ascii="Times New Roman" w:eastAsia="Times New Roman" w:hAnsi="Times New Roman" w:cs="Times New Roman"/>
                <w:b/>
                <w:bCs/>
                <w:sz w:val="24"/>
                <w:szCs w:val="24"/>
                <w:lang w:val="bg-BG"/>
              </w:rPr>
              <w:t xml:space="preserve"> </w:t>
            </w:r>
            <w:r w:rsidRPr="00383319">
              <w:rPr>
                <w:rFonts w:ascii="Times New Roman" w:eastAsia="Times New Roman" w:hAnsi="Times New Roman" w:cs="Times New Roman"/>
                <w:b/>
                <w:bCs/>
                <w:sz w:val="24"/>
                <w:szCs w:val="24"/>
                <w:lang w:val="bg-BG"/>
              </w:rPr>
              <w:t></w:t>
            </w:r>
          </w:p>
        </w:tc>
        <w:tc>
          <w:tcPr>
            <w:tcW w:w="3704" w:type="dxa"/>
            <w:tcBorders>
              <w:left w:val="single" w:sz="4" w:space="0" w:color="000000"/>
              <w:bottom w:val="single" w:sz="4" w:space="0" w:color="000000"/>
              <w:right w:val="single" w:sz="4" w:space="0" w:color="000000"/>
            </w:tcBorders>
          </w:tcPr>
          <w:p w14:paraId="68E2BBFD" w14:textId="77777777" w:rsidR="00383319" w:rsidRPr="00D6454E"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sz w:val="24"/>
                <w:szCs w:val="24"/>
                <w:lang w:val="bg-BG"/>
              </w:rPr>
            </w:pPr>
            <w:r w:rsidRPr="00D6454E">
              <w:rPr>
                <w:rFonts w:ascii="Times New Roman" w:eastAsia="Times New Roman" w:hAnsi="Times New Roman" w:cs="Times New Roman"/>
                <w:sz w:val="24"/>
                <w:szCs w:val="24"/>
                <w:lang w:val="bg-BG"/>
              </w:rPr>
              <w:t>Място на изпълнение на услугата:</w:t>
            </w:r>
          </w:p>
          <w:p w14:paraId="5D52D836" w14:textId="6845ACCA" w:rsidR="00383319" w:rsidRPr="00D6454E" w:rsidRDefault="00383319" w:rsidP="00D6454E">
            <w:pPr>
              <w:tabs>
                <w:tab w:val="left" w:pos="709"/>
              </w:tabs>
              <w:autoSpaceDE w:val="0"/>
              <w:spacing w:after="0" w:line="240" w:lineRule="auto"/>
              <w:ind w:left="204" w:right="340"/>
              <w:jc w:val="both"/>
              <w:rPr>
                <w:rFonts w:ascii="Times New Roman" w:eastAsia="Times New Roman" w:hAnsi="Times New Roman" w:cs="Times New Roman"/>
                <w:sz w:val="24"/>
                <w:szCs w:val="24"/>
                <w:lang w:val="bg-BG"/>
              </w:rPr>
            </w:pPr>
            <w:r w:rsidRPr="00D6454E">
              <w:rPr>
                <w:rFonts w:ascii="Times New Roman" w:eastAsia="Times New Roman" w:hAnsi="Times New Roman" w:cs="Times New Roman"/>
                <w:sz w:val="24"/>
                <w:szCs w:val="24"/>
                <w:lang w:val="bg-BG"/>
              </w:rPr>
              <w:t xml:space="preserve">гр. София; офиса на изпълнителя и при необходимост - проектните територии Будапеща, Зомбор, Русе </w:t>
            </w:r>
          </w:p>
          <w:p w14:paraId="4E3D80C2" w14:textId="77777777" w:rsidR="00383319" w:rsidRPr="00383319" w:rsidRDefault="00383319" w:rsidP="00D6454E">
            <w:pPr>
              <w:tabs>
                <w:tab w:val="left" w:pos="709"/>
              </w:tabs>
              <w:autoSpaceDE w:val="0"/>
              <w:spacing w:after="0" w:line="240" w:lineRule="auto"/>
              <w:ind w:left="204" w:right="340"/>
              <w:jc w:val="both"/>
              <w:rPr>
                <w:rFonts w:ascii="Times New Roman" w:eastAsia="Times New Roman" w:hAnsi="Times New Roman" w:cs="Times New Roman"/>
                <w:b/>
                <w:bCs/>
                <w:sz w:val="24"/>
                <w:szCs w:val="24"/>
                <w:highlight w:val="yellow"/>
                <w:lang w:val="bg-BG"/>
              </w:rPr>
            </w:pPr>
            <w:r w:rsidRPr="00D6454E">
              <w:rPr>
                <w:rFonts w:ascii="Times New Roman" w:eastAsia="Times New Roman" w:hAnsi="Times New Roman" w:cs="Times New Roman"/>
                <w:b/>
                <w:bCs/>
                <w:sz w:val="24"/>
                <w:szCs w:val="24"/>
                <w:lang w:val="bg-BG"/>
              </w:rPr>
              <w:t>код NUTS: BG412</w:t>
            </w:r>
          </w:p>
        </w:tc>
      </w:tr>
      <w:tr w:rsidR="00383319" w:rsidRPr="00383319" w14:paraId="417FD4B5" w14:textId="77777777" w:rsidTr="00D6454E">
        <w:trPr>
          <w:jc w:val="center"/>
        </w:trPr>
        <w:tc>
          <w:tcPr>
            <w:tcW w:w="9752" w:type="dxa"/>
            <w:gridSpan w:val="3"/>
            <w:tcBorders>
              <w:left w:val="single" w:sz="4" w:space="0" w:color="000000"/>
              <w:bottom w:val="single" w:sz="4" w:space="0" w:color="auto"/>
              <w:right w:val="single" w:sz="4" w:space="0" w:color="000000"/>
            </w:tcBorders>
          </w:tcPr>
          <w:p w14:paraId="09BD5EBD" w14:textId="77777777" w:rsidR="00383319" w:rsidRPr="00383319" w:rsidRDefault="00383319" w:rsidP="00D6454E">
            <w:pPr>
              <w:tabs>
                <w:tab w:val="left" w:pos="709"/>
              </w:tabs>
              <w:autoSpaceDE w:val="0"/>
              <w:snapToGrid w:val="0"/>
              <w:spacing w:after="0" w:line="240" w:lineRule="auto"/>
              <w:ind w:left="204" w:right="340"/>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ІІ.1.2) Описание на предмета на процедурата: </w:t>
            </w:r>
          </w:p>
          <w:p w14:paraId="40E821F2"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„Услуги по управление на проект „RESTORIVER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с две обособени позиции, както следва:</w:t>
            </w:r>
          </w:p>
          <w:p w14:paraId="246B1DFA"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 xml:space="preserve"> – обособена позиция №  1 – „Финансово и техническо управление на проекта“;</w:t>
            </w:r>
          </w:p>
          <w:p w14:paraId="3C69CA3A"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b/>
                <w:bCs/>
                <w:i/>
                <w:iCs/>
                <w:sz w:val="24"/>
                <w:szCs w:val="24"/>
              </w:rPr>
            </w:pPr>
            <w:r w:rsidRPr="00383319">
              <w:rPr>
                <w:rFonts w:ascii="Times New Roman" w:eastAsia="Times New Roman" w:hAnsi="Times New Roman" w:cs="Times New Roman"/>
                <w:bCs/>
                <w:iCs/>
                <w:sz w:val="24"/>
                <w:szCs w:val="24"/>
                <w:lang w:val="bg-BG"/>
              </w:rPr>
              <w:t>– обособена позиция №  2 – „Независими услуги по осигуряване на качеството на проекта“.</w:t>
            </w:r>
          </w:p>
        </w:tc>
      </w:tr>
      <w:tr w:rsidR="00383319" w:rsidRPr="00383319" w14:paraId="4443555B" w14:textId="77777777" w:rsidTr="00D6454E">
        <w:trPr>
          <w:jc w:val="center"/>
        </w:trPr>
        <w:tc>
          <w:tcPr>
            <w:tcW w:w="9752" w:type="dxa"/>
            <w:gridSpan w:val="3"/>
            <w:tcBorders>
              <w:left w:val="single" w:sz="4" w:space="0" w:color="000000"/>
              <w:bottom w:val="single" w:sz="4" w:space="0" w:color="auto"/>
              <w:right w:val="single" w:sz="4" w:space="0" w:color="000000"/>
            </w:tcBorders>
          </w:tcPr>
          <w:p w14:paraId="60100216" w14:textId="77777777" w:rsidR="00383319" w:rsidRPr="00383319" w:rsidRDefault="00383319" w:rsidP="00D6454E">
            <w:pPr>
              <w:tabs>
                <w:tab w:val="left" w:pos="709"/>
              </w:tabs>
              <w:autoSpaceDE w:val="0"/>
              <w:snapToGrid w:val="0"/>
              <w:spacing w:after="0" w:line="240" w:lineRule="auto"/>
              <w:ind w:left="204" w:right="340"/>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ІІ.1.3) Общ терминологичен речник (CPV): </w:t>
            </w:r>
          </w:p>
          <w:p w14:paraId="612CFA21" w14:textId="77777777" w:rsidR="00383319" w:rsidRPr="00383319" w:rsidRDefault="00383319" w:rsidP="00D6454E">
            <w:pPr>
              <w:tabs>
                <w:tab w:val="left" w:pos="709"/>
              </w:tabs>
              <w:autoSpaceDE w:val="0"/>
              <w:snapToGrid w:val="0"/>
              <w:spacing w:after="0" w:line="240" w:lineRule="auto"/>
              <w:ind w:left="204" w:right="340"/>
              <w:rPr>
                <w:rFonts w:ascii="Times New Roman" w:eastAsia="Times New Roman" w:hAnsi="Times New Roman" w:cs="Times New Roman"/>
                <w:bCs/>
                <w:i/>
                <w:sz w:val="24"/>
                <w:szCs w:val="24"/>
                <w:lang w:val="bg-BG"/>
              </w:rPr>
            </w:pPr>
            <w:r w:rsidRPr="00383319">
              <w:rPr>
                <w:rFonts w:ascii="Times New Roman" w:eastAsia="Times New Roman" w:hAnsi="Times New Roman" w:cs="Times New Roman"/>
                <w:bCs/>
                <w:i/>
                <w:sz w:val="24"/>
                <w:szCs w:val="24"/>
                <w:lang w:val="bg-BG"/>
              </w:rPr>
              <w:t xml:space="preserve">(Посочва се кодът по </w:t>
            </w:r>
            <w:r w:rsidRPr="00383319">
              <w:rPr>
                <w:rFonts w:ascii="Times New Roman" w:eastAsia="Times New Roman" w:hAnsi="Times New Roman" w:cs="Times New Roman"/>
                <w:bCs/>
                <w:i/>
                <w:sz w:val="24"/>
                <w:szCs w:val="24"/>
              </w:rPr>
              <w:t>CPV</w:t>
            </w:r>
            <w:r w:rsidRPr="00383319">
              <w:rPr>
                <w:rFonts w:ascii="Times New Roman" w:eastAsia="Times New Roman" w:hAnsi="Times New Roman" w:cs="Times New Roman"/>
                <w:bCs/>
                <w:i/>
                <w:sz w:val="24"/>
                <w:szCs w:val="24"/>
                <w:lang w:val="bg-BG"/>
              </w:rPr>
              <w:t xml:space="preserve"> на предмета на процедурата, включително за всички обособени позиции, когато е приложимо)</w:t>
            </w:r>
          </w:p>
          <w:p w14:paraId="1EC6BBBD" w14:textId="77777777" w:rsidR="00383319" w:rsidRPr="00383319" w:rsidRDefault="00383319" w:rsidP="00D6454E">
            <w:pPr>
              <w:tabs>
                <w:tab w:val="left" w:pos="709"/>
              </w:tabs>
              <w:spacing w:after="0" w:line="240" w:lineRule="auto"/>
              <w:ind w:left="204" w:right="340"/>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код по CPV 79420000 Услуги по управление</w:t>
            </w:r>
          </w:p>
          <w:p w14:paraId="491CF9EE" w14:textId="77777777" w:rsidR="00383319" w:rsidRPr="00383319" w:rsidRDefault="00383319" w:rsidP="00D6454E">
            <w:pPr>
              <w:tabs>
                <w:tab w:val="left" w:pos="709"/>
              </w:tabs>
              <w:autoSpaceDE w:val="0"/>
              <w:snapToGrid w:val="0"/>
              <w:spacing w:after="0" w:line="240" w:lineRule="auto"/>
              <w:ind w:left="204" w:right="340"/>
              <w:contextualSpacing/>
              <w:rPr>
                <w:rFonts w:ascii="Times New Roman" w:eastAsia="Times New Roman" w:hAnsi="Times New Roman" w:cs="Times New Roman"/>
                <w:b/>
                <w:bCs/>
                <w:sz w:val="24"/>
                <w:szCs w:val="24"/>
                <w:lang w:val="bg-BG"/>
              </w:rPr>
            </w:pPr>
          </w:p>
          <w:p w14:paraId="77AD091B" w14:textId="77777777" w:rsidR="00383319" w:rsidRPr="00383319" w:rsidRDefault="00383319" w:rsidP="00D6454E">
            <w:pPr>
              <w:tabs>
                <w:tab w:val="left" w:pos="709"/>
              </w:tabs>
              <w:autoSpaceDE w:val="0"/>
              <w:snapToGrid w:val="0"/>
              <w:spacing w:after="0" w:line="240" w:lineRule="auto"/>
              <w:ind w:left="204" w:right="340"/>
              <w:contextualSpacing/>
              <w:rPr>
                <w:rFonts w:ascii="Times New Roman" w:eastAsia="Times New Roman" w:hAnsi="Times New Roman" w:cs="Times New Roman"/>
                <w:b/>
                <w:bCs/>
                <w:sz w:val="24"/>
                <w:szCs w:val="24"/>
                <w:lang w:val="bg-BG"/>
              </w:rPr>
            </w:pPr>
          </w:p>
        </w:tc>
      </w:tr>
      <w:tr w:rsidR="00383319" w:rsidRPr="00383319" w14:paraId="600CE7C0" w14:textId="77777777" w:rsidTr="00D6454E">
        <w:trPr>
          <w:jc w:val="center"/>
        </w:trPr>
        <w:tc>
          <w:tcPr>
            <w:tcW w:w="9752" w:type="dxa"/>
            <w:gridSpan w:val="3"/>
            <w:tcBorders>
              <w:top w:val="single" w:sz="4" w:space="0" w:color="auto"/>
              <w:left w:val="single" w:sz="4" w:space="0" w:color="auto"/>
              <w:bottom w:val="single" w:sz="4" w:space="0" w:color="auto"/>
              <w:right w:val="single" w:sz="4" w:space="0" w:color="auto"/>
            </w:tcBorders>
          </w:tcPr>
          <w:p w14:paraId="662E6A55"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b/>
                <w:sz w:val="24"/>
                <w:szCs w:val="24"/>
                <w:lang w:val="bg-BG"/>
              </w:rPr>
            </w:pPr>
            <w:r w:rsidRPr="00383319">
              <w:rPr>
                <w:rFonts w:ascii="Times New Roman" w:eastAsia="Times New Roman" w:hAnsi="Times New Roman" w:cs="Times New Roman"/>
                <w:b/>
                <w:sz w:val="24"/>
                <w:szCs w:val="24"/>
                <w:lang w:val="bg-BG"/>
              </w:rPr>
              <w:t>ІІ.1.4) Обособени позиции:   да</w:t>
            </w:r>
            <w:r w:rsidRPr="00383319">
              <w:rPr>
                <w:rFonts w:ascii="Times New Roman" w:eastAsia="Times New Roman" w:hAnsi="Times New Roman" w:cs="Times New Roman"/>
                <w:b/>
                <w:sz w:val="24"/>
                <w:szCs w:val="24"/>
              </w:rPr>
              <w:t xml:space="preserve"> </w:t>
            </w:r>
            <w:r w:rsidRPr="00383319">
              <w:rPr>
                <w:rFonts w:ascii="Times New Roman" w:eastAsia="Times New Roman" w:hAnsi="Times New Roman" w:cs="Times New Roman"/>
                <w:b/>
                <w:sz w:val="24"/>
                <w:szCs w:val="24"/>
                <w:lang w:val="bg-BG"/>
              </w:rPr>
              <w:sym w:font="Wingdings" w:char="F0FD"/>
            </w:r>
            <w:r w:rsidRPr="00383319">
              <w:rPr>
                <w:rFonts w:ascii="Times New Roman" w:eastAsia="Times New Roman" w:hAnsi="Times New Roman" w:cs="Times New Roman"/>
                <w:b/>
                <w:sz w:val="24"/>
                <w:szCs w:val="24"/>
                <w:lang w:val="bg-BG"/>
              </w:rPr>
              <w:t xml:space="preserve">   не </w:t>
            </w:r>
            <w:r w:rsidRPr="00383319">
              <w:rPr>
                <w:rFonts w:ascii="Times New Roman" w:eastAsia="Times New Roman" w:hAnsi="Times New Roman" w:cs="Times New Roman"/>
                <w:sz w:val="24"/>
                <w:szCs w:val="24"/>
                <w:lang w:val="bg-BG"/>
              </w:rPr>
              <w:t></w:t>
            </w:r>
          </w:p>
          <w:p w14:paraId="1DB23CC3"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i/>
                <w:sz w:val="24"/>
                <w:szCs w:val="24"/>
                <w:lang w:val="bg-BG"/>
              </w:rPr>
            </w:pPr>
          </w:p>
          <w:p w14:paraId="59D1BE4F"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i/>
                <w:sz w:val="24"/>
                <w:szCs w:val="24"/>
                <w:lang w:val="bg-BG"/>
              </w:rPr>
            </w:pPr>
            <w:r w:rsidRPr="00383319">
              <w:rPr>
                <w:rFonts w:ascii="Times New Roman" w:eastAsia="Times New Roman" w:hAnsi="Times New Roman" w:cs="Times New Roman"/>
                <w:b/>
                <w:sz w:val="24"/>
                <w:szCs w:val="24"/>
                <w:lang w:val="bg-BG"/>
              </w:rPr>
              <w:lastRenderedPageBreak/>
              <w:t xml:space="preserve">Ако да,  </w:t>
            </w:r>
            <w:r w:rsidRPr="00383319">
              <w:rPr>
                <w:rFonts w:ascii="Times New Roman" w:eastAsia="Times New Roman" w:hAnsi="Times New Roman" w:cs="Times New Roman"/>
                <w:sz w:val="24"/>
                <w:szCs w:val="24"/>
                <w:lang w:val="bg-BG"/>
              </w:rPr>
              <w:t>офертите трябва да бъдат подадени</w:t>
            </w:r>
            <w:r w:rsidRPr="00383319">
              <w:rPr>
                <w:rFonts w:ascii="Times New Roman" w:eastAsia="Times New Roman" w:hAnsi="Times New Roman" w:cs="Times New Roman"/>
                <w:b/>
                <w:sz w:val="24"/>
                <w:szCs w:val="24"/>
                <w:lang w:val="bg-BG"/>
              </w:rPr>
              <w:t xml:space="preserve">  </w:t>
            </w:r>
            <w:r w:rsidRPr="00383319">
              <w:rPr>
                <w:rFonts w:ascii="Times New Roman" w:eastAsia="Times New Roman" w:hAnsi="Times New Roman" w:cs="Times New Roman"/>
                <w:i/>
                <w:sz w:val="24"/>
                <w:szCs w:val="24"/>
                <w:lang w:val="bg-BG"/>
              </w:rPr>
              <w:t>(отбележете само едно):</w:t>
            </w:r>
          </w:p>
          <w:p w14:paraId="5E7EC2C0"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i/>
                <w:sz w:val="24"/>
                <w:szCs w:val="24"/>
                <w:lang w:val="bg-BG"/>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2"/>
              <w:gridCol w:w="2959"/>
              <w:gridCol w:w="3118"/>
            </w:tblGrid>
            <w:tr w:rsidR="00383319" w:rsidRPr="00383319" w14:paraId="5EA7B710" w14:textId="77777777" w:rsidTr="00760B0E">
              <w:tc>
                <w:tcPr>
                  <w:tcW w:w="3562" w:type="dxa"/>
                </w:tcPr>
                <w:p w14:paraId="400228BA"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само за една обособена позиция</w:t>
                  </w:r>
                </w:p>
                <w:p w14:paraId="2DE12D68"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sz w:val="24"/>
                      <w:szCs w:val="24"/>
                      <w:lang w:val="bg-BG"/>
                    </w:rPr>
                    <w:t></w:t>
                  </w:r>
                </w:p>
              </w:tc>
              <w:tc>
                <w:tcPr>
                  <w:tcW w:w="2959" w:type="dxa"/>
                </w:tcPr>
                <w:p w14:paraId="3297AD59" w14:textId="77777777" w:rsidR="00383319" w:rsidRPr="00383319" w:rsidRDefault="00383319" w:rsidP="00D6454E">
                  <w:pPr>
                    <w:tabs>
                      <w:tab w:val="left" w:pos="709"/>
                    </w:tabs>
                    <w:autoSpaceDE w:val="0"/>
                    <w:snapToGrid w:val="0"/>
                    <w:spacing w:after="0" w:line="240" w:lineRule="auto"/>
                    <w:ind w:left="204" w:right="340"/>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за една или повече обособени позиции</w:t>
                  </w:r>
                </w:p>
                <w:p w14:paraId="7FE1FC81"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b/>
                      <w:sz w:val="24"/>
                      <w:szCs w:val="24"/>
                      <w:lang w:val="bg-BG"/>
                    </w:rPr>
                    <w:sym w:font="Wingdings" w:char="F0FD"/>
                  </w:r>
                </w:p>
              </w:tc>
              <w:tc>
                <w:tcPr>
                  <w:tcW w:w="3118" w:type="dxa"/>
                </w:tcPr>
                <w:p w14:paraId="1BA0E484" w14:textId="77777777" w:rsidR="00383319" w:rsidRPr="00383319" w:rsidRDefault="00383319" w:rsidP="00D6454E">
                  <w:pPr>
                    <w:tabs>
                      <w:tab w:val="left" w:pos="709"/>
                    </w:tabs>
                    <w:autoSpaceDE w:val="0"/>
                    <w:snapToGrid w:val="0"/>
                    <w:spacing w:after="0" w:line="240" w:lineRule="auto"/>
                    <w:ind w:left="204" w:right="340"/>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за всички обособени позиции</w:t>
                  </w:r>
                </w:p>
                <w:p w14:paraId="066B54FA"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sz w:val="24"/>
                      <w:szCs w:val="24"/>
                      <w:lang w:val="bg-BG"/>
                    </w:rPr>
                    <w:t></w:t>
                  </w:r>
                </w:p>
              </w:tc>
            </w:tr>
          </w:tbl>
          <w:p w14:paraId="6326BC26" w14:textId="77777777" w:rsidR="00383319" w:rsidRPr="00383319" w:rsidRDefault="00383319" w:rsidP="00D6454E">
            <w:pPr>
              <w:tabs>
                <w:tab w:val="left" w:pos="709"/>
              </w:tabs>
              <w:autoSpaceDE w:val="0"/>
              <w:snapToGrid w:val="0"/>
              <w:spacing w:after="0" w:line="240" w:lineRule="auto"/>
              <w:ind w:left="204" w:right="340"/>
              <w:jc w:val="both"/>
              <w:rPr>
                <w:rFonts w:ascii="Times New Roman" w:eastAsia="Times New Roman" w:hAnsi="Times New Roman" w:cs="Times New Roman"/>
                <w:bCs/>
                <w:sz w:val="24"/>
                <w:szCs w:val="24"/>
                <w:lang w:val="bg-BG"/>
              </w:rPr>
            </w:pPr>
          </w:p>
        </w:tc>
      </w:tr>
    </w:tbl>
    <w:p w14:paraId="6A23AACE"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sz w:val="24"/>
          <w:szCs w:val="24"/>
          <w:lang w:val="bg-BG"/>
        </w:rPr>
      </w:pPr>
    </w:p>
    <w:p w14:paraId="755C9CEA" w14:textId="77777777" w:rsidR="00383319" w:rsidRPr="00383319" w:rsidRDefault="00383319" w:rsidP="00D6454E">
      <w:pPr>
        <w:keepNext/>
        <w:tabs>
          <w:tab w:val="left" w:pos="0"/>
          <w:tab w:val="left" w:pos="709"/>
        </w:tabs>
        <w:spacing w:before="240" w:after="60" w:line="240" w:lineRule="auto"/>
        <w:ind w:left="426" w:right="340"/>
        <w:jc w:val="both"/>
        <w:outlineLvl w:val="2"/>
        <w:rPr>
          <w:rFonts w:ascii="Times New Roman" w:eastAsia="Times New Roman" w:hAnsi="Times New Roman" w:cs="Times New Roman"/>
          <w:b/>
          <w:bCs/>
          <w:sz w:val="24"/>
          <w:szCs w:val="24"/>
          <w:lang w:val="bg-BG" w:eastAsia="bg-BG"/>
        </w:rPr>
      </w:pPr>
      <w:r w:rsidRPr="00383319">
        <w:rPr>
          <w:rFonts w:ascii="Times New Roman" w:eastAsia="Times New Roman" w:hAnsi="Times New Roman" w:cs="Times New Roman"/>
          <w:b/>
          <w:bCs/>
          <w:sz w:val="24"/>
          <w:szCs w:val="24"/>
          <w:lang w:val="bg-BG" w:eastAsia="bg-BG"/>
        </w:rPr>
        <w:t>ІІ.2) Количество или обем на обекта на процедурата</w:t>
      </w:r>
    </w:p>
    <w:p w14:paraId="7CFCB56A" w14:textId="77777777" w:rsidR="00383319" w:rsidRPr="00383319" w:rsidRDefault="00383319" w:rsidP="00D6454E">
      <w:pPr>
        <w:tabs>
          <w:tab w:val="left" w:pos="709"/>
        </w:tabs>
        <w:spacing w:after="0" w:line="240" w:lineRule="auto"/>
        <w:ind w:left="426" w:right="340"/>
        <w:jc w:val="both"/>
        <w:rPr>
          <w:rFonts w:ascii="Times New Roman" w:eastAsia="Times New Roman" w:hAnsi="Times New Roman" w:cs="Times New Roman"/>
          <w:sz w:val="24"/>
          <w:szCs w:val="24"/>
          <w:lang w:val="bg-BG"/>
        </w:rPr>
      </w:pPr>
    </w:p>
    <w:tbl>
      <w:tblPr>
        <w:tblW w:w="0" w:type="auto"/>
        <w:jc w:val="center"/>
        <w:tblLayout w:type="fixed"/>
        <w:tblLook w:val="0000" w:firstRow="0" w:lastRow="0" w:firstColumn="0" w:lastColumn="0" w:noHBand="0" w:noVBand="0"/>
      </w:tblPr>
      <w:tblGrid>
        <w:gridCol w:w="9752"/>
      </w:tblGrid>
      <w:tr w:rsidR="00383319" w:rsidRPr="00383319" w14:paraId="5BF8C818" w14:textId="77777777" w:rsidTr="00D6454E">
        <w:trPr>
          <w:trHeight w:val="840"/>
          <w:jc w:val="center"/>
        </w:trPr>
        <w:tc>
          <w:tcPr>
            <w:tcW w:w="9752" w:type="dxa"/>
            <w:tcBorders>
              <w:top w:val="single" w:sz="4" w:space="0" w:color="000000"/>
              <w:left w:val="single" w:sz="4" w:space="0" w:color="000000"/>
              <w:bottom w:val="single" w:sz="4" w:space="0" w:color="000000"/>
              <w:right w:val="single" w:sz="4" w:space="0" w:color="000000"/>
            </w:tcBorders>
          </w:tcPr>
          <w:p w14:paraId="05C89FD1"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Cs/>
                <w:i/>
                <w:sz w:val="24"/>
                <w:szCs w:val="24"/>
                <w:lang w:val="bg-BG"/>
              </w:rPr>
            </w:pPr>
            <w:r w:rsidRPr="00383319">
              <w:rPr>
                <w:rFonts w:ascii="Times New Roman" w:eastAsia="Times New Roman" w:hAnsi="Times New Roman" w:cs="Times New Roman"/>
                <w:b/>
                <w:bCs/>
                <w:sz w:val="24"/>
                <w:szCs w:val="24"/>
                <w:lang w:val="bg-BG"/>
              </w:rPr>
              <w:t xml:space="preserve">Общо количество или обем </w:t>
            </w:r>
            <w:r w:rsidRPr="00383319">
              <w:rPr>
                <w:rFonts w:ascii="Times New Roman" w:eastAsia="Times New Roman" w:hAnsi="Times New Roman" w:cs="Times New Roman"/>
                <w:bCs/>
                <w:i/>
                <w:sz w:val="24"/>
                <w:szCs w:val="24"/>
                <w:lang w:val="bg-BG"/>
              </w:rPr>
              <w:t>(включително всички обособени позиции, когато е приложимо)</w:t>
            </w:r>
          </w:p>
          <w:p w14:paraId="7CA7D596"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„Услуги по управление на проект „RESTORIVER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с две обособени позиции, както следва:</w:t>
            </w:r>
          </w:p>
          <w:p w14:paraId="4DB9D254"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Обособена позиция №  1 – „Финансово и техническо управление на проекта“, включва изпълнението на следните дейности:</w:t>
            </w:r>
          </w:p>
          <w:p w14:paraId="6CC6BDA6"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1.</w:t>
            </w:r>
            <w:r w:rsidRPr="00383319">
              <w:rPr>
                <w:rFonts w:ascii="Times New Roman" w:eastAsia="Times New Roman" w:hAnsi="Times New Roman" w:cs="Times New Roman"/>
                <w:bCs/>
                <w:iCs/>
                <w:sz w:val="24"/>
                <w:szCs w:val="24"/>
                <w:lang w:val="bg-BG"/>
              </w:rPr>
              <w:tab/>
              <w:t>Подкрепа в началната фаза на проекта</w:t>
            </w:r>
          </w:p>
          <w:p w14:paraId="1F66810B"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Услугите, които трябва да се предоставят, са:</w:t>
            </w:r>
          </w:p>
          <w:p w14:paraId="3A7140AA"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Изготвяне на подробен бюджет на проекта и план за изпълнение в съответствие с одобреното проектопредложение;</w:t>
            </w:r>
          </w:p>
          <w:p w14:paraId="25CA800B"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Изготвяне на Ръководство за управление за партньорите и на Процедурен правилник за управителните органи по проекта;</w:t>
            </w:r>
          </w:p>
          <w:p w14:paraId="3F376F8A"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Създаване на вътрешна система за комуникация и документация на проекта с помощта на онлайн инструменти, които са достъпни за партньорите;</w:t>
            </w:r>
          </w:p>
          <w:p w14:paraId="4CBEE0AA"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Подпомагане на водещия партньор при създаването на вътрешни структури за управление на проекта и вътрешна система за документиране на проекта;</w:t>
            </w:r>
          </w:p>
          <w:p w14:paraId="51BDCA4D"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Провеждане на полудневно онлайн обучение за управление на проекта за екипа на водещия партньор;</w:t>
            </w:r>
          </w:p>
          <w:p w14:paraId="7906BF11" w14:textId="0C74099E"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2843D7">
              <w:rPr>
                <w:rFonts w:ascii="Times New Roman" w:eastAsia="Times New Roman" w:hAnsi="Times New Roman" w:cs="Times New Roman"/>
                <w:bCs/>
                <w:iCs/>
                <w:sz w:val="24"/>
                <w:szCs w:val="24"/>
                <w:lang w:val="bg-BG"/>
              </w:rPr>
              <w:t>-</w:t>
            </w:r>
            <w:r w:rsidRPr="002843D7">
              <w:rPr>
                <w:rFonts w:ascii="Times New Roman" w:eastAsia="Times New Roman" w:hAnsi="Times New Roman" w:cs="Times New Roman"/>
                <w:bCs/>
                <w:iCs/>
                <w:sz w:val="24"/>
                <w:szCs w:val="24"/>
                <w:lang w:val="bg-BG"/>
              </w:rPr>
              <w:tab/>
              <w:t>Подкрепа при организирането на среща на проекта, на която се канят всички партньори и участници по проекта, като се представят основите на проекта и хода на 2,5-годишното му изпълнение;</w:t>
            </w:r>
          </w:p>
          <w:p w14:paraId="12DCD9E0"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2.</w:t>
            </w:r>
            <w:r w:rsidRPr="00383319">
              <w:rPr>
                <w:rFonts w:ascii="Times New Roman" w:eastAsia="Times New Roman" w:hAnsi="Times New Roman" w:cs="Times New Roman"/>
                <w:bCs/>
                <w:iCs/>
                <w:sz w:val="24"/>
                <w:szCs w:val="24"/>
                <w:lang w:val="bg-BG"/>
              </w:rPr>
              <w:tab/>
              <w:t>Услуги за текущото техническо управление на проекта</w:t>
            </w:r>
          </w:p>
          <w:p w14:paraId="3D9F3307"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Услугите, които трябва да се предоставят са:</w:t>
            </w:r>
          </w:p>
          <w:p w14:paraId="1F75666A"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Работа с вътрешната система за комуникация и документация на проекта;</w:t>
            </w:r>
          </w:p>
          <w:p w14:paraId="75E6C64C" w14:textId="5AA1BA67" w:rsidR="00383319" w:rsidRPr="002843D7"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Управление на ежедневната комуникация с партньорството (електронна поща, онлайн конференции, двустранни и тристранни консултации и др.)</w:t>
            </w:r>
            <w:r w:rsidR="002843D7">
              <w:rPr>
                <w:rFonts w:ascii="Times New Roman" w:eastAsia="Times New Roman" w:hAnsi="Times New Roman" w:cs="Times New Roman"/>
                <w:bCs/>
                <w:iCs/>
                <w:sz w:val="24"/>
                <w:szCs w:val="24"/>
              </w:rPr>
              <w:t>;</w:t>
            </w:r>
          </w:p>
          <w:p w14:paraId="315250FD"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Подкрепа при поддържане на връзка с органите на програмата;</w:t>
            </w:r>
          </w:p>
          <w:p w14:paraId="3DF9CBA8"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Управление на промените в проекта (подготовка и изпълнение на официални процедури за искане на промени, включително преразглеждане на съответните документи по проекта);</w:t>
            </w:r>
          </w:p>
          <w:p w14:paraId="3306CC64" w14:textId="253478F6" w:rsidR="00383319" w:rsidRPr="002843D7"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3.</w:t>
            </w:r>
            <w:r w:rsidRPr="00383319">
              <w:rPr>
                <w:rFonts w:ascii="Times New Roman" w:eastAsia="Times New Roman" w:hAnsi="Times New Roman" w:cs="Times New Roman"/>
                <w:bCs/>
                <w:iCs/>
                <w:sz w:val="24"/>
                <w:szCs w:val="24"/>
                <w:lang w:val="bg-BG"/>
              </w:rPr>
              <w:tab/>
              <w:t>Услуги за текущо финансово управление</w:t>
            </w:r>
            <w:r w:rsidR="002843D7">
              <w:rPr>
                <w:rFonts w:ascii="Times New Roman" w:eastAsia="Times New Roman" w:hAnsi="Times New Roman" w:cs="Times New Roman"/>
                <w:bCs/>
                <w:iCs/>
                <w:sz w:val="24"/>
                <w:szCs w:val="24"/>
              </w:rPr>
              <w:t xml:space="preserve"> </w:t>
            </w:r>
          </w:p>
          <w:p w14:paraId="26DBE26F"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Услугите, които трябва да се предоставят са:</w:t>
            </w:r>
          </w:p>
          <w:p w14:paraId="5C8A8873"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Цялостно финансово управление;</w:t>
            </w:r>
          </w:p>
          <w:p w14:paraId="49A19299"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Постоянна помощ и съвети за партньорите по проекта (ПП), относно изпълнението на техния бюджет в съответствие с регламентите на програмата и правилата за гъвкавост;</w:t>
            </w:r>
          </w:p>
          <w:p w14:paraId="5681C3DC"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Мониторинг на бюджета и прогнозата за разходите;</w:t>
            </w:r>
          </w:p>
          <w:p w14:paraId="4B43A550"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 xml:space="preserve">Създаване на система за вътрешен финансов контрол за всички ПП - разработване на </w:t>
            </w:r>
            <w:r w:rsidRPr="00383319">
              <w:rPr>
                <w:rFonts w:ascii="Times New Roman" w:eastAsia="Times New Roman" w:hAnsi="Times New Roman" w:cs="Times New Roman"/>
                <w:bCs/>
                <w:iCs/>
                <w:sz w:val="24"/>
                <w:szCs w:val="24"/>
                <w:lang w:val="bg-BG"/>
              </w:rPr>
              <w:lastRenderedPageBreak/>
              <w:t>вътрешна система, осигуряваща по-актуални данни от 6-месечните отчетни периоди, което ще даде възможност на водещия партньор да контролира и да взема решения, ако е необходима намеса(и). Тази дейност да бъде подкрепена от външния финансов мениджър чрез разработване на образец за вътрешен финансов мониторинг;</w:t>
            </w:r>
          </w:p>
          <w:p w14:paraId="7D29D875"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Събиране и проверка на вътрешните финансови отчети на ПП;</w:t>
            </w:r>
          </w:p>
          <w:p w14:paraId="4961FE02"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Връзка с ПП, относно финансовото им състояние чрез проследяване на отчетените и валидирани разходи на ПП. Проследява необходимостта и приемливостта на промени в бюджета. Тази дейност да бъде подкрепена от външния финансов мениджър чрез разработване на таблица за финансово проследяване, която да се актуализира редовно след всеки отчетен период;</w:t>
            </w:r>
          </w:p>
          <w:p w14:paraId="4F5A7628"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Мониторинг на промените в бюджета на проекта – проследяване на промените в бюджета на ниво партньор, както и кумулативните цифри на ниво проект, прилагане на правилата за гъвкавост на програмата, изготвяне, подаване и разясняване на Искане за промяна в бюджета. Тази дейност да бъде подкрепена от външния финансов мениджър чрез разработване на вътрешен образец за преразпределение на бюджета;</w:t>
            </w:r>
          </w:p>
          <w:p w14:paraId="5C73B7CB"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Осигуряване на непрекъснато бюро за помощ (help desk) от външния финансов мениджър.</w:t>
            </w:r>
          </w:p>
          <w:p w14:paraId="5E5EC9BA"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4.</w:t>
            </w:r>
            <w:r w:rsidRPr="00383319">
              <w:rPr>
                <w:rFonts w:ascii="Times New Roman" w:eastAsia="Times New Roman" w:hAnsi="Times New Roman" w:cs="Times New Roman"/>
                <w:bCs/>
                <w:iCs/>
                <w:sz w:val="24"/>
                <w:szCs w:val="24"/>
                <w:lang w:val="bg-BG"/>
              </w:rPr>
              <w:tab/>
              <w:t>Услуги за отчитане на ниво проект</w:t>
            </w:r>
          </w:p>
          <w:p w14:paraId="756DBC62"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Услугите, които трябва да се предоставят са:</w:t>
            </w:r>
          </w:p>
          <w:p w14:paraId="0DE0F750"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Изпълнение на задачите за отчитане, определени от двустепенната система за отчитане на Програмата за Дунавски регион:</w:t>
            </w:r>
          </w:p>
          <w:p w14:paraId="0A7C6759"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Подкрепа за съставянето на административната база за докладване в онлайн системата за мониторинг на Програма "Дунавски регион" (JEMS): събиране на необходимата информация от ПП и качването й в онлайн платформата;</w:t>
            </w:r>
          </w:p>
          <w:p w14:paraId="6195660C"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Контрол на качеството на отчетите на партньорско ниво за всеки отчетен период;</w:t>
            </w:r>
          </w:p>
          <w:p w14:paraId="3B78B459"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Изготвяне на 5 доклада за напредъка на ниво проект;</w:t>
            </w:r>
          </w:p>
          <w:p w14:paraId="20AB99F1"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Разработване на образец за вътрешен отчет за напредъка, ако е необходимо;</w:t>
            </w:r>
          </w:p>
          <w:p w14:paraId="723D83B2"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Насоки към партньорите относно задачите за докладване към националните контрольори (НК) и събиране на вътрешни доклади за напредъка на ПП, проверка, даване на обратна връзка, искане за корекция, ако е необходимо;</w:t>
            </w:r>
          </w:p>
          <w:p w14:paraId="3CF23901"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Проверка на сканираната версия на документите на ПП за НК, искане на корекции, ако е необходимо;</w:t>
            </w:r>
          </w:p>
          <w:p w14:paraId="3381A039"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Съставяне на доклад за напредъка на ниво проект и подаване чрез онлайн системата на програмата (JEMS);</w:t>
            </w:r>
          </w:p>
          <w:p w14:paraId="0EEC81C7"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Изготвяне на заявление за възстановяване на разходи въз основа на проверените разходи, отчетени във финансовата част на отчета по напредъка на проекта;</w:t>
            </w:r>
          </w:p>
          <w:p w14:paraId="223B6552"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Подготовка на 5 доклада за напредъка на ниво проект: събиране на необходимата информация от партньорите, изготвяне и управление на разясненията в онлайн системата;</w:t>
            </w:r>
          </w:p>
          <w:p w14:paraId="5BAAACD7"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Подкрепа при разпределението и трансфера на средствата от Европейския фонд за регионално развитие;</w:t>
            </w:r>
          </w:p>
          <w:p w14:paraId="3DB59AD5" w14:textId="77777777" w:rsidR="00383319" w:rsidRPr="00383319" w:rsidRDefault="00383319" w:rsidP="00D6454E">
            <w:pPr>
              <w:tabs>
                <w:tab w:val="left" w:pos="369"/>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w:t>
            </w:r>
            <w:r w:rsidRPr="00383319">
              <w:rPr>
                <w:rFonts w:ascii="Times New Roman" w:eastAsia="Times New Roman" w:hAnsi="Times New Roman" w:cs="Times New Roman"/>
                <w:bCs/>
                <w:iCs/>
                <w:sz w:val="24"/>
                <w:szCs w:val="24"/>
                <w:lang w:val="bg-BG"/>
              </w:rPr>
              <w:tab/>
              <w:t>Изготвяне на 1 окончателен доклад (въз основа на информация от водещия партньор и партньорите по проекта) – събиране на необходимата информация от партньорите, изготвяне на доклада и управление на разясненията в онлайн системата.</w:t>
            </w:r>
          </w:p>
          <w:p w14:paraId="7B01B857"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Cs/>
                <w:iCs/>
                <w:sz w:val="24"/>
                <w:szCs w:val="24"/>
                <w:highlight w:val="yellow"/>
                <w:lang w:val="bg-BG"/>
              </w:rPr>
            </w:pPr>
          </w:p>
          <w:p w14:paraId="0C09CF14"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Cs/>
                <w:iCs/>
                <w:sz w:val="24"/>
                <w:szCs w:val="24"/>
                <w:lang w:val="bg-BG"/>
              </w:rPr>
            </w:pPr>
            <w:r w:rsidRPr="00383319">
              <w:rPr>
                <w:rFonts w:ascii="Times New Roman" w:eastAsia="Times New Roman" w:hAnsi="Times New Roman" w:cs="Times New Roman"/>
                <w:bCs/>
                <w:iCs/>
                <w:sz w:val="24"/>
                <w:szCs w:val="24"/>
                <w:lang w:val="bg-BG"/>
              </w:rPr>
              <w:t>– обособена позиция №  2 – „Независими услуги по осигуряване на качеството на проекта“, включва изпълнението на следните дейности:</w:t>
            </w:r>
          </w:p>
          <w:p w14:paraId="6F59F446" w14:textId="77777777" w:rsidR="00383319" w:rsidRPr="00383319" w:rsidRDefault="00383319" w:rsidP="00D6454E">
            <w:pPr>
              <w:tabs>
                <w:tab w:val="left" w:pos="284"/>
                <w:tab w:val="left" w:pos="709"/>
              </w:tabs>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xml:space="preserve">Отговорност на независимия ръководител по осигуряване на качеството, назначен по проекта, е да гарантира, че резултатите предоставени от партньорството по проекта отговарят на достатъчно високо качество. В съответствие с това се очаква </w:t>
            </w:r>
            <w:r w:rsidRPr="00383319">
              <w:rPr>
                <w:rFonts w:ascii="Times New Roman" w:eastAsia="Times New Roman" w:hAnsi="Times New Roman" w:cs="Times New Roman"/>
                <w:sz w:val="24"/>
                <w:szCs w:val="24"/>
                <w:lang w:val="bg-BG"/>
              </w:rPr>
              <w:lastRenderedPageBreak/>
              <w:t>ръководителят по осигуряване на качеството, в тясно сътрудничество с водещия партньор по проекта, да изготви доклад за качеството на резултатите, който да бъде представен заедно с докладите за напредъка на проекта за съответния период, във връзка с всеки резултат от проекта, финализиран през този конкретен отчетен период.</w:t>
            </w:r>
          </w:p>
          <w:p w14:paraId="68FD229B" w14:textId="77777777" w:rsidR="00383319" w:rsidRPr="00383319" w:rsidRDefault="00383319" w:rsidP="00D6454E">
            <w:pPr>
              <w:tabs>
                <w:tab w:val="left" w:pos="284"/>
                <w:tab w:val="left" w:pos="709"/>
              </w:tabs>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Първо, водещият партньор по проекта трябва да представи всеки финализиран резултат от проекта под формата на "информационни листове за резултатите" (</w:t>
            </w:r>
            <w:r w:rsidRPr="00383319">
              <w:rPr>
                <w:rFonts w:ascii="Times New Roman" w:eastAsia="Times New Roman" w:hAnsi="Times New Roman" w:cs="Times New Roman"/>
                <w:sz w:val="24"/>
                <w:szCs w:val="24"/>
              </w:rPr>
              <w:t>Output factsheets)</w:t>
            </w:r>
            <w:r w:rsidRPr="00383319">
              <w:rPr>
                <w:rFonts w:ascii="Times New Roman" w:eastAsia="Times New Roman" w:hAnsi="Times New Roman" w:cs="Times New Roman"/>
                <w:sz w:val="24"/>
                <w:szCs w:val="24"/>
                <w:lang w:val="bg-BG"/>
              </w:rPr>
              <w:t xml:space="preserve">, за които програмата "Дунавски регион" предоставя съответния образец като приложение към ръководството за изпълнение. Очаква се това описание да не е техническо, да е лесно за разбиране и да е достатъчно, за да информира широката общественост за резултата. </w:t>
            </w:r>
          </w:p>
          <w:p w14:paraId="522573D7" w14:textId="77777777" w:rsidR="00383319" w:rsidRPr="00383319" w:rsidRDefault="00383319" w:rsidP="00D6454E">
            <w:pPr>
              <w:tabs>
                <w:tab w:val="left" w:pos="284"/>
                <w:tab w:val="left" w:pos="709"/>
              </w:tabs>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В информационния лист се описват следните аспекти:</w:t>
            </w:r>
          </w:p>
          <w:p w14:paraId="01D9EFA7" w14:textId="77777777" w:rsidR="00383319" w:rsidRPr="00383319" w:rsidRDefault="00383319" w:rsidP="00D6454E">
            <w:pPr>
              <w:numPr>
                <w:ilvl w:val="0"/>
                <w:numId w:val="7"/>
              </w:numPr>
              <w:tabs>
                <w:tab w:val="left" w:pos="284"/>
                <w:tab w:val="left" w:pos="709"/>
              </w:tabs>
              <w:spacing w:after="0" w:line="240" w:lineRule="auto"/>
              <w:ind w:left="62" w:right="340" w:firstLine="0"/>
              <w:contextualSpacing/>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Общо описание на резултата;</w:t>
            </w:r>
          </w:p>
          <w:p w14:paraId="20CB8667" w14:textId="77777777" w:rsidR="00383319" w:rsidRPr="00383319" w:rsidRDefault="00383319" w:rsidP="00D6454E">
            <w:pPr>
              <w:numPr>
                <w:ilvl w:val="0"/>
                <w:numId w:val="7"/>
              </w:numPr>
              <w:tabs>
                <w:tab w:val="left" w:pos="284"/>
                <w:tab w:val="left" w:pos="709"/>
              </w:tabs>
              <w:spacing w:after="0" w:line="240" w:lineRule="auto"/>
              <w:ind w:left="62" w:right="340" w:firstLine="0"/>
              <w:contextualSpacing/>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Как резултатът допринася за постигане на целите на Стратегия на ЕС за региона на река Дунав;</w:t>
            </w:r>
          </w:p>
          <w:p w14:paraId="3AEFE1C1" w14:textId="77777777" w:rsidR="00383319" w:rsidRPr="00383319" w:rsidRDefault="00383319" w:rsidP="00D6454E">
            <w:pPr>
              <w:numPr>
                <w:ilvl w:val="0"/>
                <w:numId w:val="7"/>
              </w:numPr>
              <w:tabs>
                <w:tab w:val="left" w:pos="284"/>
                <w:tab w:val="left" w:pos="709"/>
              </w:tabs>
              <w:spacing w:after="0" w:line="240" w:lineRule="auto"/>
              <w:ind w:left="62" w:right="340" w:firstLine="0"/>
              <w:contextualSpacing/>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Как (чрез кои дейности) и от кого (основните участници) е постигнат резултат</w:t>
            </w:r>
            <w:r w:rsidRPr="00383319">
              <w:rPr>
                <w:rFonts w:ascii="Times New Roman" w:eastAsia="Times New Roman" w:hAnsi="Times New Roman" w:cs="Times New Roman"/>
                <w:sz w:val="24"/>
                <w:szCs w:val="24"/>
              </w:rPr>
              <w:t>a</w:t>
            </w:r>
            <w:r w:rsidRPr="00383319">
              <w:rPr>
                <w:rFonts w:ascii="Times New Roman" w:eastAsia="Times New Roman" w:hAnsi="Times New Roman" w:cs="Times New Roman"/>
                <w:sz w:val="24"/>
                <w:szCs w:val="24"/>
                <w:lang w:val="bg-BG"/>
              </w:rPr>
              <w:t>;</w:t>
            </w:r>
          </w:p>
          <w:p w14:paraId="1FB48CC5" w14:textId="77777777" w:rsidR="00383319" w:rsidRPr="00383319" w:rsidRDefault="00383319" w:rsidP="00D6454E">
            <w:pPr>
              <w:numPr>
                <w:ilvl w:val="0"/>
                <w:numId w:val="7"/>
              </w:numPr>
              <w:tabs>
                <w:tab w:val="left" w:pos="284"/>
                <w:tab w:val="left" w:pos="709"/>
              </w:tabs>
              <w:spacing w:after="0" w:line="240" w:lineRule="auto"/>
              <w:ind w:left="62" w:right="340" w:firstLine="0"/>
              <w:contextualSpacing/>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Как може да се използва резултата и от кого (целева група), каква е ползата и въздействието за целевите групи и целевата област/Дунавски регион;</w:t>
            </w:r>
          </w:p>
          <w:p w14:paraId="6C892B5E" w14:textId="77777777" w:rsidR="00383319" w:rsidRPr="00383319" w:rsidRDefault="00383319" w:rsidP="00D6454E">
            <w:pPr>
              <w:numPr>
                <w:ilvl w:val="0"/>
                <w:numId w:val="7"/>
              </w:numPr>
              <w:tabs>
                <w:tab w:val="left" w:pos="284"/>
                <w:tab w:val="left" w:pos="709"/>
              </w:tabs>
              <w:spacing w:after="0" w:line="240" w:lineRule="auto"/>
              <w:ind w:left="62" w:right="340" w:firstLine="0"/>
              <w:contextualSpacing/>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Как може да се осигури устойчивост на резултатите и на кого и как ще бъдат предадени;</w:t>
            </w:r>
          </w:p>
          <w:p w14:paraId="6551B220" w14:textId="77777777" w:rsidR="00383319" w:rsidRPr="00383319" w:rsidRDefault="00383319" w:rsidP="00D6454E">
            <w:pPr>
              <w:numPr>
                <w:ilvl w:val="0"/>
                <w:numId w:val="7"/>
              </w:numPr>
              <w:tabs>
                <w:tab w:val="left" w:pos="284"/>
                <w:tab w:val="left" w:pos="709"/>
              </w:tabs>
              <w:spacing w:after="0" w:line="240" w:lineRule="auto"/>
              <w:ind w:left="62" w:right="340" w:firstLine="0"/>
              <w:contextualSpacing/>
              <w:jc w:val="both"/>
              <w:rPr>
                <w:rFonts w:ascii="Times New Roman" w:eastAsia="Times New Roman" w:hAnsi="Times New Roman" w:cs="Times New Roman"/>
                <w:sz w:val="24"/>
                <w:szCs w:val="24"/>
                <w:lang w:val="en-GB"/>
              </w:rPr>
            </w:pPr>
            <w:r w:rsidRPr="00383319">
              <w:rPr>
                <w:rFonts w:ascii="Times New Roman" w:eastAsia="Times New Roman" w:hAnsi="Times New Roman" w:cs="Times New Roman"/>
                <w:sz w:val="24"/>
                <w:szCs w:val="24"/>
                <w:lang w:val="bg-BG"/>
              </w:rPr>
              <w:t>Снимки, техническа документация, ако има такава;</w:t>
            </w:r>
          </w:p>
          <w:p w14:paraId="0A2B74EF" w14:textId="77777777" w:rsidR="00383319" w:rsidRPr="00383319" w:rsidRDefault="00383319" w:rsidP="00D6454E">
            <w:pPr>
              <w:tabs>
                <w:tab w:val="left" w:pos="284"/>
                <w:tab w:val="left" w:pos="709"/>
              </w:tabs>
              <w:spacing w:after="0" w:line="240" w:lineRule="auto"/>
              <w:ind w:left="62" w:right="340"/>
              <w:jc w:val="both"/>
              <w:rPr>
                <w:rFonts w:ascii="Times New Roman" w:eastAsia="Times New Roman" w:hAnsi="Times New Roman" w:cs="Times New Roman"/>
                <w:sz w:val="24"/>
                <w:szCs w:val="24"/>
                <w:lang w:val="en-GB"/>
              </w:rPr>
            </w:pPr>
            <w:r w:rsidRPr="00383319">
              <w:rPr>
                <w:rFonts w:ascii="Times New Roman" w:eastAsia="Times New Roman" w:hAnsi="Times New Roman" w:cs="Times New Roman"/>
                <w:sz w:val="24"/>
                <w:szCs w:val="24"/>
                <w:lang w:val="en-GB"/>
              </w:rPr>
              <w:t>Информационните листове за резултатите, предоставени от водещия партньор, са входни данни за Докладите за качеството на резултатите, които се предоставят от независимия мениджър по осигуряване на качеството.</w:t>
            </w:r>
          </w:p>
          <w:p w14:paraId="4031993D" w14:textId="77777777" w:rsidR="00383319" w:rsidRPr="00383319" w:rsidRDefault="00383319" w:rsidP="00D6454E">
            <w:pPr>
              <w:tabs>
                <w:tab w:val="left" w:pos="709"/>
              </w:tabs>
              <w:autoSpaceDE w:val="0"/>
              <w:spacing w:after="0" w:line="240" w:lineRule="auto"/>
              <w:ind w:left="62"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__________________________________________________________________</w:t>
            </w:r>
          </w:p>
          <w:p w14:paraId="49D09DA4" w14:textId="77777777" w:rsidR="00383319" w:rsidRPr="00D6454E" w:rsidRDefault="00383319" w:rsidP="00D6454E">
            <w:pPr>
              <w:tabs>
                <w:tab w:val="left" w:pos="709"/>
              </w:tabs>
              <w:autoSpaceDE w:val="0"/>
              <w:spacing w:after="0" w:line="240" w:lineRule="auto"/>
              <w:ind w:left="62" w:right="340"/>
              <w:jc w:val="both"/>
              <w:rPr>
                <w:rFonts w:ascii="Times New Roman" w:eastAsia="Times New Roman" w:hAnsi="Times New Roman" w:cs="Times New Roman"/>
                <w:i/>
                <w:iCs/>
                <w:sz w:val="24"/>
                <w:szCs w:val="24"/>
                <w:lang w:val="bg-BG"/>
              </w:rPr>
            </w:pPr>
            <w:r w:rsidRPr="00D6454E">
              <w:rPr>
                <w:rFonts w:ascii="Times New Roman" w:eastAsia="Times New Roman" w:hAnsi="Times New Roman" w:cs="Times New Roman"/>
                <w:sz w:val="24"/>
                <w:szCs w:val="24"/>
                <w:lang w:val="bg-BG"/>
              </w:rPr>
              <w:t xml:space="preserve">Прогнозна стойност в лева, без ДДС – общата прогнозна стойност е 201 450,49 лв. без ДДС </w:t>
            </w:r>
            <w:r w:rsidRPr="00D6454E">
              <w:rPr>
                <w:rFonts w:ascii="Times New Roman" w:eastAsia="Times New Roman" w:hAnsi="Times New Roman" w:cs="Times New Roman"/>
                <w:sz w:val="24"/>
                <w:szCs w:val="24"/>
              </w:rPr>
              <w:t>(</w:t>
            </w:r>
            <w:r w:rsidRPr="00D6454E">
              <w:rPr>
                <w:rFonts w:ascii="Times New Roman" w:eastAsia="Times New Roman" w:hAnsi="Times New Roman" w:cs="Times New Roman"/>
                <w:sz w:val="24"/>
                <w:szCs w:val="24"/>
                <w:lang w:val="bg-BG"/>
              </w:rPr>
              <w:t>двеста и една хиляди четиристотин и петдесет лева и 49 ст.</w:t>
            </w:r>
            <w:r w:rsidRPr="00D6454E">
              <w:rPr>
                <w:rFonts w:ascii="Times New Roman" w:eastAsia="Times New Roman" w:hAnsi="Times New Roman" w:cs="Times New Roman"/>
                <w:sz w:val="24"/>
                <w:szCs w:val="24"/>
              </w:rPr>
              <w:t>)</w:t>
            </w:r>
          </w:p>
          <w:p w14:paraId="633C664E" w14:textId="77777777" w:rsidR="00383319" w:rsidRPr="00D6454E" w:rsidRDefault="00383319" w:rsidP="00D6454E">
            <w:pPr>
              <w:tabs>
                <w:tab w:val="left" w:pos="709"/>
              </w:tabs>
              <w:autoSpaceDE w:val="0"/>
              <w:spacing w:after="0" w:line="240" w:lineRule="auto"/>
              <w:ind w:left="62" w:right="340"/>
              <w:contextualSpacing/>
              <w:jc w:val="both"/>
              <w:rPr>
                <w:rFonts w:ascii="Times New Roman" w:eastAsia="Times New Roman" w:hAnsi="Times New Roman" w:cs="Times New Roman"/>
                <w:sz w:val="24"/>
                <w:szCs w:val="24"/>
                <w:lang w:val="bg-BG"/>
              </w:rPr>
            </w:pPr>
            <w:r w:rsidRPr="00D6454E">
              <w:rPr>
                <w:rFonts w:ascii="Times New Roman" w:eastAsia="Times New Roman" w:hAnsi="Times New Roman" w:cs="Times New Roman"/>
                <w:sz w:val="24"/>
                <w:szCs w:val="24"/>
                <w:lang w:val="bg-BG"/>
              </w:rPr>
              <w:t xml:space="preserve">– обособена позиция №  1 – „Финансово и техническо управление на проекта“ – 162 333,89 лв. без ДДС </w:t>
            </w:r>
            <w:r w:rsidRPr="00D6454E">
              <w:rPr>
                <w:rFonts w:ascii="Times New Roman" w:eastAsia="Times New Roman" w:hAnsi="Times New Roman" w:cs="Times New Roman"/>
                <w:sz w:val="24"/>
                <w:szCs w:val="24"/>
              </w:rPr>
              <w:t>(</w:t>
            </w:r>
            <w:r w:rsidRPr="00D6454E">
              <w:rPr>
                <w:rFonts w:ascii="Times New Roman" w:eastAsia="Times New Roman" w:hAnsi="Times New Roman" w:cs="Times New Roman"/>
                <w:sz w:val="24"/>
                <w:szCs w:val="24"/>
                <w:lang w:val="bg-BG"/>
              </w:rPr>
              <w:t>сто шестдесет и две хиляди триста тридесет и три лева и 89 ст.</w:t>
            </w:r>
            <w:r w:rsidRPr="00D6454E">
              <w:rPr>
                <w:rFonts w:ascii="Times New Roman" w:eastAsia="Times New Roman" w:hAnsi="Times New Roman" w:cs="Times New Roman"/>
                <w:sz w:val="24"/>
                <w:szCs w:val="24"/>
              </w:rPr>
              <w:t>)</w:t>
            </w:r>
          </w:p>
          <w:p w14:paraId="1F2DB45A" w14:textId="77777777" w:rsidR="00383319" w:rsidRPr="007B29D8" w:rsidRDefault="00383319" w:rsidP="00D6454E">
            <w:pPr>
              <w:tabs>
                <w:tab w:val="left" w:pos="709"/>
              </w:tabs>
              <w:autoSpaceDE w:val="0"/>
              <w:spacing w:after="0" w:line="240" w:lineRule="auto"/>
              <w:ind w:left="62" w:right="340"/>
              <w:contextualSpacing/>
              <w:jc w:val="both"/>
              <w:rPr>
                <w:rFonts w:ascii="Times New Roman" w:eastAsia="Times New Roman" w:hAnsi="Times New Roman" w:cs="Times New Roman"/>
                <w:sz w:val="24"/>
                <w:szCs w:val="24"/>
                <w:lang w:val="bg-BG"/>
              </w:rPr>
            </w:pPr>
            <w:r w:rsidRPr="00D6454E">
              <w:rPr>
                <w:rFonts w:ascii="Times New Roman" w:eastAsia="Times New Roman" w:hAnsi="Times New Roman" w:cs="Times New Roman"/>
                <w:sz w:val="24"/>
                <w:szCs w:val="24"/>
                <w:lang w:val="bg-BG"/>
              </w:rPr>
              <w:t xml:space="preserve">– обособена позиция №  2 – „Независими услуги по управление на качеството на проекта“ – 39 116,60 лв. без ДДС </w:t>
            </w:r>
            <w:r w:rsidRPr="00D6454E">
              <w:rPr>
                <w:rFonts w:ascii="Times New Roman" w:eastAsia="Times New Roman" w:hAnsi="Times New Roman" w:cs="Times New Roman"/>
                <w:sz w:val="24"/>
                <w:szCs w:val="24"/>
              </w:rPr>
              <w:t>(</w:t>
            </w:r>
            <w:r w:rsidRPr="00D6454E">
              <w:rPr>
                <w:rFonts w:ascii="Times New Roman" w:eastAsia="Times New Roman" w:hAnsi="Times New Roman" w:cs="Times New Roman"/>
                <w:sz w:val="24"/>
                <w:szCs w:val="24"/>
                <w:lang w:val="bg-BG"/>
              </w:rPr>
              <w:t>тридесет и девет хиляди сто и шестнадесет лева и 60 ст.</w:t>
            </w:r>
            <w:r w:rsidRPr="00D6454E">
              <w:rPr>
                <w:rFonts w:ascii="Times New Roman" w:eastAsia="Times New Roman" w:hAnsi="Times New Roman" w:cs="Times New Roman"/>
                <w:sz w:val="24"/>
                <w:szCs w:val="24"/>
              </w:rPr>
              <w:t>)</w:t>
            </w:r>
            <w:r w:rsidRPr="007B29D8">
              <w:rPr>
                <w:rFonts w:ascii="Times New Roman" w:eastAsia="Times New Roman" w:hAnsi="Times New Roman" w:cs="Times New Roman"/>
                <w:sz w:val="24"/>
                <w:szCs w:val="24"/>
                <w:lang w:val="bg-BG"/>
              </w:rPr>
              <w:t xml:space="preserve"> </w:t>
            </w:r>
          </w:p>
          <w:p w14:paraId="376C9765" w14:textId="77777777" w:rsidR="00383319" w:rsidRPr="00383319" w:rsidRDefault="00383319" w:rsidP="00D6454E">
            <w:pPr>
              <w:tabs>
                <w:tab w:val="left" w:pos="709"/>
              </w:tabs>
              <w:autoSpaceDE w:val="0"/>
              <w:spacing w:after="120" w:line="240" w:lineRule="auto"/>
              <w:ind w:left="62" w:right="340"/>
              <w:jc w:val="both"/>
              <w:rPr>
                <w:rFonts w:ascii="Times New Roman" w:eastAsia="Times New Roman" w:hAnsi="Times New Roman" w:cs="Times New Roman"/>
                <w:bCs/>
                <w:i/>
                <w:sz w:val="24"/>
                <w:szCs w:val="24"/>
                <w:lang w:val="bg-BG"/>
              </w:rPr>
            </w:pPr>
            <w:r w:rsidRPr="007B29D8">
              <w:rPr>
                <w:rFonts w:ascii="Times New Roman" w:eastAsia="Times New Roman" w:hAnsi="Times New Roman" w:cs="Times New Roman"/>
                <w:bCs/>
                <w:i/>
                <w:sz w:val="24"/>
                <w:szCs w:val="24"/>
                <w:lang w:val="bg-BG"/>
              </w:rPr>
              <w:t xml:space="preserve">Забележка: Оферти, съдържащи ценови предложения, които надвишават посочената максимална прогнозна стойност за съответната обособена позиция, ще бъдат отстранени. Следва да се има </w:t>
            </w:r>
            <w:r w:rsidRPr="0033313F">
              <w:rPr>
                <w:rFonts w:ascii="Times New Roman" w:eastAsia="Times New Roman" w:hAnsi="Times New Roman" w:cs="Times New Roman"/>
                <w:bCs/>
                <w:i/>
                <w:sz w:val="24"/>
                <w:szCs w:val="24"/>
                <w:lang w:val="bg-BG"/>
              </w:rPr>
              <w:t>предвид, че одобрената сума по проект</w:t>
            </w:r>
            <w:r w:rsidRPr="0033313F">
              <w:rPr>
                <w:rFonts w:ascii="HebarU" w:eastAsia="Times New Roman" w:hAnsi="HebarU" w:cs="Times New Roman"/>
                <w:sz w:val="24"/>
                <w:szCs w:val="20"/>
                <w:lang w:val="bg-BG"/>
              </w:rPr>
              <w:t xml:space="preserve"> </w:t>
            </w:r>
            <w:r w:rsidRPr="0033313F">
              <w:rPr>
                <w:rFonts w:ascii="Times New Roman" w:eastAsia="Times New Roman" w:hAnsi="Times New Roman" w:cs="Times New Roman"/>
                <w:bCs/>
                <w:i/>
                <w:sz w:val="24"/>
                <w:szCs w:val="24"/>
                <w:lang w:val="bg-BG"/>
              </w:rPr>
              <w:t xml:space="preserve">„RESTORIVER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w:t>
            </w:r>
            <w:r w:rsidRPr="00D6454E">
              <w:rPr>
                <w:rFonts w:ascii="Times New Roman" w:eastAsia="Times New Roman" w:hAnsi="Times New Roman" w:cs="Times New Roman"/>
                <w:bCs/>
                <w:i/>
                <w:sz w:val="24"/>
                <w:szCs w:val="24"/>
                <w:lang w:val="bg-BG"/>
              </w:rPr>
              <w:t>Дунав и нейните притоци в Дунавския регион“ по Програма ИНТЕРРЕГ VI-Б Дунавски регион 2021-2027 г. е 100 000 евро за обособена позиция № 1 и 25 000 евро за обособена позиция № 2 и това е максимално допустимата сума,</w:t>
            </w:r>
            <w:r w:rsidRPr="007B29D8">
              <w:rPr>
                <w:rFonts w:ascii="Times New Roman" w:eastAsia="Times New Roman" w:hAnsi="Times New Roman" w:cs="Times New Roman"/>
                <w:bCs/>
                <w:i/>
                <w:sz w:val="24"/>
                <w:szCs w:val="24"/>
                <w:lang w:val="bg-BG"/>
              </w:rPr>
              <w:t xml:space="preserve"> която</w:t>
            </w:r>
            <w:r w:rsidRPr="00383319">
              <w:rPr>
                <w:rFonts w:ascii="Times New Roman" w:eastAsia="Times New Roman" w:hAnsi="Times New Roman" w:cs="Times New Roman"/>
                <w:bCs/>
                <w:i/>
                <w:sz w:val="24"/>
                <w:szCs w:val="24"/>
                <w:lang w:val="bg-BG"/>
              </w:rPr>
              <w:t xml:space="preserve"> възложителят ще заплати на избраните изпълнители по съответните обособени позиции.</w:t>
            </w:r>
          </w:p>
        </w:tc>
      </w:tr>
    </w:tbl>
    <w:p w14:paraId="722128B7"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ru-RU"/>
        </w:rPr>
      </w:pPr>
    </w:p>
    <w:p w14:paraId="7D23F92D"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p>
    <w:p w14:paraId="681B278F" w14:textId="2AAF184E"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ІІ.3) Срок на договора</w:t>
      </w:r>
    </w:p>
    <w:p w14:paraId="74C98EA9"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p>
    <w:tbl>
      <w:tblPr>
        <w:tblW w:w="0" w:type="auto"/>
        <w:jc w:val="center"/>
        <w:tblLayout w:type="fixed"/>
        <w:tblLook w:val="0000" w:firstRow="0" w:lastRow="0" w:firstColumn="0" w:lastColumn="0" w:noHBand="0" w:noVBand="0"/>
      </w:tblPr>
      <w:tblGrid>
        <w:gridCol w:w="9752"/>
      </w:tblGrid>
      <w:tr w:rsidR="00383319" w:rsidRPr="00383319" w14:paraId="16C6AEF4" w14:textId="77777777" w:rsidTr="00D6454E">
        <w:trPr>
          <w:jc w:val="center"/>
        </w:trPr>
        <w:tc>
          <w:tcPr>
            <w:tcW w:w="9752" w:type="dxa"/>
            <w:tcBorders>
              <w:top w:val="single" w:sz="4" w:space="0" w:color="000000"/>
              <w:left w:val="single" w:sz="4" w:space="0" w:color="000000"/>
              <w:bottom w:val="single" w:sz="4" w:space="0" w:color="000000"/>
              <w:right w:val="single" w:sz="4" w:space="0" w:color="000000"/>
            </w:tcBorders>
          </w:tcPr>
          <w:p w14:paraId="7372D0F1" w14:textId="78FE1C03" w:rsidR="00383319" w:rsidRPr="002B1304"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sz w:val="24"/>
                <w:szCs w:val="24"/>
                <w:highlight w:val="green"/>
                <w:lang w:val="bg-BG"/>
              </w:rPr>
            </w:pPr>
            <w:r w:rsidRPr="00D6454E">
              <w:rPr>
                <w:rFonts w:ascii="Times New Roman" w:eastAsia="Times New Roman" w:hAnsi="Times New Roman" w:cs="Times New Roman"/>
                <w:sz w:val="24"/>
                <w:szCs w:val="24"/>
                <w:lang w:val="bg-BG"/>
              </w:rPr>
              <w:t>Срок за изпълнение в месеци</w:t>
            </w:r>
            <w:r w:rsidRPr="00D6454E">
              <w:rPr>
                <w:rFonts w:ascii="Times New Roman" w:eastAsia="Times New Roman" w:hAnsi="Times New Roman" w:cs="Times New Roman"/>
                <w:i/>
                <w:iCs/>
                <w:sz w:val="24"/>
                <w:szCs w:val="24"/>
                <w:lang w:val="bg-BG"/>
              </w:rPr>
              <w:t xml:space="preserve">: </w:t>
            </w:r>
            <w:r w:rsidRPr="00D6454E">
              <w:rPr>
                <w:rFonts w:ascii="Times New Roman" w:eastAsia="Times New Roman" w:hAnsi="Times New Roman" w:cs="Times New Roman"/>
                <w:iCs/>
                <w:sz w:val="24"/>
                <w:szCs w:val="24"/>
                <w:lang w:val="bg-BG"/>
              </w:rPr>
              <w:t>от 01.</w:t>
            </w:r>
            <w:r w:rsidR="007B29D8" w:rsidRPr="00D6454E">
              <w:rPr>
                <w:rFonts w:ascii="Times New Roman" w:eastAsia="Times New Roman" w:hAnsi="Times New Roman" w:cs="Times New Roman"/>
                <w:iCs/>
                <w:sz w:val="24"/>
                <w:szCs w:val="24"/>
                <w:lang w:val="bg-BG"/>
              </w:rPr>
              <w:t>05</w:t>
            </w:r>
            <w:r w:rsidRPr="00D6454E">
              <w:rPr>
                <w:rFonts w:ascii="Times New Roman" w:eastAsia="Times New Roman" w:hAnsi="Times New Roman" w:cs="Times New Roman"/>
                <w:iCs/>
                <w:sz w:val="24"/>
                <w:szCs w:val="24"/>
                <w:lang w:val="bg-BG"/>
              </w:rPr>
              <w:t>.2024 г. до 30.0</w:t>
            </w:r>
            <w:r w:rsidR="00442BE4" w:rsidRPr="00D6454E">
              <w:rPr>
                <w:rFonts w:ascii="Times New Roman" w:eastAsia="Times New Roman" w:hAnsi="Times New Roman" w:cs="Times New Roman"/>
                <w:iCs/>
                <w:sz w:val="24"/>
                <w:szCs w:val="24"/>
              </w:rPr>
              <w:t>6</w:t>
            </w:r>
            <w:r w:rsidRPr="00D6454E">
              <w:rPr>
                <w:rFonts w:ascii="Times New Roman" w:eastAsia="Times New Roman" w:hAnsi="Times New Roman" w:cs="Times New Roman"/>
                <w:iCs/>
                <w:sz w:val="24"/>
                <w:szCs w:val="24"/>
                <w:lang w:val="bg-BG"/>
              </w:rPr>
              <w:t>.2026 г.</w:t>
            </w:r>
          </w:p>
        </w:tc>
      </w:tr>
    </w:tbl>
    <w:p w14:paraId="5F3294CA"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p>
    <w:p w14:paraId="3282F488"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p>
    <w:p w14:paraId="64EBD581"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lastRenderedPageBreak/>
        <w:t>РАЗДЕЛ ІІІ: ЮРИДИЧЕСКА, ИКОНОМИЧЕСКА, ФИНАНСОВА И ТЕХНИЧЕСКА ИНФОРМАЦИЯ</w:t>
      </w:r>
    </w:p>
    <w:p w14:paraId="466A965F"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p>
    <w:p w14:paraId="0217928E"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ІІІ.1) Условия, свързани с изпълнението на предмета на процедурата</w:t>
      </w:r>
    </w:p>
    <w:p w14:paraId="5D5E1578"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p>
    <w:tbl>
      <w:tblPr>
        <w:tblW w:w="0" w:type="auto"/>
        <w:jc w:val="center"/>
        <w:tblLayout w:type="fixed"/>
        <w:tblLook w:val="0000" w:firstRow="0" w:lastRow="0" w:firstColumn="0" w:lastColumn="0" w:noHBand="0" w:noVBand="0"/>
      </w:tblPr>
      <w:tblGrid>
        <w:gridCol w:w="9781"/>
      </w:tblGrid>
      <w:tr w:rsidR="00383319" w:rsidRPr="00383319" w14:paraId="422BFAF3" w14:textId="77777777" w:rsidTr="00D6454E">
        <w:trPr>
          <w:jc w:val="center"/>
        </w:trPr>
        <w:tc>
          <w:tcPr>
            <w:tcW w:w="9781" w:type="dxa"/>
            <w:tcBorders>
              <w:top w:val="single" w:sz="4" w:space="0" w:color="000000"/>
              <w:left w:val="single" w:sz="4" w:space="0" w:color="000000"/>
              <w:bottom w:val="single" w:sz="4" w:space="0" w:color="000000"/>
              <w:right w:val="single" w:sz="4" w:space="0" w:color="000000"/>
            </w:tcBorders>
          </w:tcPr>
          <w:p w14:paraId="7D6A8C29" w14:textId="77777777" w:rsidR="00383319" w:rsidRPr="00383319" w:rsidRDefault="00383319" w:rsidP="00D6454E">
            <w:pPr>
              <w:tabs>
                <w:tab w:val="left" w:pos="709"/>
              </w:tabs>
              <w:autoSpaceDE w:val="0"/>
              <w:snapToGrid w:val="0"/>
              <w:spacing w:after="0" w:line="240" w:lineRule="auto"/>
              <w:ind w:left="77"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ІІІ.1.1) Изискуеми гаранции </w:t>
            </w:r>
            <w:r w:rsidRPr="00383319">
              <w:rPr>
                <w:rFonts w:ascii="Times New Roman" w:eastAsia="Times New Roman" w:hAnsi="Times New Roman" w:cs="Times New Roman"/>
                <w:bCs/>
                <w:i/>
                <w:sz w:val="24"/>
                <w:szCs w:val="24"/>
                <w:lang w:val="bg-BG"/>
              </w:rPr>
              <w:t>(</w:t>
            </w:r>
            <w:r w:rsidRPr="00383319">
              <w:rPr>
                <w:rFonts w:ascii="Times New Roman" w:eastAsia="Times New Roman" w:hAnsi="Times New Roman" w:cs="Times New Roman"/>
                <w:bCs/>
                <w:i/>
                <w:sz w:val="18"/>
                <w:szCs w:val="18"/>
                <w:lang w:val="bg-BG"/>
              </w:rPr>
              <w:t>когато е приложимо</w:t>
            </w:r>
            <w:r w:rsidRPr="00383319">
              <w:rPr>
                <w:rFonts w:ascii="Times New Roman" w:eastAsia="Times New Roman" w:hAnsi="Times New Roman" w:cs="Times New Roman"/>
                <w:bCs/>
                <w:i/>
                <w:sz w:val="24"/>
                <w:szCs w:val="24"/>
                <w:lang w:val="bg-BG"/>
              </w:rPr>
              <w:t>)</w:t>
            </w:r>
            <w:r w:rsidRPr="00383319">
              <w:rPr>
                <w:rFonts w:ascii="Times New Roman" w:eastAsia="Times New Roman" w:hAnsi="Times New Roman" w:cs="Times New Roman"/>
                <w:b/>
                <w:bCs/>
                <w:sz w:val="24"/>
                <w:szCs w:val="24"/>
                <w:lang w:val="bg-BG"/>
              </w:rPr>
              <w:t xml:space="preserve"> </w:t>
            </w:r>
          </w:p>
          <w:p w14:paraId="7B90037E" w14:textId="77777777" w:rsidR="00383319" w:rsidRPr="00383319" w:rsidRDefault="00383319" w:rsidP="00D6454E">
            <w:pPr>
              <w:tabs>
                <w:tab w:val="left" w:pos="709"/>
              </w:tabs>
              <w:autoSpaceDE w:val="0"/>
              <w:spacing w:after="0" w:line="240" w:lineRule="auto"/>
              <w:ind w:left="77" w:right="340"/>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Неприложимо.</w:t>
            </w:r>
          </w:p>
          <w:p w14:paraId="5EE2E9B0" w14:textId="77777777" w:rsidR="00383319" w:rsidRPr="00383319" w:rsidRDefault="00383319" w:rsidP="00D6454E">
            <w:pPr>
              <w:tabs>
                <w:tab w:val="left" w:pos="709"/>
              </w:tabs>
              <w:autoSpaceDE w:val="0"/>
              <w:spacing w:after="0" w:line="240" w:lineRule="auto"/>
              <w:ind w:left="77" w:right="340"/>
              <w:jc w:val="both"/>
              <w:rPr>
                <w:rFonts w:ascii="Times New Roman" w:eastAsia="Times New Roman" w:hAnsi="Times New Roman" w:cs="Times New Roman"/>
                <w:b/>
                <w:bCs/>
                <w:sz w:val="24"/>
                <w:szCs w:val="24"/>
                <w:lang w:val="bg-BG"/>
              </w:rPr>
            </w:pPr>
          </w:p>
        </w:tc>
      </w:tr>
      <w:tr w:rsidR="00383319" w:rsidRPr="00383319" w14:paraId="3A065038" w14:textId="77777777" w:rsidTr="00D6454E">
        <w:trPr>
          <w:jc w:val="center"/>
        </w:trPr>
        <w:tc>
          <w:tcPr>
            <w:tcW w:w="9781" w:type="dxa"/>
            <w:tcBorders>
              <w:left w:val="single" w:sz="4" w:space="0" w:color="000000"/>
              <w:bottom w:val="single" w:sz="4" w:space="0" w:color="000000"/>
              <w:right w:val="single" w:sz="4" w:space="0" w:color="000000"/>
            </w:tcBorders>
          </w:tcPr>
          <w:p w14:paraId="2C471957" w14:textId="77777777" w:rsidR="00383319" w:rsidRPr="00383319" w:rsidRDefault="00383319" w:rsidP="00D6454E">
            <w:pPr>
              <w:tabs>
                <w:tab w:val="left" w:pos="709"/>
              </w:tabs>
              <w:snapToGrid w:val="0"/>
              <w:spacing w:after="0" w:line="240" w:lineRule="auto"/>
              <w:ind w:left="77" w:right="340"/>
              <w:jc w:val="both"/>
              <w:rPr>
                <w:rFonts w:ascii="Times New Roman" w:eastAsia="Times New Roman" w:hAnsi="Times New Roman" w:cs="Times New Roman"/>
                <w:b/>
                <w:sz w:val="24"/>
                <w:szCs w:val="24"/>
                <w:lang w:val="bg-BG" w:eastAsia="bg-BG"/>
              </w:rPr>
            </w:pPr>
            <w:r w:rsidRPr="00383319">
              <w:rPr>
                <w:rFonts w:ascii="Times New Roman" w:eastAsia="Times New Roman" w:hAnsi="Times New Roman" w:cs="Times New Roman"/>
                <w:b/>
                <w:sz w:val="24"/>
                <w:szCs w:val="24"/>
                <w:lang w:val="bg-BG" w:eastAsia="bg-BG"/>
              </w:rPr>
              <w:t xml:space="preserve">ІІІ.1.2) Условия и начин на финансиране и плащане и/или препратка към съответните разпоредби, които ги уреждат </w:t>
            </w:r>
            <w:r w:rsidRPr="00383319">
              <w:rPr>
                <w:rFonts w:ascii="Times New Roman" w:eastAsia="Times New Roman" w:hAnsi="Times New Roman" w:cs="Times New Roman"/>
                <w:b/>
                <w:sz w:val="24"/>
                <w:szCs w:val="24"/>
                <w:lang w:eastAsia="bg-BG"/>
              </w:rPr>
              <w:t>(</w:t>
            </w:r>
            <w:r w:rsidRPr="00383319">
              <w:rPr>
                <w:rFonts w:ascii="Times New Roman" w:eastAsia="Times New Roman" w:hAnsi="Times New Roman" w:cs="Times New Roman"/>
                <w:b/>
                <w:sz w:val="24"/>
                <w:szCs w:val="24"/>
                <w:lang w:val="bg-BG" w:eastAsia="bg-BG"/>
              </w:rPr>
              <w:t>важи и за двете обособени позиции</w:t>
            </w:r>
            <w:r w:rsidRPr="00383319">
              <w:rPr>
                <w:rFonts w:ascii="Times New Roman" w:eastAsia="Times New Roman" w:hAnsi="Times New Roman" w:cs="Times New Roman"/>
                <w:b/>
                <w:sz w:val="24"/>
                <w:szCs w:val="24"/>
                <w:lang w:eastAsia="bg-BG"/>
              </w:rPr>
              <w:t>)</w:t>
            </w:r>
          </w:p>
          <w:p w14:paraId="3EA3E902" w14:textId="77777777" w:rsidR="00383319" w:rsidRPr="00383319" w:rsidRDefault="00383319" w:rsidP="00D6454E">
            <w:pPr>
              <w:numPr>
                <w:ilvl w:val="0"/>
                <w:numId w:val="4"/>
              </w:numPr>
              <w:tabs>
                <w:tab w:val="left" w:pos="356"/>
                <w:tab w:val="left" w:pos="709"/>
              </w:tabs>
              <w:autoSpaceDE w:val="0"/>
              <w:spacing w:after="0" w:line="240" w:lineRule="auto"/>
              <w:ind w:left="77" w:right="340" w:firstLine="0"/>
              <w:contextualSpacing/>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В предложената от кандидата цена следва да са включени всички разходи за изпълнение на услугите, в описания обхват;</w:t>
            </w:r>
          </w:p>
          <w:p w14:paraId="312ED9BA" w14:textId="77777777" w:rsidR="00383319" w:rsidRPr="00383319" w:rsidRDefault="00383319" w:rsidP="00D6454E">
            <w:pPr>
              <w:numPr>
                <w:ilvl w:val="0"/>
                <w:numId w:val="4"/>
              </w:numPr>
              <w:tabs>
                <w:tab w:val="left" w:pos="356"/>
                <w:tab w:val="left" w:pos="709"/>
              </w:tabs>
              <w:autoSpaceDE w:val="0"/>
              <w:spacing w:after="0" w:line="240" w:lineRule="auto"/>
              <w:ind w:left="77" w:right="340" w:firstLine="0"/>
              <w:contextualSpacing/>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Предложената от кандидата цена е цялото възнаграждение, дължимо от ВЪЗЛОЖИТЕЛЯ на кандидата. Тази цена е окончателна и не подлежи на промяна;</w:t>
            </w:r>
          </w:p>
          <w:p w14:paraId="6D6392E7" w14:textId="77777777" w:rsidR="00383319" w:rsidRPr="00D6454E" w:rsidRDefault="00383319" w:rsidP="00D6454E">
            <w:pPr>
              <w:numPr>
                <w:ilvl w:val="0"/>
                <w:numId w:val="4"/>
              </w:numPr>
              <w:tabs>
                <w:tab w:val="left" w:pos="356"/>
                <w:tab w:val="left" w:pos="709"/>
              </w:tabs>
              <w:autoSpaceDE w:val="0"/>
              <w:spacing w:after="0" w:line="240" w:lineRule="auto"/>
              <w:ind w:left="77" w:right="340" w:firstLine="0"/>
              <w:contextualSpacing/>
              <w:jc w:val="both"/>
              <w:rPr>
                <w:rFonts w:ascii="Times New Roman" w:eastAsia="Times New Roman" w:hAnsi="Times New Roman" w:cs="Times New Roman"/>
                <w:bCs/>
                <w:sz w:val="24"/>
                <w:szCs w:val="24"/>
                <w:lang w:val="bg-BG"/>
              </w:rPr>
            </w:pPr>
            <w:r w:rsidRPr="00D6454E">
              <w:rPr>
                <w:rFonts w:ascii="Times New Roman" w:eastAsia="Times New Roman" w:hAnsi="Times New Roman" w:cs="Times New Roman"/>
                <w:bCs/>
                <w:sz w:val="24"/>
                <w:szCs w:val="24"/>
                <w:lang w:val="bg-BG"/>
              </w:rPr>
              <w:t xml:space="preserve">ВЪЗЛОЖИТЕЛЯТ заплаща възнаграждението, както следва: </w:t>
            </w:r>
          </w:p>
          <w:p w14:paraId="20079C0F" w14:textId="77777777" w:rsidR="00383319" w:rsidRPr="00383319" w:rsidRDefault="00383319" w:rsidP="00D6454E">
            <w:pPr>
              <w:numPr>
                <w:ilvl w:val="0"/>
                <w:numId w:val="6"/>
              </w:numPr>
              <w:tabs>
                <w:tab w:val="left" w:pos="281"/>
                <w:tab w:val="left" w:pos="709"/>
              </w:tabs>
              <w:autoSpaceDE w:val="0"/>
              <w:spacing w:after="0" w:line="240" w:lineRule="auto"/>
              <w:ind w:left="77" w:right="340" w:firstLine="0"/>
              <w:contextualSpacing/>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авансово плащане в размер на 20 % (двадесет на сто) от цената – в срок до 30 (тридесет) дни, считано от датата на подписването на Договора;</w:t>
            </w:r>
          </w:p>
          <w:p w14:paraId="5EFAB3E7" w14:textId="77777777" w:rsidR="00383319" w:rsidRPr="00383319" w:rsidRDefault="00383319" w:rsidP="00D6454E">
            <w:pPr>
              <w:numPr>
                <w:ilvl w:val="0"/>
                <w:numId w:val="6"/>
              </w:numPr>
              <w:tabs>
                <w:tab w:val="left" w:pos="281"/>
                <w:tab w:val="left" w:pos="709"/>
              </w:tabs>
              <w:autoSpaceDE w:val="0"/>
              <w:spacing w:after="0" w:line="240" w:lineRule="auto"/>
              <w:ind w:left="77" w:right="340" w:firstLine="0"/>
              <w:contextualSpacing/>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междинни плащания за всяко календарно тримесечие в размер на .............................. (..................) лв. – в срок до 30 (тридесет) дни, считано от приемане на изпълнението на тримесечието;</w:t>
            </w:r>
          </w:p>
          <w:p w14:paraId="52D4978F" w14:textId="77777777" w:rsidR="00383319" w:rsidRPr="00383319" w:rsidRDefault="00383319" w:rsidP="00D6454E">
            <w:pPr>
              <w:numPr>
                <w:ilvl w:val="0"/>
                <w:numId w:val="6"/>
              </w:numPr>
              <w:tabs>
                <w:tab w:val="left" w:pos="281"/>
                <w:tab w:val="left" w:pos="709"/>
              </w:tabs>
              <w:autoSpaceDE w:val="0"/>
              <w:spacing w:after="0" w:line="240" w:lineRule="auto"/>
              <w:ind w:left="77" w:right="340" w:firstLine="0"/>
              <w:contextualSpacing/>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 xml:space="preserve">окончателно плащане – последното дължимо плащане от страна на възложителя, при което се достига общо договорената сума по настоящия договор. </w:t>
            </w:r>
          </w:p>
          <w:p w14:paraId="40C71F58" w14:textId="77777777" w:rsidR="00383319" w:rsidRPr="00383319" w:rsidRDefault="00383319" w:rsidP="00D6454E">
            <w:pPr>
              <w:numPr>
                <w:ilvl w:val="0"/>
                <w:numId w:val="4"/>
              </w:numPr>
              <w:tabs>
                <w:tab w:val="left" w:pos="356"/>
                <w:tab w:val="left" w:pos="709"/>
              </w:tabs>
              <w:autoSpaceDE w:val="0"/>
              <w:spacing w:after="0" w:line="240" w:lineRule="auto"/>
              <w:ind w:left="77" w:right="340" w:firstLine="0"/>
              <w:contextualSpacing/>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Плащането се извършва по банков път в български лева, по сметка, посочена от кандидата при покана за сключване на договора.</w:t>
            </w:r>
          </w:p>
          <w:p w14:paraId="320A3701" w14:textId="085DA927" w:rsidR="00383319" w:rsidRPr="00383319" w:rsidRDefault="00383319" w:rsidP="00D6454E">
            <w:pPr>
              <w:numPr>
                <w:ilvl w:val="0"/>
                <w:numId w:val="4"/>
              </w:numPr>
              <w:tabs>
                <w:tab w:val="left" w:pos="356"/>
                <w:tab w:val="left" w:pos="709"/>
              </w:tabs>
              <w:autoSpaceDE w:val="0"/>
              <w:spacing w:after="0" w:line="240" w:lineRule="auto"/>
              <w:ind w:left="77" w:right="340" w:firstLine="0"/>
              <w:contextualSpacing/>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Във фактурата трябва да бъде изписан следния текст: „</w:t>
            </w:r>
            <w:bookmarkStart w:id="0" w:name="_Hlk45103542"/>
            <w:r w:rsidRPr="00383319">
              <w:rPr>
                <w:rFonts w:ascii="Times New Roman" w:eastAsia="Times New Roman" w:hAnsi="Times New Roman" w:cs="Times New Roman"/>
                <w:bCs/>
                <w:sz w:val="24"/>
                <w:szCs w:val="24"/>
                <w:lang w:val="bg-BG"/>
              </w:rPr>
              <w:t>Разходът е извършен във връзка с</w:t>
            </w:r>
            <w:r w:rsidRPr="00EF7E09">
              <w:rPr>
                <w:rFonts w:ascii="Times New Roman" w:eastAsia="Times New Roman" w:hAnsi="Times New Roman" w:cs="Times New Roman"/>
                <w:bCs/>
                <w:sz w:val="24"/>
                <w:szCs w:val="24"/>
                <w:lang w:val="bg-BG"/>
              </w:rPr>
              <w:t xml:space="preserve"> </w:t>
            </w:r>
            <w:r w:rsidRPr="00D6454E">
              <w:rPr>
                <w:rFonts w:ascii="Times New Roman" w:eastAsia="Times New Roman" w:hAnsi="Times New Roman" w:cs="Times New Roman"/>
                <w:bCs/>
                <w:sz w:val="24"/>
                <w:szCs w:val="24"/>
                <w:lang w:val="bg-BG"/>
              </w:rPr>
              <w:t xml:space="preserve">проект </w:t>
            </w:r>
            <w:bookmarkEnd w:id="0"/>
            <w:r w:rsidR="00D6454E" w:rsidRPr="00D6454E">
              <w:rPr>
                <w:rFonts w:ascii="Times New Roman" w:eastAsia="Times New Roman" w:hAnsi="Times New Roman" w:cs="Times New Roman"/>
                <w:bCs/>
                <w:sz w:val="24"/>
                <w:szCs w:val="24"/>
                <w:lang w:val="bg-BG"/>
              </w:rPr>
              <w:t xml:space="preserve">с код </w:t>
            </w:r>
            <w:r w:rsidR="00D6454E" w:rsidRPr="00D6454E">
              <w:rPr>
                <w:rFonts w:ascii="Times New Roman" w:eastAsia="Times New Roman" w:hAnsi="Times New Roman" w:cs="Times New Roman"/>
                <w:bCs/>
                <w:sz w:val="24"/>
                <w:szCs w:val="24"/>
              </w:rPr>
              <w:t>DRP0200419</w:t>
            </w:r>
            <w:r w:rsidR="00D6454E" w:rsidRPr="00D6454E">
              <w:rPr>
                <w:rFonts w:ascii="Times New Roman" w:eastAsia="Times New Roman" w:hAnsi="Times New Roman" w:cs="Times New Roman"/>
                <w:bCs/>
                <w:sz w:val="24"/>
                <w:szCs w:val="24"/>
                <w:lang w:val="bg-BG"/>
              </w:rPr>
              <w:t xml:space="preserve"> </w:t>
            </w:r>
            <w:r w:rsidRPr="00D6454E">
              <w:rPr>
                <w:rFonts w:ascii="Times New Roman" w:eastAsia="Times New Roman" w:hAnsi="Times New Roman" w:cs="Times New Roman"/>
                <w:bCs/>
                <w:sz w:val="24"/>
                <w:szCs w:val="24"/>
                <w:lang w:val="bg-BG"/>
              </w:rPr>
              <w:t>„RESTORIVER</w:t>
            </w:r>
            <w:r w:rsidRPr="00383319">
              <w:rPr>
                <w:rFonts w:ascii="Times New Roman" w:eastAsia="Times New Roman" w:hAnsi="Times New Roman" w:cs="Times New Roman"/>
                <w:bCs/>
                <w:sz w:val="24"/>
                <w:szCs w:val="24"/>
                <w:lang w:val="bg-BG"/>
              </w:rPr>
              <w:t xml:space="preserve">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по Програма ИНТЕРРЕГ VI-Б Дунавски регион 2021-2027 г.</w:t>
            </w:r>
          </w:p>
          <w:p w14:paraId="4CECF881" w14:textId="77777777" w:rsidR="00383319" w:rsidRPr="00383319" w:rsidRDefault="00383319" w:rsidP="00D6454E">
            <w:pPr>
              <w:tabs>
                <w:tab w:val="left" w:pos="709"/>
              </w:tabs>
              <w:autoSpaceDE w:val="0"/>
              <w:spacing w:after="0" w:line="240" w:lineRule="auto"/>
              <w:ind w:left="77" w:right="340"/>
              <w:jc w:val="both"/>
              <w:rPr>
                <w:rFonts w:ascii="Times New Roman" w:eastAsia="Times New Roman" w:hAnsi="Times New Roman" w:cs="Times New Roman"/>
                <w:b/>
                <w:bCs/>
                <w:sz w:val="24"/>
                <w:szCs w:val="24"/>
                <w:lang w:val="bg-BG"/>
              </w:rPr>
            </w:pPr>
          </w:p>
        </w:tc>
      </w:tr>
      <w:tr w:rsidR="00383319" w:rsidRPr="00383319" w14:paraId="60314B83" w14:textId="77777777" w:rsidTr="00D6454E">
        <w:trPr>
          <w:jc w:val="center"/>
        </w:trPr>
        <w:tc>
          <w:tcPr>
            <w:tcW w:w="9781" w:type="dxa"/>
            <w:tcBorders>
              <w:left w:val="single" w:sz="4" w:space="0" w:color="000000"/>
              <w:bottom w:val="single" w:sz="4" w:space="0" w:color="000000"/>
              <w:right w:val="single" w:sz="4" w:space="0" w:color="000000"/>
            </w:tcBorders>
          </w:tcPr>
          <w:p w14:paraId="1F4048A4" w14:textId="77777777" w:rsidR="00383319" w:rsidRPr="00383319" w:rsidRDefault="00383319" w:rsidP="00D6454E">
            <w:pPr>
              <w:tabs>
                <w:tab w:val="left" w:pos="709"/>
              </w:tabs>
              <w:snapToGrid w:val="0"/>
              <w:spacing w:after="0" w:line="240" w:lineRule="auto"/>
              <w:ind w:left="77" w:right="340"/>
              <w:jc w:val="both"/>
              <w:rPr>
                <w:rFonts w:ascii="Times New Roman" w:eastAsia="Times New Roman" w:hAnsi="Times New Roman" w:cs="Times New Roman"/>
                <w:i/>
                <w:sz w:val="24"/>
                <w:szCs w:val="24"/>
                <w:lang w:val="bg-BG" w:eastAsia="bg-BG"/>
              </w:rPr>
            </w:pPr>
            <w:r w:rsidRPr="00383319">
              <w:rPr>
                <w:rFonts w:ascii="Times New Roman" w:eastAsia="Times New Roman" w:hAnsi="Times New Roman" w:cs="Times New Roman"/>
                <w:b/>
                <w:sz w:val="24"/>
                <w:szCs w:val="24"/>
                <w:lang w:val="bg-BG" w:eastAsia="bg-BG"/>
              </w:rPr>
              <w:t xml:space="preserve">ІІІ.1.3) Условия от договора за изпълнение, които могат да бъдат изменяни в хода на изпълнението му:  (Или: Условия от изпълнението на предмета на процедурата, които могат да бъдат изменяни в договора:) или (Възможни промени в условията за изпълнение на предмета на процедурата/клаузите на договора: ) </w:t>
            </w:r>
          </w:p>
          <w:p w14:paraId="002F7C52" w14:textId="0C2F0255" w:rsidR="00383319" w:rsidRPr="00383319" w:rsidRDefault="00383319" w:rsidP="00D6454E">
            <w:pPr>
              <w:tabs>
                <w:tab w:val="left" w:pos="709"/>
              </w:tabs>
              <w:snapToGrid w:val="0"/>
              <w:spacing w:after="0" w:line="240" w:lineRule="auto"/>
              <w:ind w:left="77" w:right="340"/>
              <w:jc w:val="both"/>
              <w:rPr>
                <w:rFonts w:ascii="Times New Roman" w:eastAsia="Times New Roman" w:hAnsi="Times New Roman" w:cs="Times New Roman"/>
                <w:bCs/>
                <w:sz w:val="24"/>
                <w:szCs w:val="24"/>
                <w:lang w:val="bg-BG" w:eastAsia="bg-BG"/>
              </w:rPr>
            </w:pPr>
            <w:r w:rsidRPr="00383319">
              <w:rPr>
                <w:rFonts w:ascii="Times New Roman" w:eastAsia="Times New Roman" w:hAnsi="Times New Roman" w:cs="Times New Roman"/>
                <w:bCs/>
                <w:sz w:val="24"/>
                <w:szCs w:val="24"/>
                <w:lang w:val="bg-BG" w:eastAsia="bg-BG"/>
              </w:rPr>
              <w:t xml:space="preserve">Договорът може да бъде изменен или допълван само съгласно допустимите допълнения или изменения по чл. 10, ал. </w:t>
            </w:r>
            <w:r w:rsidR="007B29D8">
              <w:rPr>
                <w:rFonts w:ascii="Times New Roman" w:eastAsia="Times New Roman" w:hAnsi="Times New Roman" w:cs="Times New Roman"/>
                <w:bCs/>
                <w:sz w:val="24"/>
                <w:szCs w:val="24"/>
                <w:lang w:eastAsia="bg-BG"/>
              </w:rPr>
              <w:t>3</w:t>
            </w:r>
            <w:r w:rsidR="007B29D8" w:rsidRPr="00383319">
              <w:rPr>
                <w:rFonts w:ascii="Times New Roman" w:eastAsia="Times New Roman" w:hAnsi="Times New Roman" w:cs="Times New Roman"/>
                <w:bCs/>
                <w:sz w:val="24"/>
                <w:szCs w:val="24"/>
                <w:lang w:val="bg-BG" w:eastAsia="bg-BG"/>
              </w:rPr>
              <w:t xml:space="preserve"> </w:t>
            </w:r>
            <w:r w:rsidRPr="00383319">
              <w:rPr>
                <w:rFonts w:ascii="Times New Roman" w:eastAsia="Times New Roman" w:hAnsi="Times New Roman" w:cs="Times New Roman"/>
                <w:bCs/>
                <w:sz w:val="24"/>
                <w:szCs w:val="24"/>
                <w:lang w:val="bg-BG" w:eastAsia="bg-BG"/>
              </w:rPr>
              <w:t>от ПМС №</w:t>
            </w:r>
            <w:r w:rsidR="00D6454E">
              <w:rPr>
                <w:rFonts w:ascii="Times New Roman" w:eastAsia="Times New Roman" w:hAnsi="Times New Roman" w:cs="Times New Roman"/>
                <w:bCs/>
                <w:sz w:val="24"/>
                <w:szCs w:val="24"/>
                <w:lang w:val="bg-BG" w:eastAsia="bg-BG"/>
              </w:rPr>
              <w:t xml:space="preserve"> </w:t>
            </w:r>
            <w:r w:rsidR="007B29D8">
              <w:rPr>
                <w:rFonts w:ascii="Times New Roman" w:eastAsia="Times New Roman" w:hAnsi="Times New Roman" w:cs="Times New Roman"/>
                <w:bCs/>
                <w:sz w:val="24"/>
                <w:szCs w:val="24"/>
                <w:lang w:eastAsia="bg-BG"/>
              </w:rPr>
              <w:t>4</w:t>
            </w:r>
            <w:r w:rsidRPr="00383319">
              <w:rPr>
                <w:rFonts w:ascii="Times New Roman" w:eastAsia="Times New Roman" w:hAnsi="Times New Roman" w:cs="Times New Roman"/>
                <w:bCs/>
                <w:sz w:val="24"/>
                <w:szCs w:val="24"/>
                <w:lang w:val="bg-BG" w:eastAsia="bg-BG"/>
              </w:rPr>
              <w:t>/</w:t>
            </w:r>
            <w:r w:rsidR="007B29D8">
              <w:rPr>
                <w:rFonts w:ascii="Times New Roman" w:eastAsia="Times New Roman" w:hAnsi="Times New Roman" w:cs="Times New Roman"/>
                <w:bCs/>
                <w:sz w:val="24"/>
                <w:szCs w:val="24"/>
                <w:lang w:eastAsia="bg-BG"/>
              </w:rPr>
              <w:t>1</w:t>
            </w:r>
            <w:r w:rsidR="007B29D8" w:rsidRPr="00383319">
              <w:rPr>
                <w:rFonts w:ascii="Times New Roman" w:eastAsia="Times New Roman" w:hAnsi="Times New Roman" w:cs="Times New Roman"/>
                <w:bCs/>
                <w:sz w:val="24"/>
                <w:szCs w:val="24"/>
                <w:lang w:val="bg-BG" w:eastAsia="bg-BG"/>
              </w:rPr>
              <w:t>1</w:t>
            </w:r>
            <w:r w:rsidRPr="00383319">
              <w:rPr>
                <w:rFonts w:ascii="Times New Roman" w:eastAsia="Times New Roman" w:hAnsi="Times New Roman" w:cs="Times New Roman"/>
                <w:bCs/>
                <w:sz w:val="24"/>
                <w:szCs w:val="24"/>
                <w:lang w:val="bg-BG" w:eastAsia="bg-BG"/>
              </w:rPr>
              <w:t>.</w:t>
            </w:r>
            <w:r w:rsidR="007B29D8" w:rsidRPr="00383319">
              <w:rPr>
                <w:rFonts w:ascii="Times New Roman" w:eastAsia="Times New Roman" w:hAnsi="Times New Roman" w:cs="Times New Roman"/>
                <w:bCs/>
                <w:sz w:val="24"/>
                <w:szCs w:val="24"/>
                <w:lang w:val="bg-BG" w:eastAsia="bg-BG"/>
              </w:rPr>
              <w:t>0</w:t>
            </w:r>
            <w:r w:rsidR="007B29D8">
              <w:rPr>
                <w:rFonts w:ascii="Times New Roman" w:eastAsia="Times New Roman" w:hAnsi="Times New Roman" w:cs="Times New Roman"/>
                <w:bCs/>
                <w:sz w:val="24"/>
                <w:szCs w:val="24"/>
                <w:lang w:eastAsia="bg-BG"/>
              </w:rPr>
              <w:t>1</w:t>
            </w:r>
            <w:r w:rsidRPr="00383319">
              <w:rPr>
                <w:rFonts w:ascii="Times New Roman" w:eastAsia="Times New Roman" w:hAnsi="Times New Roman" w:cs="Times New Roman"/>
                <w:bCs/>
                <w:sz w:val="24"/>
                <w:szCs w:val="24"/>
                <w:lang w:val="bg-BG" w:eastAsia="bg-BG"/>
              </w:rPr>
              <w:t>.20</w:t>
            </w:r>
            <w:r w:rsidR="007B29D8">
              <w:rPr>
                <w:rFonts w:ascii="Times New Roman" w:eastAsia="Times New Roman" w:hAnsi="Times New Roman" w:cs="Times New Roman"/>
                <w:bCs/>
                <w:sz w:val="24"/>
                <w:szCs w:val="24"/>
                <w:lang w:eastAsia="bg-BG"/>
              </w:rPr>
              <w:t>24</w:t>
            </w:r>
            <w:r w:rsidRPr="00383319">
              <w:rPr>
                <w:rFonts w:ascii="Times New Roman" w:eastAsia="Times New Roman" w:hAnsi="Times New Roman" w:cs="Times New Roman"/>
                <w:bCs/>
                <w:sz w:val="24"/>
                <w:szCs w:val="24"/>
                <w:lang w:val="bg-BG" w:eastAsia="bg-BG"/>
              </w:rPr>
              <w:t xml:space="preserve"> г. или негово изменение, което действа към дадения момент.</w:t>
            </w:r>
          </w:p>
          <w:p w14:paraId="38C106DE" w14:textId="77777777" w:rsidR="00383319" w:rsidRPr="00383319" w:rsidRDefault="00383319" w:rsidP="00D6454E">
            <w:pPr>
              <w:tabs>
                <w:tab w:val="left" w:pos="709"/>
              </w:tabs>
              <w:snapToGrid w:val="0"/>
              <w:spacing w:after="0" w:line="240" w:lineRule="auto"/>
              <w:ind w:left="77" w:right="340"/>
              <w:jc w:val="both"/>
              <w:rPr>
                <w:rFonts w:ascii="Times New Roman" w:eastAsia="Times New Roman" w:hAnsi="Times New Roman" w:cs="Times New Roman"/>
                <w:b/>
                <w:bCs/>
                <w:i/>
                <w:color w:val="0000FF"/>
                <w:szCs w:val="24"/>
                <w:lang w:val="bg-BG" w:eastAsia="bg-BG"/>
              </w:rPr>
            </w:pPr>
          </w:p>
        </w:tc>
      </w:tr>
      <w:tr w:rsidR="00383319" w:rsidRPr="00383319" w14:paraId="0435A5B8" w14:textId="77777777" w:rsidTr="00D6454E">
        <w:trPr>
          <w:jc w:val="center"/>
        </w:trPr>
        <w:tc>
          <w:tcPr>
            <w:tcW w:w="9781" w:type="dxa"/>
            <w:tcBorders>
              <w:left w:val="single" w:sz="4" w:space="0" w:color="000000"/>
              <w:bottom w:val="single" w:sz="4" w:space="0" w:color="000000"/>
              <w:right w:val="single" w:sz="4" w:space="0" w:color="000000"/>
            </w:tcBorders>
          </w:tcPr>
          <w:p w14:paraId="5E2AD926" w14:textId="77777777" w:rsidR="00383319" w:rsidRPr="00383319" w:rsidRDefault="00383319" w:rsidP="00D6454E">
            <w:pPr>
              <w:tabs>
                <w:tab w:val="left" w:pos="398"/>
                <w:tab w:val="left" w:pos="709"/>
              </w:tabs>
              <w:autoSpaceDE w:val="0"/>
              <w:snapToGrid w:val="0"/>
              <w:spacing w:after="0" w:line="240" w:lineRule="auto"/>
              <w:ind w:left="77"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ІІІ.1.</w:t>
            </w:r>
            <w:r w:rsidRPr="00383319">
              <w:rPr>
                <w:rFonts w:ascii="Times New Roman" w:eastAsia="Times New Roman" w:hAnsi="Times New Roman" w:cs="Times New Roman"/>
                <w:b/>
                <w:bCs/>
                <w:sz w:val="24"/>
                <w:szCs w:val="24"/>
                <w:lang w:val="ru-RU"/>
              </w:rPr>
              <w:t>4</w:t>
            </w:r>
            <w:r w:rsidRPr="00383319">
              <w:rPr>
                <w:rFonts w:ascii="Times New Roman" w:eastAsia="Times New Roman" w:hAnsi="Times New Roman" w:cs="Times New Roman"/>
                <w:b/>
                <w:bCs/>
                <w:sz w:val="24"/>
                <w:szCs w:val="24"/>
                <w:lang w:val="bg-BG"/>
              </w:rPr>
              <w:t xml:space="preserve">) Други особени условия да </w:t>
            </w:r>
            <w:r w:rsidRPr="00383319">
              <w:rPr>
                <w:rFonts w:ascii="Times New Roman" w:eastAsia="Times New Roman" w:hAnsi="Times New Roman" w:cs="Times New Roman"/>
                <w:b/>
                <w:bCs/>
                <w:sz w:val="24"/>
                <w:szCs w:val="24"/>
                <w:lang w:val="bg-BG"/>
              </w:rPr>
              <w:sym w:font="Wingdings" w:char="F0FD"/>
            </w:r>
            <w:r w:rsidRPr="00383319">
              <w:rPr>
                <w:rFonts w:ascii="Times New Roman" w:eastAsia="Times New Roman" w:hAnsi="Times New Roman" w:cs="Times New Roman"/>
                <w:b/>
                <w:bCs/>
                <w:sz w:val="24"/>
                <w:szCs w:val="24"/>
                <w:lang w:val="bg-BG"/>
              </w:rPr>
              <w:t xml:space="preserve">   не </w:t>
            </w:r>
            <w:r w:rsidRPr="00383319">
              <w:rPr>
                <w:rFonts w:ascii="Times New Roman" w:eastAsia="Times New Roman" w:hAnsi="Times New Roman" w:cs="Times New Roman"/>
                <w:b/>
                <w:bCs/>
                <w:sz w:val="24"/>
                <w:szCs w:val="24"/>
                <w:lang w:val="bg-BG"/>
              </w:rPr>
              <w:t></w:t>
            </w:r>
          </w:p>
          <w:p w14:paraId="2CD96A9C" w14:textId="77777777" w:rsidR="00383319" w:rsidRPr="00383319" w:rsidRDefault="00383319" w:rsidP="00D6454E">
            <w:pPr>
              <w:tabs>
                <w:tab w:val="left" w:pos="398"/>
                <w:tab w:val="left" w:pos="709"/>
              </w:tabs>
              <w:autoSpaceDE w:val="0"/>
              <w:spacing w:after="0" w:line="240" w:lineRule="auto"/>
              <w:ind w:left="77" w:right="340"/>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
                <w:bCs/>
                <w:sz w:val="24"/>
                <w:szCs w:val="24"/>
                <w:lang w:val="bg-BG"/>
              </w:rPr>
              <w:t xml:space="preserve">Ако да, </w:t>
            </w:r>
            <w:r w:rsidRPr="00383319">
              <w:rPr>
                <w:rFonts w:ascii="Times New Roman" w:eastAsia="Times New Roman" w:hAnsi="Times New Roman" w:cs="Times New Roman"/>
                <w:bCs/>
                <w:sz w:val="24"/>
                <w:szCs w:val="24"/>
                <w:lang w:val="bg-BG"/>
              </w:rPr>
              <w:t>опишете ги:</w:t>
            </w:r>
          </w:p>
          <w:p w14:paraId="2BDBBA6A" w14:textId="77777777" w:rsidR="00383319" w:rsidRPr="00383319" w:rsidRDefault="00383319" w:rsidP="00D6454E">
            <w:pPr>
              <w:numPr>
                <w:ilvl w:val="0"/>
                <w:numId w:val="5"/>
              </w:numPr>
              <w:tabs>
                <w:tab w:val="left" w:pos="185"/>
                <w:tab w:val="left" w:pos="398"/>
                <w:tab w:val="left" w:pos="503"/>
                <w:tab w:val="left" w:pos="709"/>
              </w:tabs>
              <w:snapToGrid w:val="0"/>
              <w:spacing w:after="0" w:line="240" w:lineRule="auto"/>
              <w:ind w:left="77" w:right="340" w:firstLine="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 xml:space="preserve">Кандидатът трябва да отговаря напълно на всички определени в документацията по публичната покана минимални изисквания и задължителни условия, свързани с изпълнението на предмета на процедурата. Непокриването на дори само едно от тези изисквания е основание за отстраняване на кандидата от по-нататъшна оценка поради несъответствие с поставените от възложителя минимални изисквания за изпълнение на предмета на процедурата. </w:t>
            </w:r>
          </w:p>
          <w:p w14:paraId="278B42E2" w14:textId="77777777" w:rsidR="00383319" w:rsidRPr="00383319" w:rsidRDefault="00383319" w:rsidP="00D6454E">
            <w:pPr>
              <w:numPr>
                <w:ilvl w:val="0"/>
                <w:numId w:val="5"/>
              </w:numPr>
              <w:tabs>
                <w:tab w:val="left" w:pos="77"/>
                <w:tab w:val="left" w:pos="185"/>
                <w:tab w:val="left" w:pos="398"/>
                <w:tab w:val="left" w:pos="503"/>
                <w:tab w:val="left" w:pos="709"/>
              </w:tabs>
              <w:snapToGrid w:val="0"/>
              <w:spacing w:after="0" w:line="240" w:lineRule="auto"/>
              <w:ind w:left="77" w:right="340" w:firstLine="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Всяка оферта трябва да е изготвена в съответствие с приложение „Изисквания към офертите“.</w:t>
            </w:r>
          </w:p>
          <w:p w14:paraId="2491B1CB" w14:textId="77777777" w:rsidR="00383319" w:rsidRPr="00383319" w:rsidRDefault="00383319" w:rsidP="00D6454E">
            <w:pPr>
              <w:numPr>
                <w:ilvl w:val="0"/>
                <w:numId w:val="5"/>
              </w:numPr>
              <w:tabs>
                <w:tab w:val="left" w:pos="5"/>
                <w:tab w:val="left" w:pos="185"/>
                <w:tab w:val="left" w:pos="398"/>
                <w:tab w:val="left" w:pos="503"/>
                <w:tab w:val="left" w:pos="709"/>
              </w:tabs>
              <w:snapToGrid w:val="0"/>
              <w:spacing w:after="0" w:line="240" w:lineRule="auto"/>
              <w:ind w:left="77" w:right="340" w:firstLine="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lastRenderedPageBreak/>
              <w:t xml:space="preserve"> В методиката за оценка на офертите е налична информация относно минималните / базови изисквания, изискванията за наличието на придобито образование и реализиран общ и специфичен професионален опит към всеки един от експертите в състава на екипа и указания относно начина на оценяване на всеки от тях</w:t>
            </w:r>
          </w:p>
          <w:p w14:paraId="045E7C7C" w14:textId="77777777" w:rsidR="00383319" w:rsidRPr="00383319" w:rsidRDefault="00383319" w:rsidP="00D6454E">
            <w:pPr>
              <w:numPr>
                <w:ilvl w:val="0"/>
                <w:numId w:val="5"/>
              </w:numPr>
              <w:tabs>
                <w:tab w:val="left" w:pos="147"/>
                <w:tab w:val="left" w:pos="185"/>
                <w:tab w:val="left" w:pos="398"/>
                <w:tab w:val="left" w:pos="503"/>
                <w:tab w:val="left" w:pos="709"/>
              </w:tabs>
              <w:snapToGrid w:val="0"/>
              <w:spacing w:after="0" w:line="240" w:lineRule="auto"/>
              <w:ind w:left="77" w:right="340" w:firstLine="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Отстранява се от участие кандидат за когото е налице някое от обстоятелствата по чл. Чл. 54. (1) Възложителят отстранява от участие в процедура за възлагане на обществена поръчка кандидат или участник, когато:</w:t>
            </w:r>
          </w:p>
          <w:p w14:paraId="37DA5C51" w14:textId="77777777" w:rsidR="00383319" w:rsidRPr="00383319" w:rsidRDefault="00383319" w:rsidP="00D6454E">
            <w:pPr>
              <w:tabs>
                <w:tab w:val="left" w:pos="-137"/>
                <w:tab w:val="left" w:pos="219"/>
                <w:tab w:val="left" w:pos="398"/>
                <w:tab w:val="left" w:pos="709"/>
              </w:tabs>
              <w:snapToGrid w:val="0"/>
              <w:spacing w:after="0" w:line="240" w:lineRule="auto"/>
              <w:ind w:left="77"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1. (изм. - ДВ, бр. 86 от 2018 г., в сила от 01.03.2019 г.) 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4F145CE7" w14:textId="77777777" w:rsidR="00383319" w:rsidRPr="00383319" w:rsidRDefault="00383319" w:rsidP="00D6454E">
            <w:pPr>
              <w:tabs>
                <w:tab w:val="left" w:pos="-137"/>
                <w:tab w:val="left" w:pos="219"/>
                <w:tab w:val="left" w:pos="398"/>
                <w:tab w:val="left" w:pos="709"/>
              </w:tabs>
              <w:snapToGrid w:val="0"/>
              <w:spacing w:after="0" w:line="240" w:lineRule="auto"/>
              <w:ind w:left="77"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2. (изм. - ДВ, бр. 86 от 2018 г., в сила от 01.03.2019 г.) е осъден с влязла в сила присъда, за престъпление, аналогично на тези по т. 1, в друга държава членка или трета страна;</w:t>
            </w:r>
          </w:p>
          <w:p w14:paraId="5B3CDCB6" w14:textId="77777777" w:rsidR="00383319" w:rsidRPr="00383319" w:rsidRDefault="00383319" w:rsidP="00D6454E">
            <w:pPr>
              <w:tabs>
                <w:tab w:val="left" w:pos="-137"/>
                <w:tab w:val="left" w:pos="219"/>
                <w:tab w:val="left" w:pos="398"/>
                <w:tab w:val="left" w:pos="709"/>
              </w:tabs>
              <w:snapToGrid w:val="0"/>
              <w:spacing w:after="0" w:line="240" w:lineRule="auto"/>
              <w:ind w:left="77"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3. (изм. - ДВ, бр. 86 от 2018 г., в сила от 01.03.2019 г.) има задължения за </w:t>
            </w:r>
            <w:hyperlink r:id="rId10" w:tgtFrame="_blank" w:tooltip="Правно-информационна система Сиела Счетоводство" w:history="1">
              <w:r w:rsidRPr="00383319">
                <w:rPr>
                  <w:rFonts w:ascii="Times New Roman" w:eastAsia="Times New Roman" w:hAnsi="Times New Roman" w:cs="Times New Roman"/>
                  <w:color w:val="000000"/>
                  <w:sz w:val="24"/>
                  <w:szCs w:val="24"/>
                  <w:lang w:val="bg-BG" w:eastAsia="bg-BG"/>
                </w:rPr>
                <w:t>данъци</w:t>
              </w:r>
            </w:hyperlink>
            <w:r w:rsidRPr="00383319">
              <w:rPr>
                <w:rFonts w:ascii="Times New Roman" w:eastAsia="Times New Roman" w:hAnsi="Times New Roman" w:cs="Times New Roman"/>
                <w:color w:val="000000"/>
                <w:sz w:val="24"/>
                <w:szCs w:val="24"/>
                <w:lang w:val="bg-BG" w:eastAsia="bg-BG"/>
              </w:rPr>
              <w:t>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48EC274E" w14:textId="77777777" w:rsidR="00383319" w:rsidRPr="00383319" w:rsidRDefault="00383319" w:rsidP="00D6454E">
            <w:pPr>
              <w:tabs>
                <w:tab w:val="left" w:pos="-137"/>
                <w:tab w:val="left" w:pos="219"/>
                <w:tab w:val="left" w:pos="398"/>
                <w:tab w:val="left" w:pos="709"/>
              </w:tabs>
              <w:snapToGrid w:val="0"/>
              <w:spacing w:after="0" w:line="240" w:lineRule="auto"/>
              <w:ind w:left="77"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4. е налице неравнопоставеност в случаите по чл. 44, ал. 5;</w:t>
            </w:r>
          </w:p>
          <w:p w14:paraId="26ACB879" w14:textId="77777777" w:rsidR="00383319" w:rsidRPr="00383319" w:rsidRDefault="00383319" w:rsidP="00D6454E">
            <w:pPr>
              <w:tabs>
                <w:tab w:val="left" w:pos="-137"/>
                <w:tab w:val="left" w:pos="219"/>
                <w:tab w:val="left" w:pos="398"/>
                <w:tab w:val="left" w:pos="709"/>
              </w:tabs>
              <w:snapToGrid w:val="0"/>
              <w:spacing w:after="0" w:line="240" w:lineRule="auto"/>
              <w:ind w:left="77"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5. е установено, че:</w:t>
            </w:r>
          </w:p>
          <w:p w14:paraId="4B2DCB54" w14:textId="77777777" w:rsidR="00383319" w:rsidRPr="00383319" w:rsidRDefault="00383319" w:rsidP="00D6454E">
            <w:pPr>
              <w:tabs>
                <w:tab w:val="left" w:pos="-137"/>
                <w:tab w:val="left" w:pos="219"/>
                <w:tab w:val="left" w:pos="398"/>
                <w:tab w:val="left" w:pos="709"/>
              </w:tabs>
              <w:snapToGrid w:val="0"/>
              <w:spacing w:after="0" w:line="240" w:lineRule="auto"/>
              <w:ind w:left="77"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а) (изм. - ДВ, бр. 102 от 2019 г., в сила от 01.01.2020 г.)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36DE3965" w14:textId="77777777" w:rsidR="00383319" w:rsidRPr="00383319" w:rsidRDefault="00383319" w:rsidP="00D6454E">
            <w:pPr>
              <w:tabs>
                <w:tab w:val="left" w:pos="-137"/>
                <w:tab w:val="left" w:pos="219"/>
                <w:tab w:val="left" w:pos="398"/>
                <w:tab w:val="left" w:pos="709"/>
              </w:tabs>
              <w:snapToGrid w:val="0"/>
              <w:spacing w:after="0" w:line="240" w:lineRule="auto"/>
              <w:ind w:left="77"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064CB668" w14:textId="77777777" w:rsidR="00383319" w:rsidRPr="00383319" w:rsidRDefault="00383319" w:rsidP="00D6454E">
            <w:pPr>
              <w:tabs>
                <w:tab w:val="left" w:pos="-137"/>
                <w:tab w:val="left" w:pos="219"/>
                <w:tab w:val="left" w:pos="398"/>
                <w:tab w:val="left" w:pos="709"/>
              </w:tabs>
              <w:snapToGrid w:val="0"/>
              <w:spacing w:after="0" w:line="240" w:lineRule="auto"/>
              <w:ind w:left="77"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6. (изм. - ДВ, бр. 102 от 2017 г., в сила от 22.12.2017 г., изм. - ДВ, бр. 15 от 2018 г., в сила от 16.02.2018 г., доп. - ДВ, бр. 24 от 2018 г., в сила от 23.05.2018 г.)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47FE57AC" w14:textId="77777777" w:rsidR="00383319" w:rsidRPr="00383319" w:rsidRDefault="00383319" w:rsidP="00D6454E">
            <w:pPr>
              <w:tabs>
                <w:tab w:val="left" w:pos="-137"/>
                <w:tab w:val="left" w:pos="219"/>
                <w:tab w:val="left" w:pos="398"/>
                <w:tab w:val="left" w:pos="709"/>
              </w:tabs>
              <w:snapToGrid w:val="0"/>
              <w:spacing w:after="0" w:line="240" w:lineRule="auto"/>
              <w:ind w:left="77"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7. е налице конфликт на интереси, който не може да бъде отстранен.</w:t>
            </w:r>
          </w:p>
          <w:p w14:paraId="03763B8D" w14:textId="77777777" w:rsidR="00383319" w:rsidRPr="00383319" w:rsidRDefault="00383319" w:rsidP="00D6454E">
            <w:pPr>
              <w:tabs>
                <w:tab w:val="left" w:pos="-137"/>
                <w:tab w:val="left" w:pos="219"/>
                <w:tab w:val="left" w:pos="398"/>
                <w:tab w:val="left" w:pos="709"/>
              </w:tabs>
              <w:spacing w:after="0" w:line="240" w:lineRule="auto"/>
              <w:ind w:left="77" w:right="340"/>
              <w:rPr>
                <w:rFonts w:ascii="Times New Roman" w:eastAsia="Times New Roman" w:hAnsi="Times New Roman" w:cs="Times New Roman"/>
                <w:bCs/>
                <w:i/>
                <w:color w:val="000000"/>
                <w:szCs w:val="24"/>
                <w:lang w:val="bg-BG" w:eastAsia="bg-BG"/>
              </w:rPr>
            </w:pPr>
          </w:p>
          <w:p w14:paraId="69D7506F" w14:textId="77777777" w:rsidR="00383319" w:rsidRPr="00383319" w:rsidRDefault="00383319" w:rsidP="00D6454E">
            <w:pPr>
              <w:tabs>
                <w:tab w:val="left" w:pos="-137"/>
                <w:tab w:val="left" w:pos="219"/>
                <w:tab w:val="left" w:pos="398"/>
                <w:tab w:val="left" w:pos="709"/>
              </w:tabs>
              <w:spacing w:after="0" w:line="240" w:lineRule="auto"/>
              <w:ind w:left="77" w:right="340"/>
              <w:jc w:val="both"/>
              <w:rPr>
                <w:rFonts w:ascii="Times New Roman" w:eastAsia="Times New Roman" w:hAnsi="Times New Roman" w:cs="Times New Roman"/>
                <w:b/>
                <w:bCs/>
                <w:i/>
                <w:color w:val="0000FF"/>
                <w:szCs w:val="24"/>
                <w:lang w:val="bg-BG" w:eastAsia="bg-BG"/>
              </w:rPr>
            </w:pPr>
            <w:r w:rsidRPr="00383319">
              <w:rPr>
                <w:rFonts w:ascii="Times New Roman" w:eastAsia="Times New Roman" w:hAnsi="Times New Roman" w:cs="Times New Roman"/>
                <w:bCs/>
                <w:i/>
                <w:color w:val="000000"/>
                <w:szCs w:val="24"/>
                <w:lang w:val="bg-BG" w:eastAsia="bg-BG"/>
              </w:rPr>
              <w:t>При посочване в настоящата публична покана или други приложими документи относно провежданата процедура за избор на изпълнител, на марка, модел, сертификат, стандарт или условие, което би могло необосновано да ограничава участието на лица, следва да се има предвид, че Възложителя приема еквивалент.</w:t>
            </w:r>
          </w:p>
        </w:tc>
      </w:tr>
    </w:tbl>
    <w:p w14:paraId="19232CD5"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p>
    <w:p w14:paraId="757BA890"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ІІІ.2) Условия за участие </w:t>
      </w:r>
    </w:p>
    <w:p w14:paraId="23FE9D91" w14:textId="77777777" w:rsidR="00383319" w:rsidRPr="00383319" w:rsidRDefault="00383319" w:rsidP="00D6454E">
      <w:pPr>
        <w:tabs>
          <w:tab w:val="left" w:pos="709"/>
        </w:tabs>
        <w:autoSpaceDE w:val="0"/>
        <w:spacing w:after="0" w:line="240" w:lineRule="auto"/>
        <w:ind w:left="426" w:right="340"/>
        <w:jc w:val="both"/>
        <w:rPr>
          <w:rFonts w:ascii="Times New Roman" w:eastAsia="Times New Roman" w:hAnsi="Times New Roman" w:cs="Times New Roman"/>
          <w:b/>
          <w:bCs/>
          <w:sz w:val="24"/>
          <w:szCs w:val="24"/>
          <w:lang w:val="bg-BG"/>
        </w:rPr>
      </w:pPr>
    </w:p>
    <w:tbl>
      <w:tblPr>
        <w:tblW w:w="0" w:type="auto"/>
        <w:jc w:val="center"/>
        <w:tblLayout w:type="fixed"/>
        <w:tblLook w:val="0000" w:firstRow="0" w:lastRow="0" w:firstColumn="0" w:lastColumn="0" w:noHBand="0" w:noVBand="0"/>
      </w:tblPr>
      <w:tblGrid>
        <w:gridCol w:w="4428"/>
        <w:gridCol w:w="5324"/>
      </w:tblGrid>
      <w:tr w:rsidR="00383319" w:rsidRPr="00383319" w14:paraId="41AC36E8" w14:textId="77777777" w:rsidTr="00D6454E">
        <w:trPr>
          <w:cantSplit/>
          <w:jc w:val="center"/>
        </w:trPr>
        <w:tc>
          <w:tcPr>
            <w:tcW w:w="9752" w:type="dxa"/>
            <w:gridSpan w:val="2"/>
            <w:tcBorders>
              <w:top w:val="single" w:sz="4" w:space="0" w:color="000000"/>
              <w:left w:val="single" w:sz="4" w:space="0" w:color="000000"/>
              <w:bottom w:val="single" w:sz="4" w:space="0" w:color="000000"/>
              <w:right w:val="single" w:sz="4" w:space="0" w:color="000000"/>
            </w:tcBorders>
          </w:tcPr>
          <w:p w14:paraId="79EF83E3"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
                <w:sz w:val="24"/>
                <w:szCs w:val="24"/>
                <w:lang w:val="bg-BG"/>
              </w:rPr>
            </w:pPr>
            <w:r w:rsidRPr="00383319">
              <w:rPr>
                <w:rFonts w:ascii="Times New Roman" w:eastAsia="Times New Roman" w:hAnsi="Times New Roman" w:cs="Times New Roman"/>
                <w:b/>
                <w:sz w:val="24"/>
                <w:szCs w:val="24"/>
                <w:lang w:val="bg-BG"/>
              </w:rPr>
              <w:t>ІІІ.2.</w:t>
            </w:r>
            <w:r w:rsidRPr="00383319">
              <w:rPr>
                <w:rFonts w:ascii="Times New Roman" w:eastAsia="Times New Roman" w:hAnsi="Times New Roman" w:cs="Times New Roman"/>
                <w:b/>
                <w:sz w:val="24"/>
                <w:szCs w:val="24"/>
              </w:rPr>
              <w:t>1</w:t>
            </w:r>
            <w:r w:rsidRPr="00383319">
              <w:rPr>
                <w:rFonts w:ascii="Times New Roman" w:eastAsia="Times New Roman" w:hAnsi="Times New Roman" w:cs="Times New Roman"/>
                <w:b/>
                <w:sz w:val="24"/>
                <w:szCs w:val="24"/>
                <w:lang w:val="bg-BG"/>
              </w:rPr>
              <w:t>) Правен статус</w:t>
            </w:r>
          </w:p>
          <w:p w14:paraId="74A38EDA"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bCs/>
                <w:sz w:val="24"/>
                <w:szCs w:val="24"/>
                <w:lang w:val="bg-BG"/>
              </w:rPr>
            </w:pPr>
          </w:p>
        </w:tc>
      </w:tr>
      <w:tr w:rsidR="00383319" w:rsidRPr="00383319" w14:paraId="0CF72B24" w14:textId="77777777" w:rsidTr="00D6454E">
        <w:trPr>
          <w:cantSplit/>
          <w:jc w:val="center"/>
        </w:trPr>
        <w:tc>
          <w:tcPr>
            <w:tcW w:w="9752" w:type="dxa"/>
            <w:gridSpan w:val="2"/>
            <w:tcBorders>
              <w:left w:val="single" w:sz="4" w:space="0" w:color="000000"/>
              <w:bottom w:val="single" w:sz="4" w:space="0" w:color="000000"/>
              <w:right w:val="single" w:sz="4" w:space="0" w:color="000000"/>
            </w:tcBorders>
          </w:tcPr>
          <w:p w14:paraId="06C349E9" w14:textId="77777777" w:rsidR="00383319" w:rsidRPr="00383319" w:rsidRDefault="00383319" w:rsidP="00D6454E">
            <w:pPr>
              <w:tabs>
                <w:tab w:val="left" w:pos="709"/>
              </w:tabs>
              <w:autoSpaceDE w:val="0"/>
              <w:snapToGrid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Изискуеми документи:</w:t>
            </w:r>
          </w:p>
        </w:tc>
      </w:tr>
      <w:tr w:rsidR="00383319" w:rsidRPr="00383319" w14:paraId="53ADBF09" w14:textId="77777777" w:rsidTr="00D6454E">
        <w:trPr>
          <w:cantSplit/>
          <w:jc w:val="center"/>
        </w:trPr>
        <w:tc>
          <w:tcPr>
            <w:tcW w:w="9752" w:type="dxa"/>
            <w:gridSpan w:val="2"/>
            <w:tcBorders>
              <w:left w:val="single" w:sz="4" w:space="0" w:color="000000"/>
              <w:bottom w:val="single" w:sz="4" w:space="0" w:color="000000"/>
              <w:right w:val="single" w:sz="4" w:space="0" w:color="000000"/>
            </w:tcBorders>
          </w:tcPr>
          <w:p w14:paraId="013EC01A" w14:textId="38C60A18" w:rsidR="00383319" w:rsidRPr="00383319" w:rsidRDefault="007B29D8" w:rsidP="00D6454E">
            <w:pPr>
              <w:numPr>
                <w:ilvl w:val="0"/>
                <w:numId w:val="1"/>
              </w:numPr>
              <w:tabs>
                <w:tab w:val="num" w:pos="289"/>
              </w:tabs>
              <w:spacing w:after="0" w:line="240" w:lineRule="auto"/>
              <w:ind w:left="62" w:right="340" w:firstLine="0"/>
              <w:jc w:val="both"/>
              <w:rPr>
                <w:rFonts w:ascii="Times New Roman" w:eastAsia="Times New Roman" w:hAnsi="Times New Roman" w:cs="Times New Roman"/>
                <w:sz w:val="24"/>
                <w:szCs w:val="20"/>
                <w:lang w:val="bg-BG"/>
              </w:rPr>
            </w:pPr>
            <w:r>
              <w:rPr>
                <w:rFonts w:ascii="Times New Roman" w:eastAsia="Times New Roman" w:hAnsi="Times New Roman" w:cs="Times New Roman"/>
                <w:sz w:val="24"/>
                <w:szCs w:val="20"/>
                <w:lang w:val="bg-BG"/>
              </w:rPr>
              <w:lastRenderedPageBreak/>
              <w:t xml:space="preserve">1. </w:t>
            </w:r>
            <w:r w:rsidR="00383319" w:rsidRPr="00383319">
              <w:rPr>
                <w:rFonts w:ascii="Times New Roman" w:eastAsia="Times New Roman" w:hAnsi="Times New Roman" w:cs="Times New Roman"/>
                <w:sz w:val="24"/>
                <w:szCs w:val="20"/>
                <w:lang w:val="bg-BG"/>
              </w:rPr>
              <w:t>Декларация с посочване на ЕИК (по образец № 1, приложен към настоящата публична покана) или Удостоверение за актуално състояние, а когато участникът е физическо лице - документ за самоличност.</w:t>
            </w:r>
          </w:p>
          <w:p w14:paraId="5F5C4583" w14:textId="77777777" w:rsidR="00383319" w:rsidRPr="00383319" w:rsidRDefault="00383319" w:rsidP="00D6454E">
            <w:pPr>
              <w:tabs>
                <w:tab w:val="num" w:pos="289"/>
              </w:tabs>
              <w:spacing w:after="0" w:line="240" w:lineRule="auto"/>
              <w:ind w:left="62" w:right="340"/>
              <w:jc w:val="both"/>
              <w:rPr>
                <w:rFonts w:ascii="Times New Roman" w:eastAsia="Times New Roman" w:hAnsi="Times New Roman" w:cs="Times New Roman"/>
                <w:i/>
                <w:sz w:val="24"/>
                <w:szCs w:val="20"/>
                <w:lang w:val="bg-BG"/>
              </w:rPr>
            </w:pPr>
            <w:r w:rsidRPr="00383319">
              <w:rPr>
                <w:rFonts w:ascii="Times New Roman" w:eastAsia="Times New Roman" w:hAnsi="Times New Roman" w:cs="Times New Roman"/>
                <w:i/>
                <w:sz w:val="24"/>
                <w:szCs w:val="20"/>
                <w:lang w:val="bg-BG"/>
              </w:rPr>
              <w:t>Забележка: При условие, че кандидатът-търговец е регистриран съгласно Закона за търговския регистър (ЗТР), документ, удостоверяващ неговото актуално състояние не се изисква, ако представи декларация с посочване на ЕИК (Единен идентификационен код), съгласно чл. 23 от Закона за търговския регистър. В случай, че се представя удостоверение за актуално състояние, то следва да бъде издадено не по-рано от 6 месеца преди датата на подаване на офертата. Когато кандидатът е физическо лице, се представя копие от документа за самоличност.</w:t>
            </w:r>
            <w:r w:rsidRPr="00383319">
              <w:rPr>
                <w:rFonts w:ascii="HebarU" w:eastAsia="Times New Roman" w:hAnsi="HebarU" w:cs="Times New Roman"/>
                <w:sz w:val="24"/>
                <w:szCs w:val="20"/>
                <w:lang w:val="bg-BG"/>
              </w:rPr>
              <w:t xml:space="preserve"> </w:t>
            </w:r>
            <w:r w:rsidRPr="00383319">
              <w:rPr>
                <w:rFonts w:ascii="Times New Roman" w:eastAsia="Times New Roman" w:hAnsi="Times New Roman" w:cs="Times New Roman"/>
                <w:i/>
                <w:sz w:val="24"/>
                <w:szCs w:val="20"/>
                <w:lang w:val="bg-BG"/>
              </w:rPr>
              <w:t>За чуждестранните лица – съответен еквивалентен/ни документ/и, издаден/и от съдебен или административен орган в държавата, в която е установен.</w:t>
            </w:r>
          </w:p>
          <w:p w14:paraId="71E3A8E6" w14:textId="57EC400E" w:rsidR="00383319" w:rsidRPr="00383319" w:rsidRDefault="00383319" w:rsidP="00D6454E">
            <w:pPr>
              <w:numPr>
                <w:ilvl w:val="0"/>
                <w:numId w:val="1"/>
              </w:numPr>
              <w:tabs>
                <w:tab w:val="clear" w:pos="720"/>
                <w:tab w:val="left" w:pos="268"/>
                <w:tab w:val="num" w:pos="856"/>
              </w:tabs>
              <w:spacing w:after="0" w:line="240" w:lineRule="auto"/>
              <w:ind w:left="62" w:right="340" w:firstLine="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0"/>
                <w:lang w:val="bg-BG"/>
              </w:rPr>
              <w:t>Декларация</w:t>
            </w:r>
            <w:r w:rsidRPr="00383319">
              <w:rPr>
                <w:rFonts w:ascii="Times New Roman" w:eastAsia="Times New Roman" w:hAnsi="Times New Roman" w:cs="Times New Roman"/>
                <w:sz w:val="24"/>
                <w:szCs w:val="24"/>
                <w:lang w:val="bg-BG"/>
              </w:rPr>
              <w:t xml:space="preserve"> по чл. 12, ал. 1, т. 1 от ПМС №</w:t>
            </w:r>
            <w:r w:rsidR="007B29D8">
              <w:rPr>
                <w:rFonts w:ascii="Times New Roman" w:eastAsia="Times New Roman" w:hAnsi="Times New Roman" w:cs="Times New Roman"/>
                <w:sz w:val="24"/>
                <w:szCs w:val="24"/>
                <w:lang w:val="bg-BG"/>
              </w:rPr>
              <w:t xml:space="preserve"> 4</w:t>
            </w:r>
            <w:r w:rsidRPr="00383319">
              <w:rPr>
                <w:rFonts w:ascii="Times New Roman" w:eastAsia="Times New Roman" w:hAnsi="Times New Roman" w:cs="Times New Roman"/>
                <w:sz w:val="24"/>
                <w:szCs w:val="24"/>
                <w:lang w:val="bg-BG"/>
              </w:rPr>
              <w:t>/</w:t>
            </w:r>
            <w:r w:rsidR="007B29D8">
              <w:rPr>
                <w:rFonts w:ascii="Times New Roman" w:eastAsia="Times New Roman" w:hAnsi="Times New Roman" w:cs="Times New Roman"/>
                <w:sz w:val="24"/>
                <w:szCs w:val="24"/>
                <w:lang w:val="bg-BG"/>
              </w:rPr>
              <w:t>1</w:t>
            </w:r>
            <w:r w:rsidRPr="00383319">
              <w:rPr>
                <w:rFonts w:ascii="Times New Roman" w:eastAsia="Times New Roman" w:hAnsi="Times New Roman" w:cs="Times New Roman"/>
                <w:sz w:val="24"/>
                <w:szCs w:val="24"/>
                <w:lang w:val="bg-BG"/>
              </w:rPr>
              <w:t>1.0</w:t>
            </w:r>
            <w:r w:rsidR="007B29D8">
              <w:rPr>
                <w:rFonts w:ascii="Times New Roman" w:eastAsia="Times New Roman" w:hAnsi="Times New Roman" w:cs="Times New Roman"/>
                <w:sz w:val="24"/>
                <w:szCs w:val="24"/>
                <w:lang w:val="bg-BG"/>
              </w:rPr>
              <w:t>1</w:t>
            </w:r>
            <w:r w:rsidRPr="00383319">
              <w:rPr>
                <w:rFonts w:ascii="Times New Roman" w:eastAsia="Times New Roman" w:hAnsi="Times New Roman" w:cs="Times New Roman"/>
                <w:sz w:val="24"/>
                <w:szCs w:val="24"/>
                <w:lang w:val="bg-BG"/>
              </w:rPr>
              <w:t>.20</w:t>
            </w:r>
            <w:r w:rsidR="007B29D8">
              <w:rPr>
                <w:rFonts w:ascii="Times New Roman" w:eastAsia="Times New Roman" w:hAnsi="Times New Roman" w:cs="Times New Roman"/>
                <w:sz w:val="24"/>
                <w:szCs w:val="24"/>
                <w:lang w:val="bg-BG"/>
              </w:rPr>
              <w:t>24</w:t>
            </w:r>
            <w:r w:rsidRPr="00383319">
              <w:rPr>
                <w:rFonts w:ascii="Times New Roman" w:eastAsia="Times New Roman" w:hAnsi="Times New Roman" w:cs="Times New Roman"/>
                <w:sz w:val="24"/>
                <w:szCs w:val="24"/>
                <w:lang w:val="bg-BG"/>
              </w:rPr>
              <w:t xml:space="preserve"> г. (по образец № 2, приложен към настоящата публична покана). </w:t>
            </w:r>
          </w:p>
          <w:p w14:paraId="45D383F4" w14:textId="5FD2312A" w:rsidR="00383319" w:rsidRPr="00383319" w:rsidRDefault="00383319" w:rsidP="00D6454E">
            <w:pPr>
              <w:tabs>
                <w:tab w:val="left" w:pos="268"/>
              </w:tabs>
              <w:spacing w:after="0" w:line="240" w:lineRule="auto"/>
              <w:ind w:left="62" w:right="340"/>
              <w:jc w:val="both"/>
              <w:rPr>
                <w:rFonts w:ascii="Times New Roman" w:eastAsia="Times New Roman" w:hAnsi="Times New Roman" w:cs="Times New Roman"/>
                <w:i/>
                <w:sz w:val="24"/>
                <w:szCs w:val="24"/>
                <w:lang w:val="bg-BG"/>
              </w:rPr>
            </w:pPr>
            <w:r w:rsidRPr="00383319">
              <w:rPr>
                <w:rFonts w:ascii="Times New Roman" w:eastAsia="Times New Roman" w:hAnsi="Times New Roman" w:cs="Times New Roman"/>
                <w:i/>
                <w:sz w:val="24"/>
                <w:szCs w:val="24"/>
                <w:lang w:val="bg-BG"/>
              </w:rPr>
              <w:t xml:space="preserve">Забележка: Когато деклараторът е чуждестранно юридическо или физическо лице, декларацията се представя и в превод. Чуждестранните юридически и физически лица удостоверяват, че за тях не са налице обстоятелствата по чл. 12, ал.1, т. 1, във връзка с чл. 8, ал. 3, т. 2 от ПМС № </w:t>
            </w:r>
            <w:r w:rsidR="0033313F">
              <w:rPr>
                <w:rFonts w:ascii="Times New Roman" w:eastAsia="Times New Roman" w:hAnsi="Times New Roman" w:cs="Times New Roman"/>
                <w:i/>
                <w:sz w:val="24"/>
                <w:szCs w:val="24"/>
                <w:lang w:val="bg-BG"/>
              </w:rPr>
              <w:t>4</w:t>
            </w:r>
            <w:r w:rsidR="0033313F" w:rsidRPr="00383319">
              <w:rPr>
                <w:rFonts w:ascii="Times New Roman" w:eastAsia="Times New Roman" w:hAnsi="Times New Roman" w:cs="Times New Roman"/>
                <w:i/>
                <w:sz w:val="24"/>
                <w:szCs w:val="24"/>
                <w:lang w:val="bg-BG"/>
              </w:rPr>
              <w:t xml:space="preserve"> </w:t>
            </w:r>
            <w:r w:rsidRPr="00383319">
              <w:rPr>
                <w:rFonts w:ascii="Times New Roman" w:eastAsia="Times New Roman" w:hAnsi="Times New Roman" w:cs="Times New Roman"/>
                <w:i/>
                <w:sz w:val="24"/>
                <w:szCs w:val="24"/>
                <w:lang w:val="bg-BG"/>
              </w:rPr>
              <w:t xml:space="preserve">от </w:t>
            </w:r>
            <w:r w:rsidR="0033313F">
              <w:rPr>
                <w:rFonts w:ascii="Times New Roman" w:eastAsia="Times New Roman" w:hAnsi="Times New Roman" w:cs="Times New Roman"/>
                <w:i/>
                <w:sz w:val="24"/>
                <w:szCs w:val="24"/>
                <w:lang w:val="bg-BG"/>
              </w:rPr>
              <w:t>1</w:t>
            </w:r>
            <w:r w:rsidRPr="00383319">
              <w:rPr>
                <w:rFonts w:ascii="Times New Roman" w:eastAsia="Times New Roman" w:hAnsi="Times New Roman" w:cs="Times New Roman"/>
                <w:i/>
                <w:sz w:val="24"/>
                <w:szCs w:val="24"/>
                <w:lang w:val="bg-BG"/>
              </w:rPr>
              <w:t>1.0</w:t>
            </w:r>
            <w:r w:rsidR="0033313F">
              <w:rPr>
                <w:rFonts w:ascii="Times New Roman" w:eastAsia="Times New Roman" w:hAnsi="Times New Roman" w:cs="Times New Roman"/>
                <w:i/>
                <w:sz w:val="24"/>
                <w:szCs w:val="24"/>
                <w:lang w:val="bg-BG"/>
              </w:rPr>
              <w:t>1</w:t>
            </w:r>
            <w:r w:rsidRPr="00383319">
              <w:rPr>
                <w:rFonts w:ascii="Times New Roman" w:eastAsia="Times New Roman" w:hAnsi="Times New Roman" w:cs="Times New Roman"/>
                <w:i/>
                <w:sz w:val="24"/>
                <w:szCs w:val="24"/>
                <w:lang w:val="bg-BG"/>
              </w:rPr>
              <w:t>.20</w:t>
            </w:r>
            <w:r w:rsidR="0033313F">
              <w:rPr>
                <w:rFonts w:ascii="Times New Roman" w:eastAsia="Times New Roman" w:hAnsi="Times New Roman" w:cs="Times New Roman"/>
                <w:i/>
                <w:sz w:val="24"/>
                <w:szCs w:val="24"/>
                <w:lang w:val="bg-BG"/>
              </w:rPr>
              <w:t>24</w:t>
            </w:r>
            <w:r w:rsidRPr="00383319">
              <w:rPr>
                <w:rFonts w:ascii="Times New Roman" w:eastAsia="Times New Roman" w:hAnsi="Times New Roman" w:cs="Times New Roman"/>
                <w:i/>
                <w:sz w:val="24"/>
                <w:szCs w:val="24"/>
                <w:lang w:val="bg-BG"/>
              </w:rPr>
              <w:t xml:space="preserve"> г., във връзка с чл.54, ал.1 от ЗОП съгласно законодателството на държавата в която са установени. Когато в съответната чужда държава документите по чл. 12, ал.1, т. 1, във връзка с чл. 8, ал. 3, т. 2 от ПМС № </w:t>
            </w:r>
            <w:r w:rsidR="0033313F">
              <w:rPr>
                <w:rFonts w:ascii="Times New Roman" w:eastAsia="Times New Roman" w:hAnsi="Times New Roman" w:cs="Times New Roman"/>
                <w:i/>
                <w:sz w:val="24"/>
                <w:szCs w:val="24"/>
                <w:lang w:val="bg-BG"/>
              </w:rPr>
              <w:t>4</w:t>
            </w:r>
            <w:r w:rsidR="0033313F" w:rsidRPr="00383319">
              <w:rPr>
                <w:rFonts w:ascii="Times New Roman" w:eastAsia="Times New Roman" w:hAnsi="Times New Roman" w:cs="Times New Roman"/>
                <w:i/>
                <w:sz w:val="24"/>
                <w:szCs w:val="24"/>
                <w:lang w:val="bg-BG"/>
              </w:rPr>
              <w:t xml:space="preserve"> </w:t>
            </w:r>
            <w:r w:rsidRPr="00383319">
              <w:rPr>
                <w:rFonts w:ascii="Times New Roman" w:eastAsia="Times New Roman" w:hAnsi="Times New Roman" w:cs="Times New Roman"/>
                <w:i/>
                <w:sz w:val="24"/>
                <w:szCs w:val="24"/>
                <w:lang w:val="bg-BG"/>
              </w:rPr>
              <w:t xml:space="preserve">от </w:t>
            </w:r>
            <w:r w:rsidR="0033313F">
              <w:rPr>
                <w:rFonts w:ascii="Times New Roman" w:eastAsia="Times New Roman" w:hAnsi="Times New Roman" w:cs="Times New Roman"/>
                <w:i/>
                <w:sz w:val="24"/>
                <w:szCs w:val="24"/>
                <w:lang w:val="bg-BG"/>
              </w:rPr>
              <w:t>1</w:t>
            </w:r>
            <w:r w:rsidRPr="00383319">
              <w:rPr>
                <w:rFonts w:ascii="Times New Roman" w:eastAsia="Times New Roman" w:hAnsi="Times New Roman" w:cs="Times New Roman"/>
                <w:i/>
                <w:sz w:val="24"/>
                <w:szCs w:val="24"/>
                <w:lang w:val="bg-BG"/>
              </w:rPr>
              <w:t>1.0</w:t>
            </w:r>
            <w:r w:rsidR="0033313F">
              <w:rPr>
                <w:rFonts w:ascii="Times New Roman" w:eastAsia="Times New Roman" w:hAnsi="Times New Roman" w:cs="Times New Roman"/>
                <w:i/>
                <w:sz w:val="24"/>
                <w:szCs w:val="24"/>
                <w:lang w:val="bg-BG"/>
              </w:rPr>
              <w:t>1</w:t>
            </w:r>
            <w:r w:rsidRPr="00383319">
              <w:rPr>
                <w:rFonts w:ascii="Times New Roman" w:eastAsia="Times New Roman" w:hAnsi="Times New Roman" w:cs="Times New Roman"/>
                <w:i/>
                <w:sz w:val="24"/>
                <w:szCs w:val="24"/>
                <w:lang w:val="bg-BG"/>
              </w:rPr>
              <w:t>.20</w:t>
            </w:r>
            <w:r w:rsidR="0033313F">
              <w:rPr>
                <w:rFonts w:ascii="Times New Roman" w:eastAsia="Times New Roman" w:hAnsi="Times New Roman" w:cs="Times New Roman"/>
                <w:i/>
                <w:sz w:val="24"/>
                <w:szCs w:val="24"/>
                <w:lang w:val="bg-BG"/>
              </w:rPr>
              <w:t>24</w:t>
            </w:r>
            <w:r w:rsidRPr="00383319">
              <w:rPr>
                <w:rFonts w:ascii="Times New Roman" w:eastAsia="Times New Roman" w:hAnsi="Times New Roman" w:cs="Times New Roman"/>
                <w:i/>
                <w:sz w:val="24"/>
                <w:szCs w:val="24"/>
                <w:lang w:val="bg-BG"/>
              </w:rPr>
              <w:t xml:space="preserve"> г., във връзка с чл.54, ал.1 от ЗОП не включват всички изброени хипотези в горепосочените разпоредби, кандидатът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w:t>
            </w:r>
          </w:p>
          <w:p w14:paraId="5E79FFFB" w14:textId="77777777" w:rsidR="00383319" w:rsidRPr="00383319" w:rsidRDefault="00383319" w:rsidP="00D6454E">
            <w:pPr>
              <w:tabs>
                <w:tab w:val="left" w:pos="268"/>
              </w:tabs>
              <w:spacing w:after="0" w:line="240" w:lineRule="auto"/>
              <w:ind w:left="62" w:right="340"/>
              <w:jc w:val="both"/>
              <w:rPr>
                <w:rFonts w:ascii="Times New Roman" w:eastAsia="Times New Roman" w:hAnsi="Times New Roman" w:cs="Times New Roman"/>
                <w:i/>
                <w:sz w:val="24"/>
                <w:szCs w:val="24"/>
                <w:lang w:val="bg-BG"/>
              </w:rPr>
            </w:pPr>
            <w:r w:rsidRPr="00383319">
              <w:rPr>
                <w:rFonts w:ascii="Times New Roman" w:eastAsia="Times New Roman" w:hAnsi="Times New Roman" w:cs="Times New Roman"/>
                <w:i/>
                <w:sz w:val="24"/>
                <w:szCs w:val="24"/>
                <w:lang w:val="bg-BG"/>
              </w:rPr>
              <w:t>държавата, в която той е установен.</w:t>
            </w:r>
          </w:p>
          <w:p w14:paraId="095E1FF2" w14:textId="77777777" w:rsidR="00383319" w:rsidRPr="00383319" w:rsidRDefault="00383319" w:rsidP="00D6454E">
            <w:pPr>
              <w:numPr>
                <w:ilvl w:val="0"/>
                <w:numId w:val="1"/>
              </w:numPr>
              <w:tabs>
                <w:tab w:val="clear" w:pos="720"/>
                <w:tab w:val="left" w:pos="268"/>
              </w:tabs>
              <w:spacing w:after="0" w:line="240" w:lineRule="auto"/>
              <w:ind w:left="62" w:right="340" w:firstLine="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Пълномощно за лицето, подписало офертата, ако е различно от представляващия кандидата.</w:t>
            </w:r>
            <w:r w:rsidRPr="00383319">
              <w:rPr>
                <w:rFonts w:ascii="Times New Roman" w:eastAsia="Times New Roman" w:hAnsi="Times New Roman" w:cs="Times New Roman"/>
                <w:sz w:val="24"/>
                <w:szCs w:val="24"/>
                <w:lang w:val="bg-BG"/>
              </w:rPr>
              <w:cr/>
            </w:r>
          </w:p>
          <w:p w14:paraId="7AFC3FA2" w14:textId="77777777" w:rsidR="00383319" w:rsidRPr="00383319" w:rsidRDefault="00383319" w:rsidP="00D6454E">
            <w:pPr>
              <w:tabs>
                <w:tab w:val="left" w:pos="268"/>
              </w:tabs>
              <w:autoSpaceDE w:val="0"/>
              <w:autoSpaceDN w:val="0"/>
              <w:adjustRightInd w:val="0"/>
              <w:spacing w:after="0" w:line="240" w:lineRule="auto"/>
              <w:ind w:left="62"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iCs/>
                <w:color w:val="000000"/>
                <w:sz w:val="24"/>
                <w:szCs w:val="24"/>
                <w:lang w:val="bg-BG" w:eastAsia="bg-BG"/>
              </w:rPr>
              <w:t xml:space="preserve">В случай че кандидатът е обединение, посочените документи по т. 1 и т. 2 се подават от всеки един от членовете на обединението. В този случай се прилагат и следните документи: </w:t>
            </w:r>
          </w:p>
          <w:p w14:paraId="3A2216F3" w14:textId="77777777" w:rsidR="00383319" w:rsidRPr="00383319" w:rsidRDefault="00383319" w:rsidP="00D6454E">
            <w:pPr>
              <w:tabs>
                <w:tab w:val="left" w:pos="268"/>
              </w:tabs>
              <w:autoSpaceDE w:val="0"/>
              <w:autoSpaceDN w:val="0"/>
              <w:adjustRightInd w:val="0"/>
              <w:spacing w:after="0" w:line="240" w:lineRule="auto"/>
              <w:ind w:left="62"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iCs/>
                <w:color w:val="000000"/>
                <w:sz w:val="24"/>
                <w:szCs w:val="24"/>
                <w:lang w:val="bg-BG" w:eastAsia="bg-BG"/>
              </w:rPr>
              <w:t xml:space="preserve">(а) за обединения, които не са юридически лица, следва да се представят: Договор за учредяване (заверено от кандидата с подпис, печат и „Вярно с оригинала” копие), в който са посочени представляващия/те обединението. Когато в договора не е посочено лицето, което представлява участниците в обединението се представя и документ, подписан от лицата в обединението, в който изрично се посочва представляващият; </w:t>
            </w:r>
          </w:p>
          <w:p w14:paraId="48D72DBC" w14:textId="77777777" w:rsidR="00383319" w:rsidRPr="00383319" w:rsidRDefault="00383319" w:rsidP="00D6454E">
            <w:pPr>
              <w:tabs>
                <w:tab w:val="left" w:pos="268"/>
              </w:tabs>
              <w:autoSpaceDE w:val="0"/>
              <w:autoSpaceDN w:val="0"/>
              <w:adjustRightInd w:val="0"/>
              <w:spacing w:after="0" w:line="240" w:lineRule="auto"/>
              <w:ind w:left="62"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iCs/>
                <w:color w:val="000000"/>
                <w:sz w:val="24"/>
                <w:szCs w:val="24"/>
                <w:lang w:val="bg-BG" w:eastAsia="bg-BG"/>
              </w:rPr>
              <w:t xml:space="preserve">(б) В случай, че кандидатът-обединение не е вписан в регистър Булстат към момента на представяне на офертата си и бъде избран за изпълнител, обединението следва да представи удостоверение за регистрация по ЕИК или Булстат при подписване на договор за изпълнение. </w:t>
            </w:r>
          </w:p>
          <w:p w14:paraId="02026DC0" w14:textId="77777777" w:rsidR="00383319" w:rsidRPr="00383319" w:rsidRDefault="00383319" w:rsidP="00D6454E">
            <w:pPr>
              <w:tabs>
                <w:tab w:val="left" w:pos="268"/>
              </w:tabs>
              <w:spacing w:after="0" w:line="240" w:lineRule="auto"/>
              <w:ind w:left="62" w:right="340"/>
              <w:jc w:val="both"/>
              <w:rPr>
                <w:rFonts w:ascii="Times New Roman" w:eastAsia="Times New Roman" w:hAnsi="Times New Roman" w:cs="Times New Roman"/>
                <w:iCs/>
                <w:sz w:val="24"/>
                <w:szCs w:val="24"/>
                <w:lang w:val="bg-BG"/>
              </w:rPr>
            </w:pPr>
            <w:r w:rsidRPr="00383319">
              <w:rPr>
                <w:rFonts w:ascii="Times New Roman" w:eastAsia="Times New Roman" w:hAnsi="Times New Roman" w:cs="Times New Roman"/>
                <w:iCs/>
                <w:sz w:val="24"/>
                <w:szCs w:val="24"/>
                <w:lang w:val="bg-BG"/>
              </w:rPr>
              <w:t xml:space="preserve">Когато е заявено участие на подизпълнител/и, документите по т. 1 и т. 2 се прилагат и за него/тях. </w:t>
            </w:r>
          </w:p>
          <w:p w14:paraId="32391A2B" w14:textId="77777777" w:rsidR="00383319" w:rsidRPr="00383319" w:rsidRDefault="00383319" w:rsidP="00D6454E">
            <w:pPr>
              <w:tabs>
                <w:tab w:val="left" w:pos="268"/>
              </w:tabs>
              <w:spacing w:after="0" w:line="240" w:lineRule="auto"/>
              <w:ind w:left="62" w:right="340"/>
              <w:jc w:val="both"/>
              <w:rPr>
                <w:rFonts w:ascii="Times New Roman" w:eastAsia="Times New Roman" w:hAnsi="Times New Roman" w:cs="Times New Roman"/>
                <w:i/>
                <w:sz w:val="24"/>
                <w:szCs w:val="24"/>
                <w:lang w:val="bg-BG"/>
              </w:rPr>
            </w:pPr>
            <w:r w:rsidRPr="00383319">
              <w:rPr>
                <w:rFonts w:ascii="Times New Roman" w:eastAsia="Times New Roman" w:hAnsi="Times New Roman" w:cs="Times New Roman"/>
                <w:i/>
                <w:sz w:val="24"/>
                <w:szCs w:val="24"/>
                <w:lang w:val="bg-BG"/>
              </w:rPr>
              <w:t>Забележка: Лице, което участва в обединение или е дало съгласие и фигурира като подизпълнител в офертата на друг участник, не може да представя самостоятелна оферта. В процедурата за възлагане на поръчка, едно физическо или юридическо лице може да участва само в едно обединение.</w:t>
            </w:r>
          </w:p>
        </w:tc>
      </w:tr>
      <w:tr w:rsidR="00383319" w:rsidRPr="00383319" w14:paraId="06619487" w14:textId="77777777" w:rsidTr="00D6454E">
        <w:trPr>
          <w:cantSplit/>
          <w:trHeight w:val="485"/>
          <w:jc w:val="center"/>
        </w:trPr>
        <w:tc>
          <w:tcPr>
            <w:tcW w:w="9752" w:type="dxa"/>
            <w:gridSpan w:val="2"/>
            <w:tcBorders>
              <w:left w:val="single" w:sz="4" w:space="0" w:color="000000"/>
              <w:bottom w:val="single" w:sz="4" w:space="0" w:color="000000"/>
              <w:right w:val="single" w:sz="4" w:space="0" w:color="000000"/>
            </w:tcBorders>
          </w:tcPr>
          <w:p w14:paraId="4B869DD3" w14:textId="29295810" w:rsidR="00383319" w:rsidRPr="00383319" w:rsidRDefault="00383319" w:rsidP="00D6454E">
            <w:pPr>
              <w:tabs>
                <w:tab w:val="center" w:pos="4153"/>
                <w:tab w:val="right" w:pos="8306"/>
              </w:tabs>
              <w:autoSpaceDE w:val="0"/>
              <w:snapToGrid w:val="0"/>
              <w:spacing w:after="0" w:line="240" w:lineRule="auto"/>
              <w:ind w:left="62"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lastRenderedPageBreak/>
              <w:t xml:space="preserve">ІІІ.2.2) Икономически и финансови възможности (по чл. 3, ал. 11 от ПМС № </w:t>
            </w:r>
            <w:r w:rsidR="0033313F">
              <w:rPr>
                <w:rFonts w:ascii="Times New Roman" w:eastAsia="Times New Roman" w:hAnsi="Times New Roman" w:cs="Times New Roman"/>
                <w:b/>
                <w:bCs/>
                <w:sz w:val="24"/>
                <w:szCs w:val="24"/>
                <w:lang w:val="bg-BG"/>
              </w:rPr>
              <w:t>4</w:t>
            </w:r>
            <w:r w:rsidRPr="00383319">
              <w:rPr>
                <w:rFonts w:ascii="Times New Roman" w:eastAsia="Times New Roman" w:hAnsi="Times New Roman" w:cs="Times New Roman"/>
                <w:b/>
                <w:bCs/>
                <w:sz w:val="24"/>
                <w:szCs w:val="24"/>
                <w:lang w:val="bg-BG"/>
              </w:rPr>
              <w:t>/</w:t>
            </w:r>
            <w:r w:rsidR="0033313F">
              <w:rPr>
                <w:rFonts w:ascii="Times New Roman" w:eastAsia="Times New Roman" w:hAnsi="Times New Roman" w:cs="Times New Roman"/>
                <w:b/>
                <w:bCs/>
                <w:sz w:val="24"/>
                <w:szCs w:val="24"/>
                <w:lang w:val="bg-BG"/>
              </w:rPr>
              <w:t>1</w:t>
            </w:r>
            <w:r w:rsidRPr="00383319">
              <w:rPr>
                <w:rFonts w:ascii="Times New Roman" w:eastAsia="Times New Roman" w:hAnsi="Times New Roman" w:cs="Times New Roman"/>
                <w:b/>
                <w:bCs/>
                <w:sz w:val="24"/>
                <w:szCs w:val="24"/>
                <w:lang w:val="bg-BG"/>
              </w:rPr>
              <w:t>1.0</w:t>
            </w:r>
            <w:r w:rsidR="0033313F">
              <w:rPr>
                <w:rFonts w:ascii="Times New Roman" w:eastAsia="Times New Roman" w:hAnsi="Times New Roman" w:cs="Times New Roman"/>
                <w:b/>
                <w:bCs/>
                <w:sz w:val="24"/>
                <w:szCs w:val="24"/>
                <w:lang w:val="bg-BG"/>
              </w:rPr>
              <w:t>1</w:t>
            </w:r>
            <w:r w:rsidRPr="00383319">
              <w:rPr>
                <w:rFonts w:ascii="Times New Roman" w:eastAsia="Times New Roman" w:hAnsi="Times New Roman" w:cs="Times New Roman"/>
                <w:b/>
                <w:bCs/>
                <w:sz w:val="24"/>
                <w:szCs w:val="24"/>
                <w:lang w:val="bg-BG"/>
              </w:rPr>
              <w:t>.20</w:t>
            </w:r>
            <w:r w:rsidR="0033313F">
              <w:rPr>
                <w:rFonts w:ascii="Times New Roman" w:eastAsia="Times New Roman" w:hAnsi="Times New Roman" w:cs="Times New Roman"/>
                <w:b/>
                <w:bCs/>
                <w:sz w:val="24"/>
                <w:szCs w:val="24"/>
                <w:lang w:val="bg-BG"/>
              </w:rPr>
              <w:t>24</w:t>
            </w:r>
            <w:r w:rsidRPr="00383319">
              <w:rPr>
                <w:rFonts w:ascii="Times New Roman" w:eastAsia="Times New Roman" w:hAnsi="Times New Roman" w:cs="Times New Roman"/>
                <w:b/>
                <w:bCs/>
                <w:sz w:val="24"/>
                <w:szCs w:val="24"/>
                <w:lang w:val="bg-BG"/>
              </w:rPr>
              <w:t xml:space="preserve"> г.)</w:t>
            </w:r>
          </w:p>
        </w:tc>
      </w:tr>
      <w:tr w:rsidR="00383319" w:rsidRPr="00383319" w14:paraId="377C17AA" w14:textId="77777777" w:rsidTr="00D6454E">
        <w:trPr>
          <w:trHeight w:val="698"/>
          <w:jc w:val="center"/>
        </w:trPr>
        <w:tc>
          <w:tcPr>
            <w:tcW w:w="4428" w:type="dxa"/>
            <w:tcBorders>
              <w:left w:val="single" w:sz="4" w:space="0" w:color="000000"/>
              <w:bottom w:val="single" w:sz="4" w:space="0" w:color="000000"/>
            </w:tcBorders>
          </w:tcPr>
          <w:p w14:paraId="688BAF98" w14:textId="77777777" w:rsidR="00383319" w:rsidRPr="00383319" w:rsidRDefault="00383319" w:rsidP="00D6454E">
            <w:pPr>
              <w:autoSpaceDE w:val="0"/>
              <w:snapToGrid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Изискуеми документи и информация за икономическите и финансови възможности на кандидата, подаващ оферта по процедурата:</w:t>
            </w:r>
          </w:p>
          <w:p w14:paraId="51DC4F08"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
                <w:bCs/>
                <w:sz w:val="24"/>
                <w:szCs w:val="24"/>
              </w:rPr>
            </w:pPr>
            <w:r w:rsidRPr="00383319">
              <w:rPr>
                <w:rFonts w:ascii="Times New Roman" w:eastAsia="Times New Roman" w:hAnsi="Times New Roman" w:cs="Times New Roman"/>
                <w:bCs/>
                <w:sz w:val="24"/>
                <w:szCs w:val="24"/>
                <w:lang w:val="bg-BG"/>
              </w:rPr>
              <w:t xml:space="preserve">Информация за оборота, който се отнася до предмета на поръчката, най-много за последните 3 приключили финансови години, в зависимост от датата, на която кандидатът е учреден или е започнал дейността си </w:t>
            </w:r>
            <w:r w:rsidRPr="00383319">
              <w:rPr>
                <w:rFonts w:ascii="Times New Roman" w:eastAsia="Times New Roman" w:hAnsi="Times New Roman" w:cs="Times New Roman"/>
                <w:bCs/>
                <w:sz w:val="24"/>
                <w:szCs w:val="24"/>
              </w:rPr>
              <w:t>(</w:t>
            </w:r>
            <w:r w:rsidRPr="00383319">
              <w:rPr>
                <w:rFonts w:ascii="Times New Roman" w:eastAsia="Times New Roman" w:hAnsi="Times New Roman" w:cs="Times New Roman"/>
                <w:bCs/>
                <w:sz w:val="24"/>
                <w:szCs w:val="24"/>
                <w:lang w:val="bg-BG"/>
              </w:rPr>
              <w:t>посочва се в</w:t>
            </w:r>
            <w:r w:rsidRPr="00383319">
              <w:rPr>
                <w:rFonts w:ascii="Times New Roman" w:eastAsia="Times New Roman" w:hAnsi="Times New Roman" w:cs="Times New Roman"/>
                <w:bCs/>
                <w:sz w:val="24"/>
                <w:szCs w:val="24"/>
                <w:lang w:val="bg-BG"/>
              </w:rPr>
              <w:tab/>
              <w:t>Образец № 3а и 3б – оферта или в свободен текст</w:t>
            </w:r>
            <w:r w:rsidRPr="00383319">
              <w:rPr>
                <w:rFonts w:ascii="Times New Roman" w:eastAsia="Times New Roman" w:hAnsi="Times New Roman" w:cs="Times New Roman"/>
                <w:bCs/>
                <w:sz w:val="24"/>
                <w:szCs w:val="24"/>
              </w:rPr>
              <w:t>)</w:t>
            </w:r>
          </w:p>
        </w:tc>
        <w:tc>
          <w:tcPr>
            <w:tcW w:w="5324" w:type="dxa"/>
            <w:tcBorders>
              <w:left w:val="single" w:sz="4" w:space="0" w:color="000000"/>
              <w:bottom w:val="single" w:sz="4" w:space="0" w:color="000000"/>
              <w:right w:val="single" w:sz="4" w:space="0" w:color="000000"/>
            </w:tcBorders>
          </w:tcPr>
          <w:p w14:paraId="0BD0C691" w14:textId="77777777" w:rsidR="00383319" w:rsidRPr="00383319" w:rsidRDefault="00383319" w:rsidP="00D6454E">
            <w:pPr>
              <w:autoSpaceDE w:val="0"/>
              <w:snapToGrid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Минимални изисквания:</w:t>
            </w:r>
          </w:p>
          <w:p w14:paraId="635E684A"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 xml:space="preserve">Кандидатът трябва да има оборот, който се отнася да предмета на поръчката, за последните три приключени финансови години – 2021, 2022 и 2023 г., в зависимост от датата, на която кандидатът е учреден или е започнал дейността си, в размер не по-малко от приблизително два пъти прогнозната стойност на съответната обособена позиция. </w:t>
            </w:r>
          </w:p>
          <w:p w14:paraId="37D3C0E4"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 xml:space="preserve">Конкретно, в числово изражение изискването е: </w:t>
            </w:r>
          </w:p>
          <w:p w14:paraId="519BB4C8" w14:textId="77777777" w:rsidR="00383319" w:rsidRPr="0033313F" w:rsidRDefault="00383319" w:rsidP="00D6454E">
            <w:pPr>
              <w:autoSpaceDE w:val="0"/>
              <w:spacing w:after="0" w:line="240" w:lineRule="auto"/>
              <w:ind w:left="62" w:right="340"/>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 xml:space="preserve">– за обособена позиция №  1 – „Финансово и техническо </w:t>
            </w:r>
            <w:r w:rsidRPr="0033313F">
              <w:rPr>
                <w:rFonts w:ascii="Times New Roman" w:eastAsia="Times New Roman" w:hAnsi="Times New Roman" w:cs="Times New Roman"/>
                <w:bCs/>
                <w:sz w:val="24"/>
                <w:szCs w:val="24"/>
                <w:lang w:val="bg-BG"/>
              </w:rPr>
              <w:t>управление на проекта“ – 300 000,00 лв. без ДДС;</w:t>
            </w:r>
          </w:p>
          <w:p w14:paraId="5D734135" w14:textId="10BBE0F9" w:rsidR="00383319" w:rsidRPr="00383319" w:rsidRDefault="00383319" w:rsidP="00D6454E">
            <w:pPr>
              <w:autoSpaceDE w:val="0"/>
              <w:spacing w:after="0" w:line="240" w:lineRule="auto"/>
              <w:ind w:left="62" w:right="340"/>
              <w:jc w:val="both"/>
              <w:rPr>
                <w:rFonts w:ascii="Times New Roman" w:eastAsia="Times New Roman" w:hAnsi="Times New Roman" w:cs="Times New Roman"/>
                <w:bCs/>
                <w:sz w:val="24"/>
                <w:szCs w:val="24"/>
                <w:lang w:val="bg-BG"/>
              </w:rPr>
            </w:pPr>
            <w:r w:rsidRPr="0033313F">
              <w:rPr>
                <w:rFonts w:ascii="Times New Roman" w:eastAsia="Times New Roman" w:hAnsi="Times New Roman" w:cs="Times New Roman"/>
                <w:bCs/>
                <w:sz w:val="24"/>
                <w:szCs w:val="24"/>
                <w:lang w:val="bg-BG"/>
              </w:rPr>
              <w:t xml:space="preserve">– за обособена позиция №  2 – „Независими услуги по управление на качеството на проекта“ – </w:t>
            </w:r>
            <w:r w:rsidR="00B57E71" w:rsidRPr="00D6454E">
              <w:rPr>
                <w:rFonts w:ascii="Times New Roman" w:eastAsia="Times New Roman" w:hAnsi="Times New Roman" w:cs="Times New Roman"/>
                <w:bCs/>
                <w:sz w:val="24"/>
                <w:szCs w:val="24"/>
                <w:lang w:val="bg-BG"/>
              </w:rPr>
              <w:t>30</w:t>
            </w:r>
            <w:r w:rsidRPr="00D6454E">
              <w:rPr>
                <w:rFonts w:ascii="Times New Roman" w:eastAsia="Times New Roman" w:hAnsi="Times New Roman" w:cs="Times New Roman"/>
                <w:bCs/>
                <w:sz w:val="24"/>
                <w:szCs w:val="24"/>
                <w:lang w:val="bg-BG"/>
              </w:rPr>
              <w:t> 000,00 лв. без ДДС.</w:t>
            </w:r>
          </w:p>
          <w:p w14:paraId="29998551"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Под „оборот, който се отнася до предмета на поръчката“ следва да се разбира:</w:t>
            </w:r>
          </w:p>
          <w:p w14:paraId="019C3FF5"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 за обособена позиция №  1 – „Финансово и техническо управление на проекта“ – оборот, свързан с финансово-счетоводни дейности,</w:t>
            </w:r>
            <w:r w:rsidRPr="00383319">
              <w:rPr>
                <w:rFonts w:ascii="HebarU" w:eastAsia="Times New Roman" w:hAnsi="HebarU" w:cs="Times New Roman"/>
                <w:sz w:val="24"/>
                <w:szCs w:val="20"/>
                <w:lang w:val="bg-BG"/>
              </w:rPr>
              <w:t xml:space="preserve"> </w:t>
            </w:r>
            <w:r w:rsidRPr="00383319">
              <w:rPr>
                <w:rFonts w:ascii="Times New Roman" w:eastAsia="Times New Roman" w:hAnsi="Times New Roman" w:cs="Times New Roman"/>
                <w:bCs/>
                <w:sz w:val="24"/>
                <w:szCs w:val="24"/>
                <w:lang w:val="bg-BG"/>
              </w:rPr>
              <w:t>техническо управление или сходни дейности, свързани с изпълнението, контрола и администрирането на проекти, независимо от вида на финансирането и/или сходен тип дейности;</w:t>
            </w:r>
          </w:p>
          <w:p w14:paraId="624E5113"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Cs/>
                <w:sz w:val="24"/>
                <w:szCs w:val="24"/>
                <w:lang w:val="bg-BG"/>
              </w:rPr>
            </w:pPr>
            <w:r w:rsidRPr="00383319">
              <w:rPr>
                <w:rFonts w:ascii="Times New Roman" w:eastAsia="Times New Roman" w:hAnsi="Times New Roman" w:cs="Times New Roman"/>
                <w:bCs/>
                <w:sz w:val="24"/>
                <w:szCs w:val="24"/>
                <w:lang w:val="bg-BG"/>
              </w:rPr>
              <w:t>– за обособена позиция №  2 – „Независими услуги по управление на качеството на проекта“ – оборот, свързан с управление на качеството по проекти или контролни дейности при изпълнение на проекти, независимо от вида на финансирането и/или сходен тип дейности.</w:t>
            </w:r>
          </w:p>
          <w:p w14:paraId="71893325"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
                <w:bCs/>
                <w:i/>
                <w:iCs/>
                <w:sz w:val="24"/>
                <w:szCs w:val="24"/>
                <w:lang w:val="bg-BG"/>
              </w:rPr>
            </w:pPr>
          </w:p>
        </w:tc>
      </w:tr>
    </w:tbl>
    <w:p w14:paraId="2EA4AD1A"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bCs/>
          <w:sz w:val="24"/>
          <w:szCs w:val="24"/>
          <w:lang w:val="bg-BG"/>
        </w:rPr>
      </w:pPr>
    </w:p>
    <w:p w14:paraId="7E9177D6"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РАЗДЕЛ ІV ПРОЦЕДУРА</w:t>
      </w:r>
    </w:p>
    <w:p w14:paraId="2DAF5231"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bCs/>
          <w:sz w:val="24"/>
          <w:szCs w:val="24"/>
          <w:lang w:val="ru-RU"/>
        </w:rPr>
      </w:pPr>
    </w:p>
    <w:p w14:paraId="39F0E89C"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ІV.1) Критерий за оценка на офертите</w:t>
      </w:r>
    </w:p>
    <w:p w14:paraId="6A187519"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bCs/>
          <w:sz w:val="24"/>
          <w:szCs w:val="24"/>
          <w:lang w:val="bg-BG"/>
        </w:rPr>
      </w:pPr>
    </w:p>
    <w:tbl>
      <w:tblPr>
        <w:tblW w:w="0" w:type="auto"/>
        <w:jc w:val="center"/>
        <w:tblLayout w:type="fixed"/>
        <w:tblLook w:val="0000" w:firstRow="0" w:lastRow="0" w:firstColumn="0" w:lastColumn="0" w:noHBand="0" w:noVBand="0"/>
      </w:tblPr>
      <w:tblGrid>
        <w:gridCol w:w="7201"/>
        <w:gridCol w:w="2551"/>
      </w:tblGrid>
      <w:tr w:rsidR="00383319" w:rsidRPr="00383319" w14:paraId="763B0BDC" w14:textId="77777777" w:rsidTr="00D6454E">
        <w:trPr>
          <w:jc w:val="center"/>
        </w:trPr>
        <w:tc>
          <w:tcPr>
            <w:tcW w:w="9752" w:type="dxa"/>
            <w:gridSpan w:val="2"/>
            <w:tcBorders>
              <w:top w:val="single" w:sz="4" w:space="0" w:color="000000"/>
              <w:left w:val="single" w:sz="4" w:space="0" w:color="000000"/>
              <w:bottom w:val="single" w:sz="4" w:space="0" w:color="000000"/>
              <w:right w:val="single" w:sz="4" w:space="0" w:color="000000"/>
            </w:tcBorders>
          </w:tcPr>
          <w:p w14:paraId="47512469" w14:textId="77777777" w:rsidR="00383319" w:rsidRPr="00383319" w:rsidRDefault="00383319" w:rsidP="00D6454E">
            <w:pPr>
              <w:autoSpaceDE w:val="0"/>
              <w:snapToGrid w:val="0"/>
              <w:spacing w:after="0" w:line="240" w:lineRule="auto"/>
              <w:ind w:left="62"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Икономически най-изгодна оферта съгласно един от следните критерии:</w:t>
            </w:r>
          </w:p>
          <w:p w14:paraId="0EEEB24E"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p>
        </w:tc>
      </w:tr>
      <w:tr w:rsidR="00383319" w:rsidRPr="00383319" w14:paraId="299154B1" w14:textId="77777777" w:rsidTr="00D6454E">
        <w:trPr>
          <w:jc w:val="center"/>
        </w:trPr>
        <w:tc>
          <w:tcPr>
            <w:tcW w:w="9752" w:type="dxa"/>
            <w:gridSpan w:val="2"/>
            <w:tcBorders>
              <w:left w:val="single" w:sz="4" w:space="0" w:color="000000"/>
              <w:bottom w:val="single" w:sz="4" w:space="0" w:color="000000"/>
              <w:right w:val="single" w:sz="4" w:space="0" w:color="000000"/>
            </w:tcBorders>
          </w:tcPr>
          <w:p w14:paraId="5242F999"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най-ниска цена                                                             </w:t>
            </w:r>
            <w:r w:rsidRPr="00383319">
              <w:rPr>
                <w:rFonts w:ascii="Times New Roman" w:eastAsia="Times New Roman" w:hAnsi="Times New Roman" w:cs="Times New Roman"/>
                <w:b/>
                <w:bCs/>
                <w:sz w:val="24"/>
                <w:szCs w:val="24"/>
                <w:lang w:val="bg-BG"/>
              </w:rPr>
              <w:t></w:t>
            </w:r>
          </w:p>
          <w:p w14:paraId="6E6E3407"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p>
          <w:p w14:paraId="14CEDB65"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ниво на разходите, като се отчита разходната ефективност, включително разходите за целия жизнен цикъл                            </w:t>
            </w:r>
            <w:r w:rsidRPr="00383319">
              <w:rPr>
                <w:rFonts w:ascii="Times New Roman" w:eastAsia="Times New Roman" w:hAnsi="Times New Roman" w:cs="Times New Roman"/>
                <w:b/>
                <w:bCs/>
                <w:sz w:val="24"/>
                <w:szCs w:val="24"/>
                <w:lang w:val="bg-BG"/>
              </w:rPr>
              <w:t></w:t>
            </w:r>
          </w:p>
          <w:p w14:paraId="5EC36611"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ru-RU"/>
              </w:rPr>
            </w:pPr>
          </w:p>
          <w:p w14:paraId="092F72BF"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оптимално съотношение качество – цена              </w:t>
            </w:r>
            <w:r w:rsidRPr="00383319">
              <w:rPr>
                <w:rFonts w:ascii="Times New Roman" w:eastAsia="Times New Roman" w:hAnsi="Times New Roman" w:cs="Times New Roman"/>
                <w:b/>
                <w:bCs/>
                <w:sz w:val="24"/>
                <w:szCs w:val="24"/>
                <w:lang w:val="bg-BG"/>
              </w:rPr>
              <w:sym w:font="Wingdings" w:char="F0FD"/>
            </w:r>
          </w:p>
          <w:p w14:paraId="7C51B152"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ru-RU"/>
              </w:rPr>
            </w:pPr>
          </w:p>
          <w:p w14:paraId="650C8FDF"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b/>
                <w:bCs/>
                <w:sz w:val="24"/>
                <w:szCs w:val="24"/>
                <w:lang w:val="bg-BG"/>
              </w:rPr>
              <w:sym w:font="Wingdings" w:char="F0FD"/>
            </w:r>
            <w:r w:rsidRPr="00383319">
              <w:rPr>
                <w:rFonts w:ascii="Times New Roman" w:eastAsia="Times New Roman" w:hAnsi="Times New Roman" w:cs="Times New Roman"/>
                <w:b/>
                <w:bCs/>
                <w:sz w:val="24"/>
                <w:szCs w:val="24"/>
                <w:lang w:val="bg-BG"/>
              </w:rPr>
              <w:t xml:space="preserve"> </w:t>
            </w:r>
            <w:r w:rsidRPr="00383319">
              <w:rPr>
                <w:rFonts w:ascii="Times New Roman" w:eastAsia="Times New Roman" w:hAnsi="Times New Roman" w:cs="Times New Roman"/>
                <w:sz w:val="24"/>
                <w:szCs w:val="24"/>
                <w:lang w:val="bg-BG"/>
              </w:rPr>
              <w:t>показатели, посочени по-долу и в методиката за оценка</w:t>
            </w:r>
          </w:p>
          <w:p w14:paraId="2DF84C3C" w14:textId="77777777" w:rsidR="00383319" w:rsidRPr="00383319"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p>
        </w:tc>
      </w:tr>
      <w:tr w:rsidR="00383319" w:rsidRPr="00383319" w14:paraId="7DC10332" w14:textId="77777777" w:rsidTr="00D6454E">
        <w:trPr>
          <w:trHeight w:val="1680"/>
          <w:jc w:val="center"/>
        </w:trPr>
        <w:tc>
          <w:tcPr>
            <w:tcW w:w="7201" w:type="dxa"/>
            <w:tcBorders>
              <w:left w:val="single" w:sz="4" w:space="0" w:color="000000"/>
              <w:bottom w:val="single" w:sz="4" w:space="0" w:color="000000"/>
            </w:tcBorders>
          </w:tcPr>
          <w:p w14:paraId="476ADB4C" w14:textId="77777777" w:rsidR="00383319" w:rsidRPr="00383319" w:rsidRDefault="00383319" w:rsidP="00D6454E">
            <w:pPr>
              <w:autoSpaceDE w:val="0"/>
              <w:snapToGrid w:val="0"/>
              <w:spacing w:after="0" w:line="240" w:lineRule="auto"/>
              <w:ind w:left="62" w:right="340"/>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lastRenderedPageBreak/>
              <w:t>Показатели</w:t>
            </w:r>
          </w:p>
          <w:p w14:paraId="696BDA02" w14:textId="77777777" w:rsidR="00383319" w:rsidRPr="00383319" w:rsidRDefault="00383319" w:rsidP="00D6454E">
            <w:pPr>
              <w:autoSpaceDE w:val="0"/>
              <w:spacing w:after="0" w:line="240" w:lineRule="auto"/>
              <w:ind w:left="62" w:right="340"/>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1. Показател „Оценка на професионалната компетентност на персонала“ - (ОПК)</w:t>
            </w:r>
          </w:p>
          <w:p w14:paraId="6997720A" w14:textId="77777777" w:rsidR="00383319" w:rsidRPr="00383319" w:rsidRDefault="00383319" w:rsidP="00D6454E">
            <w:pPr>
              <w:autoSpaceDE w:val="0"/>
              <w:spacing w:after="0" w:line="240" w:lineRule="auto"/>
              <w:ind w:left="62" w:right="340"/>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2. Показател „Оценка на ценовото предложение на участника“ - (ОЦ)</w:t>
            </w:r>
          </w:p>
        </w:tc>
        <w:tc>
          <w:tcPr>
            <w:tcW w:w="2551" w:type="dxa"/>
            <w:tcBorders>
              <w:left w:val="single" w:sz="4" w:space="0" w:color="000000"/>
              <w:bottom w:val="single" w:sz="4" w:space="0" w:color="000000"/>
              <w:right w:val="single" w:sz="4" w:space="0" w:color="auto"/>
            </w:tcBorders>
          </w:tcPr>
          <w:p w14:paraId="71FED860" w14:textId="77777777" w:rsidR="00383319" w:rsidRPr="00383319" w:rsidRDefault="00383319" w:rsidP="00D6454E">
            <w:pPr>
              <w:autoSpaceDE w:val="0"/>
              <w:snapToGrid w:val="0"/>
              <w:spacing w:after="0" w:line="240" w:lineRule="auto"/>
              <w:ind w:left="62" w:right="340"/>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Тежест</w:t>
            </w:r>
          </w:p>
          <w:p w14:paraId="58BFC68C" w14:textId="77777777" w:rsidR="00383319" w:rsidRPr="00383319" w:rsidRDefault="00383319" w:rsidP="00D6454E">
            <w:pPr>
              <w:autoSpaceDE w:val="0"/>
              <w:snapToGrid w:val="0"/>
              <w:spacing w:after="0" w:line="240" w:lineRule="auto"/>
              <w:ind w:left="62" w:right="340"/>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50% </w:t>
            </w:r>
          </w:p>
          <w:p w14:paraId="5030C372" w14:textId="77777777" w:rsidR="00383319" w:rsidRPr="00383319" w:rsidRDefault="00383319" w:rsidP="00D6454E">
            <w:pPr>
              <w:autoSpaceDE w:val="0"/>
              <w:spacing w:after="0" w:line="240" w:lineRule="auto"/>
              <w:ind w:left="62" w:right="340"/>
              <w:rPr>
                <w:rFonts w:ascii="Times New Roman" w:eastAsia="Times New Roman" w:hAnsi="Times New Roman" w:cs="Times New Roman"/>
                <w:b/>
                <w:bCs/>
                <w:sz w:val="24"/>
                <w:szCs w:val="24"/>
                <w:lang w:val="bg-BG"/>
              </w:rPr>
            </w:pPr>
          </w:p>
          <w:p w14:paraId="79C6DD67" w14:textId="77777777" w:rsidR="00383319" w:rsidRPr="00383319" w:rsidRDefault="00383319" w:rsidP="00D6454E">
            <w:pPr>
              <w:autoSpaceDE w:val="0"/>
              <w:spacing w:after="0" w:line="240" w:lineRule="auto"/>
              <w:ind w:left="62" w:right="340"/>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 xml:space="preserve">50% </w:t>
            </w:r>
          </w:p>
          <w:p w14:paraId="5D28B552" w14:textId="77777777" w:rsidR="00383319" w:rsidRPr="00383319" w:rsidRDefault="00383319" w:rsidP="00D6454E">
            <w:pPr>
              <w:autoSpaceDE w:val="0"/>
              <w:spacing w:after="0" w:line="360" w:lineRule="auto"/>
              <w:ind w:left="62" w:right="340"/>
              <w:rPr>
                <w:rFonts w:ascii="Times New Roman" w:eastAsia="Times New Roman" w:hAnsi="Times New Roman" w:cs="Times New Roman"/>
                <w:b/>
                <w:bCs/>
                <w:sz w:val="24"/>
                <w:szCs w:val="24"/>
                <w:lang w:val="bg-BG"/>
              </w:rPr>
            </w:pPr>
          </w:p>
        </w:tc>
      </w:tr>
    </w:tbl>
    <w:p w14:paraId="70A49164"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bCs/>
          <w:sz w:val="24"/>
          <w:szCs w:val="24"/>
          <w:lang w:val="bg-BG"/>
        </w:rPr>
      </w:pPr>
    </w:p>
    <w:p w14:paraId="746AAFD2"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bCs/>
          <w:sz w:val="24"/>
          <w:szCs w:val="24"/>
          <w:lang w:val="bg-BG"/>
        </w:rPr>
      </w:pPr>
    </w:p>
    <w:p w14:paraId="3BE80D4A"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ІV.2) Административна информация</w:t>
      </w:r>
    </w:p>
    <w:p w14:paraId="5052AF6A"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bCs/>
          <w:sz w:val="24"/>
          <w:szCs w:val="24"/>
          <w:lang w:val="bg-BG"/>
        </w:rPr>
      </w:pPr>
    </w:p>
    <w:tbl>
      <w:tblPr>
        <w:tblW w:w="0" w:type="auto"/>
        <w:jc w:val="center"/>
        <w:tblLayout w:type="fixed"/>
        <w:tblLook w:val="0000" w:firstRow="0" w:lastRow="0" w:firstColumn="0" w:lastColumn="0" w:noHBand="0" w:noVBand="0"/>
      </w:tblPr>
      <w:tblGrid>
        <w:gridCol w:w="9752"/>
      </w:tblGrid>
      <w:tr w:rsidR="00383319" w:rsidRPr="00383319" w14:paraId="68F7D3D1" w14:textId="77777777" w:rsidTr="00D6454E">
        <w:trPr>
          <w:jc w:val="center"/>
        </w:trPr>
        <w:tc>
          <w:tcPr>
            <w:tcW w:w="9752" w:type="dxa"/>
            <w:tcBorders>
              <w:top w:val="single" w:sz="4" w:space="0" w:color="000000"/>
              <w:left w:val="single" w:sz="4" w:space="0" w:color="000000"/>
              <w:bottom w:val="single" w:sz="4" w:space="0" w:color="000000"/>
              <w:right w:val="single" w:sz="4" w:space="0" w:color="000000"/>
            </w:tcBorders>
          </w:tcPr>
          <w:p w14:paraId="577FC7CD" w14:textId="77777777" w:rsidR="00383319" w:rsidRPr="00D6454E"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r w:rsidRPr="00D6454E">
              <w:rPr>
                <w:rFonts w:ascii="Times New Roman" w:eastAsia="Times New Roman" w:hAnsi="Times New Roman" w:cs="Times New Roman"/>
                <w:b/>
                <w:bCs/>
                <w:sz w:val="24"/>
                <w:szCs w:val="24"/>
                <w:lang w:val="bg-BG"/>
              </w:rPr>
              <w:t>ІV.2.1) Номер на договора за предоставяне на безвъзмездна финансова помощ</w:t>
            </w:r>
          </w:p>
          <w:p w14:paraId="0F20660E" w14:textId="30588BC9" w:rsidR="0033313F" w:rsidRPr="00D6454E" w:rsidRDefault="00D6454E" w:rsidP="00D6454E">
            <w:pPr>
              <w:autoSpaceDE w:val="0"/>
              <w:spacing w:after="0" w:line="240" w:lineRule="auto"/>
              <w:ind w:left="62" w:right="340"/>
              <w:jc w:val="both"/>
              <w:rPr>
                <w:rFonts w:ascii="Times New Roman" w:eastAsia="Times New Roman" w:hAnsi="Times New Roman" w:cs="Times New Roman"/>
                <w:bCs/>
                <w:sz w:val="24"/>
                <w:szCs w:val="24"/>
                <w:lang w:val="bg-BG"/>
              </w:rPr>
            </w:pPr>
            <w:r w:rsidRPr="00D6454E">
              <w:rPr>
                <w:rFonts w:ascii="Times New Roman" w:eastAsia="Times New Roman" w:hAnsi="Times New Roman" w:cs="Times New Roman"/>
                <w:bCs/>
                <w:sz w:val="24"/>
                <w:szCs w:val="24"/>
                <w:lang w:val="bg-BG"/>
              </w:rPr>
              <w:t xml:space="preserve">Проект </w:t>
            </w:r>
            <w:r w:rsidR="0033313F" w:rsidRPr="00D6454E">
              <w:rPr>
                <w:rFonts w:ascii="Times New Roman" w:eastAsia="Times New Roman" w:hAnsi="Times New Roman" w:cs="Times New Roman"/>
                <w:bCs/>
                <w:sz w:val="24"/>
                <w:szCs w:val="24"/>
                <w:lang w:val="bg-BG"/>
              </w:rPr>
              <w:t>с код DRP0200419 „RESTORIVER - Устойчиво на климатичните промени, насочено към естественото задържане на вода възстановяване на речните брегове и крайбрежните зони, неблагоприятно засегнати от човешка намеса, по река Дунав и нейните притоци в Дунавския регион“ по Програма ИНТЕРРЕГ VI-Б Дунавски регион 2021-2027 г.</w:t>
            </w:r>
          </w:p>
        </w:tc>
      </w:tr>
      <w:tr w:rsidR="00383319" w:rsidRPr="00383319" w14:paraId="597A3DC7" w14:textId="77777777" w:rsidTr="00D6454E">
        <w:trPr>
          <w:trHeight w:val="70"/>
          <w:jc w:val="center"/>
        </w:trPr>
        <w:tc>
          <w:tcPr>
            <w:tcW w:w="9752" w:type="dxa"/>
            <w:tcBorders>
              <w:left w:val="single" w:sz="4" w:space="0" w:color="000000"/>
              <w:right w:val="single" w:sz="4" w:space="0" w:color="000000"/>
            </w:tcBorders>
          </w:tcPr>
          <w:p w14:paraId="0685E3A1" w14:textId="77777777" w:rsidR="00383319" w:rsidRPr="00383319" w:rsidRDefault="00383319" w:rsidP="00D6454E">
            <w:pPr>
              <w:autoSpaceDE w:val="0"/>
              <w:snapToGrid w:val="0"/>
              <w:spacing w:after="0" w:line="240" w:lineRule="auto"/>
              <w:ind w:left="62" w:right="340"/>
              <w:jc w:val="both"/>
              <w:rPr>
                <w:rFonts w:ascii="Times New Roman" w:eastAsia="Times New Roman" w:hAnsi="Times New Roman" w:cs="Times New Roman"/>
                <w:bCs/>
                <w:i/>
                <w:sz w:val="24"/>
                <w:szCs w:val="24"/>
                <w:lang w:val="bg-BG"/>
              </w:rPr>
            </w:pPr>
          </w:p>
        </w:tc>
      </w:tr>
      <w:tr w:rsidR="00383319" w:rsidRPr="00246B2C" w14:paraId="454F4E10" w14:textId="77777777" w:rsidTr="00D6454E">
        <w:trPr>
          <w:jc w:val="center"/>
        </w:trPr>
        <w:tc>
          <w:tcPr>
            <w:tcW w:w="9752" w:type="dxa"/>
            <w:tcBorders>
              <w:left w:val="single" w:sz="4" w:space="0" w:color="000000"/>
              <w:bottom w:val="single" w:sz="4" w:space="0" w:color="000000"/>
              <w:right w:val="single" w:sz="4" w:space="0" w:color="000000"/>
            </w:tcBorders>
          </w:tcPr>
          <w:p w14:paraId="393F86BD" w14:textId="77777777" w:rsidR="00383319" w:rsidRPr="00246B2C" w:rsidRDefault="00383319" w:rsidP="00D6454E">
            <w:pPr>
              <w:autoSpaceDE w:val="0"/>
              <w:snapToGrid w:val="0"/>
              <w:spacing w:after="0" w:line="240" w:lineRule="auto"/>
              <w:ind w:left="62" w:right="340"/>
              <w:jc w:val="both"/>
              <w:rPr>
                <w:rFonts w:ascii="Times New Roman" w:eastAsia="Times New Roman" w:hAnsi="Times New Roman" w:cs="Times New Roman"/>
                <w:b/>
                <w:bCs/>
                <w:sz w:val="24"/>
                <w:szCs w:val="24"/>
                <w:lang w:val="bg-BG"/>
              </w:rPr>
            </w:pPr>
            <w:r w:rsidRPr="00246B2C">
              <w:rPr>
                <w:rFonts w:ascii="Times New Roman" w:eastAsia="Times New Roman" w:hAnsi="Times New Roman" w:cs="Times New Roman"/>
                <w:b/>
                <w:bCs/>
                <w:sz w:val="24"/>
                <w:szCs w:val="24"/>
                <w:lang w:val="bg-BG"/>
              </w:rPr>
              <w:t xml:space="preserve">ІV.2.2) Срок за подаване на оферти </w:t>
            </w:r>
          </w:p>
          <w:p w14:paraId="5520D268" w14:textId="77777777" w:rsidR="00383319" w:rsidRPr="00246B2C" w:rsidRDefault="00383319" w:rsidP="00D6454E">
            <w:pPr>
              <w:autoSpaceDE w:val="0"/>
              <w:snapToGrid w:val="0"/>
              <w:spacing w:after="0" w:line="240" w:lineRule="auto"/>
              <w:ind w:left="62" w:right="340"/>
              <w:jc w:val="both"/>
              <w:rPr>
                <w:rFonts w:ascii="Times New Roman" w:eastAsia="Times New Roman" w:hAnsi="Times New Roman" w:cs="Times New Roman"/>
                <w:b/>
                <w:bCs/>
                <w:sz w:val="24"/>
                <w:szCs w:val="24"/>
                <w:lang w:val="bg-BG"/>
              </w:rPr>
            </w:pPr>
          </w:p>
          <w:p w14:paraId="6734C023" w14:textId="47D16E5A" w:rsidR="00383319" w:rsidRPr="00246B2C" w:rsidRDefault="00383319" w:rsidP="00D6454E">
            <w:pPr>
              <w:autoSpaceDE w:val="0"/>
              <w:spacing w:after="0" w:line="240" w:lineRule="auto"/>
              <w:ind w:left="62" w:right="340"/>
              <w:jc w:val="both"/>
              <w:rPr>
                <w:rFonts w:ascii="Times New Roman" w:eastAsia="Times New Roman" w:hAnsi="Times New Roman" w:cs="Times New Roman"/>
                <w:sz w:val="24"/>
                <w:szCs w:val="24"/>
                <w:lang w:val="bg-BG"/>
              </w:rPr>
            </w:pPr>
            <w:r w:rsidRPr="00246B2C">
              <w:rPr>
                <w:rFonts w:ascii="Times New Roman" w:eastAsia="Times New Roman" w:hAnsi="Times New Roman" w:cs="Times New Roman"/>
                <w:sz w:val="24"/>
                <w:szCs w:val="24"/>
                <w:lang w:val="bg-BG"/>
              </w:rPr>
              <w:t>Дата</w:t>
            </w:r>
            <w:r w:rsidRPr="00246B2C">
              <w:rPr>
                <w:rFonts w:ascii="Times New Roman" w:eastAsia="Times New Roman" w:hAnsi="Times New Roman" w:cs="Times New Roman"/>
                <w:b/>
                <w:bCs/>
                <w:sz w:val="24"/>
                <w:szCs w:val="24"/>
                <w:lang w:val="bg-BG"/>
              </w:rPr>
              <w:t xml:space="preserve">: </w:t>
            </w:r>
            <w:r w:rsidR="00E25F73">
              <w:rPr>
                <w:rFonts w:ascii="Times New Roman" w:eastAsia="Times New Roman" w:hAnsi="Times New Roman" w:cs="Times New Roman"/>
                <w:sz w:val="24"/>
                <w:szCs w:val="24"/>
                <w:lang w:val="bg-BG"/>
              </w:rPr>
              <w:t>10.04</w:t>
            </w:r>
            <w:r w:rsidRPr="00246B2C">
              <w:rPr>
                <w:rFonts w:ascii="Times New Roman" w:eastAsia="Times New Roman" w:hAnsi="Times New Roman" w:cs="Times New Roman"/>
                <w:sz w:val="24"/>
                <w:szCs w:val="24"/>
                <w:lang w:val="bg-BG"/>
              </w:rPr>
              <w:t xml:space="preserve">.2024 г. </w:t>
            </w:r>
            <w:r w:rsidRPr="00246B2C">
              <w:rPr>
                <w:rFonts w:ascii="Times New Roman" w:eastAsia="Times New Roman" w:hAnsi="Times New Roman" w:cs="Times New Roman"/>
                <w:i/>
                <w:sz w:val="24"/>
                <w:szCs w:val="24"/>
                <w:lang w:val="bg-BG"/>
              </w:rPr>
              <w:t xml:space="preserve">(дд/мм/гггг) </w:t>
            </w:r>
            <w:r w:rsidRPr="00246B2C">
              <w:rPr>
                <w:rFonts w:ascii="Times New Roman" w:eastAsia="Times New Roman" w:hAnsi="Times New Roman" w:cs="Times New Roman"/>
                <w:sz w:val="24"/>
                <w:szCs w:val="24"/>
                <w:lang w:val="bg-BG"/>
              </w:rPr>
              <w:t xml:space="preserve">23:59 ч.                  </w:t>
            </w:r>
          </w:p>
          <w:p w14:paraId="6DBBEF2E" w14:textId="77777777" w:rsidR="00383319" w:rsidRPr="00246B2C" w:rsidRDefault="00383319" w:rsidP="00D6454E">
            <w:pPr>
              <w:autoSpaceDE w:val="0"/>
              <w:spacing w:after="0" w:line="240" w:lineRule="auto"/>
              <w:ind w:left="62" w:right="340"/>
              <w:jc w:val="both"/>
              <w:rPr>
                <w:rFonts w:ascii="Times New Roman" w:eastAsia="Times New Roman" w:hAnsi="Times New Roman" w:cs="Times New Roman"/>
                <w:sz w:val="24"/>
                <w:szCs w:val="24"/>
                <w:lang w:val="bg-BG"/>
              </w:rPr>
            </w:pPr>
          </w:p>
          <w:p w14:paraId="5DD3AA33" w14:textId="77777777" w:rsidR="00383319" w:rsidRPr="00246B2C"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r w:rsidRPr="00246B2C">
              <w:rPr>
                <w:rFonts w:ascii="Times New Roman" w:eastAsia="Times New Roman" w:hAnsi="Times New Roman" w:cs="Times New Roman"/>
                <w:b/>
                <w:sz w:val="24"/>
                <w:szCs w:val="24"/>
                <w:lang w:val="bg-BG"/>
              </w:rPr>
              <w:t>Ще се приемат оферти до изтичане на посочената крайна дата</w:t>
            </w:r>
          </w:p>
          <w:p w14:paraId="1C355559" w14:textId="194A4829" w:rsidR="00383319" w:rsidRPr="00246B2C"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r w:rsidRPr="00246B2C">
              <w:rPr>
                <w:rFonts w:ascii="Times New Roman" w:eastAsia="Times New Roman" w:hAnsi="Times New Roman" w:cs="Times New Roman"/>
                <w:b/>
                <w:bCs/>
                <w:sz w:val="24"/>
                <w:szCs w:val="24"/>
                <w:lang w:val="bg-BG"/>
              </w:rPr>
              <w:t>Офертите се подават на електронната поща на Възложителя (</w:t>
            </w:r>
            <w:r w:rsidR="00B57E71" w:rsidRPr="00246B2C">
              <w:rPr>
                <w:rFonts w:ascii="Times New Roman" w:eastAsia="Times New Roman" w:hAnsi="Times New Roman" w:cs="Times New Roman"/>
                <w:b/>
                <w:bCs/>
                <w:sz w:val="24"/>
                <w:szCs w:val="24"/>
              </w:rPr>
              <w:t>bspb_hq@bspb.org</w:t>
            </w:r>
            <w:r w:rsidRPr="00246B2C">
              <w:rPr>
                <w:rFonts w:ascii="Times New Roman" w:eastAsia="Times New Roman" w:hAnsi="Times New Roman" w:cs="Times New Roman"/>
                <w:b/>
                <w:bCs/>
                <w:sz w:val="24"/>
                <w:szCs w:val="24"/>
                <w:lang w:val="bg-BG"/>
              </w:rPr>
              <w:t>)</w:t>
            </w:r>
          </w:p>
          <w:p w14:paraId="4518039C" w14:textId="77777777" w:rsidR="00383319" w:rsidRPr="00246B2C"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p>
        </w:tc>
      </w:tr>
      <w:tr w:rsidR="00383319" w:rsidRPr="00246B2C" w14:paraId="63AAC1D4" w14:textId="77777777" w:rsidTr="00D6454E">
        <w:trPr>
          <w:jc w:val="center"/>
        </w:trPr>
        <w:tc>
          <w:tcPr>
            <w:tcW w:w="9752" w:type="dxa"/>
            <w:tcBorders>
              <w:left w:val="single" w:sz="4" w:space="0" w:color="000000"/>
              <w:bottom w:val="single" w:sz="4" w:space="0" w:color="000000"/>
              <w:right w:val="single" w:sz="4" w:space="0" w:color="000000"/>
            </w:tcBorders>
          </w:tcPr>
          <w:p w14:paraId="0E72A637" w14:textId="77777777" w:rsidR="00383319" w:rsidRPr="00246B2C" w:rsidRDefault="00383319" w:rsidP="00D6454E">
            <w:pPr>
              <w:autoSpaceDE w:val="0"/>
              <w:snapToGrid w:val="0"/>
              <w:spacing w:after="0" w:line="240" w:lineRule="auto"/>
              <w:ind w:left="62" w:right="340"/>
              <w:jc w:val="both"/>
              <w:rPr>
                <w:rFonts w:ascii="Times New Roman" w:eastAsia="Times New Roman" w:hAnsi="Times New Roman" w:cs="Times New Roman"/>
                <w:b/>
                <w:bCs/>
                <w:sz w:val="24"/>
                <w:szCs w:val="24"/>
                <w:lang w:val="bg-BG"/>
              </w:rPr>
            </w:pPr>
            <w:r w:rsidRPr="00246B2C">
              <w:rPr>
                <w:rFonts w:ascii="Times New Roman" w:eastAsia="Times New Roman" w:hAnsi="Times New Roman" w:cs="Times New Roman"/>
                <w:b/>
                <w:bCs/>
                <w:sz w:val="24"/>
                <w:szCs w:val="24"/>
                <w:lang w:val="bg-BG"/>
              </w:rPr>
              <w:t>ІV.2.3) Интернет адреси, на които може да бъде намерена поканата:</w:t>
            </w:r>
          </w:p>
          <w:p w14:paraId="5F5F3CC2" w14:textId="77777777" w:rsidR="00383319" w:rsidRPr="00246B2C"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p>
        </w:tc>
      </w:tr>
      <w:tr w:rsidR="00383319" w:rsidRPr="00246B2C" w14:paraId="68E7ACAA" w14:textId="77777777" w:rsidTr="00D6454E">
        <w:trPr>
          <w:jc w:val="center"/>
        </w:trPr>
        <w:tc>
          <w:tcPr>
            <w:tcW w:w="9752" w:type="dxa"/>
            <w:tcBorders>
              <w:left w:val="single" w:sz="4" w:space="0" w:color="000000"/>
              <w:bottom w:val="single" w:sz="4" w:space="0" w:color="000000"/>
              <w:right w:val="single" w:sz="4" w:space="0" w:color="000000"/>
            </w:tcBorders>
          </w:tcPr>
          <w:p w14:paraId="28DADCAD" w14:textId="77777777" w:rsidR="00383319" w:rsidRPr="00246B2C" w:rsidRDefault="00383319" w:rsidP="00D6454E">
            <w:pPr>
              <w:spacing w:after="0" w:line="240" w:lineRule="auto"/>
              <w:ind w:left="62" w:right="340"/>
              <w:jc w:val="both"/>
              <w:rPr>
                <w:rFonts w:ascii="Times New Roman" w:eastAsia="Times New Roman" w:hAnsi="Times New Roman" w:cs="Times New Roman"/>
                <w:i/>
                <w:sz w:val="18"/>
                <w:szCs w:val="18"/>
                <w:lang w:val="bg-BG"/>
              </w:rPr>
            </w:pPr>
          </w:p>
          <w:p w14:paraId="6F509995" w14:textId="77777777" w:rsidR="00383319" w:rsidRPr="00246B2C" w:rsidRDefault="00383319" w:rsidP="00D6454E">
            <w:pPr>
              <w:spacing w:after="0" w:line="240" w:lineRule="auto"/>
              <w:ind w:left="62" w:right="340"/>
              <w:jc w:val="both"/>
              <w:rPr>
                <w:rFonts w:ascii="Times New Roman" w:eastAsia="Times New Roman" w:hAnsi="Times New Roman" w:cs="Times New Roman"/>
                <w:i/>
                <w:sz w:val="18"/>
                <w:szCs w:val="18"/>
                <w:lang w:val="bg-BG"/>
              </w:rPr>
            </w:pPr>
            <w:r w:rsidRPr="00246B2C">
              <w:rPr>
                <w:rFonts w:ascii="Times New Roman" w:eastAsia="Times New Roman" w:hAnsi="Times New Roman" w:cs="Times New Roman"/>
                <w:i/>
                <w:sz w:val="18"/>
                <w:szCs w:val="18"/>
                <w:lang w:val="bg-BG"/>
              </w:rPr>
              <w:t>1</w:t>
            </w:r>
            <w:r w:rsidRPr="00246B2C">
              <w:rPr>
                <w:rFonts w:ascii="Times New Roman" w:eastAsia="Times New Roman" w:hAnsi="Times New Roman" w:cs="Times New Roman"/>
                <w:i/>
                <w:sz w:val="24"/>
                <w:szCs w:val="24"/>
                <w:lang w:val="bg-BG"/>
              </w:rPr>
              <w:t xml:space="preserve"> </w:t>
            </w:r>
            <w:hyperlink r:id="rId11" w:history="1">
              <w:r w:rsidRPr="00246B2C">
                <w:rPr>
                  <w:rFonts w:ascii="Times New Roman" w:eastAsia="Times New Roman" w:hAnsi="Times New Roman" w:cs="Times New Roman"/>
                  <w:i/>
                  <w:color w:val="0000FF"/>
                  <w:sz w:val="24"/>
                  <w:szCs w:val="24"/>
                  <w:u w:val="single"/>
                  <w:lang w:val="bg-BG"/>
                </w:rPr>
                <w:t>http://www.eufunds.bg</w:t>
              </w:r>
            </w:hyperlink>
            <w:r w:rsidRPr="00246B2C">
              <w:rPr>
                <w:rFonts w:ascii="Times New Roman" w:eastAsia="Times New Roman" w:hAnsi="Times New Roman" w:cs="Times New Roman"/>
                <w:i/>
                <w:sz w:val="24"/>
                <w:szCs w:val="24"/>
                <w:lang w:val="bg-BG"/>
              </w:rPr>
              <w:t xml:space="preserve">  </w:t>
            </w:r>
            <w:r w:rsidRPr="00246B2C">
              <w:rPr>
                <w:rFonts w:ascii="Times New Roman" w:eastAsia="Times New Roman" w:hAnsi="Times New Roman" w:cs="Times New Roman"/>
                <w:i/>
                <w:sz w:val="18"/>
                <w:szCs w:val="18"/>
                <w:lang w:val="bg-BG"/>
              </w:rPr>
              <w:t xml:space="preserve">- интернет адрес на Единния информационен портал на Структурните фондове на ЕС </w:t>
            </w:r>
          </w:p>
          <w:p w14:paraId="0220E6F0" w14:textId="77777777" w:rsidR="00383319" w:rsidRPr="00246B2C" w:rsidRDefault="00383319" w:rsidP="00D6454E">
            <w:pPr>
              <w:spacing w:after="0" w:line="240" w:lineRule="auto"/>
              <w:ind w:left="62" w:right="340"/>
              <w:jc w:val="both"/>
              <w:rPr>
                <w:rFonts w:ascii="Times New Roman" w:eastAsia="Times New Roman" w:hAnsi="Times New Roman" w:cs="Times New Roman"/>
                <w:i/>
                <w:sz w:val="18"/>
                <w:szCs w:val="18"/>
                <w:lang w:val="bg-BG"/>
              </w:rPr>
            </w:pPr>
          </w:p>
          <w:p w14:paraId="434837C4" w14:textId="391D4F6D" w:rsidR="00383319" w:rsidRPr="00246B2C" w:rsidRDefault="00383319" w:rsidP="00D6454E">
            <w:pPr>
              <w:spacing w:after="0" w:line="240" w:lineRule="auto"/>
              <w:ind w:left="62" w:right="340"/>
              <w:jc w:val="both"/>
              <w:rPr>
                <w:rFonts w:ascii="Times New Roman" w:eastAsia="Times New Roman" w:hAnsi="Times New Roman" w:cs="Times New Roman"/>
                <w:sz w:val="18"/>
                <w:szCs w:val="18"/>
                <w:lang w:val="bg-BG"/>
              </w:rPr>
            </w:pPr>
            <w:r w:rsidRPr="00246B2C">
              <w:rPr>
                <w:rFonts w:ascii="Times New Roman" w:eastAsia="Times New Roman" w:hAnsi="Times New Roman" w:cs="Times New Roman"/>
                <w:i/>
                <w:sz w:val="18"/>
                <w:szCs w:val="18"/>
                <w:lang w:val="bg-BG"/>
              </w:rPr>
              <w:t>2</w:t>
            </w:r>
            <w:r w:rsidRPr="00246B2C">
              <w:rPr>
                <w:rFonts w:ascii="Times New Roman" w:eastAsia="Times New Roman" w:hAnsi="Times New Roman" w:cs="Times New Roman"/>
                <w:sz w:val="24"/>
                <w:szCs w:val="24"/>
                <w:lang w:val="bg-BG"/>
              </w:rPr>
              <w:t xml:space="preserve">. </w:t>
            </w:r>
            <w:hyperlink r:id="rId12" w:history="1">
              <w:r w:rsidRPr="00246B2C">
                <w:rPr>
                  <w:rFonts w:ascii="Times New Roman" w:eastAsia="Times New Roman" w:hAnsi="Times New Roman" w:cs="Times New Roman"/>
                  <w:i/>
                  <w:color w:val="0000FF"/>
                  <w:sz w:val="24"/>
                  <w:szCs w:val="24"/>
                  <w:u w:val="single"/>
                  <w:lang w:val="bg-BG"/>
                </w:rPr>
                <w:t>https://bspb.org/</w:t>
              </w:r>
            </w:hyperlink>
            <w:r w:rsidR="00D6454E" w:rsidRPr="00246B2C">
              <w:rPr>
                <w:rFonts w:ascii="HebarU" w:eastAsia="Times New Roman" w:hAnsi="HebarU" w:cs="Times New Roman"/>
                <w:sz w:val="24"/>
                <w:szCs w:val="20"/>
                <w:lang w:val="bg-BG"/>
              </w:rPr>
              <w:t xml:space="preserve"> </w:t>
            </w:r>
            <w:r w:rsidRPr="00246B2C">
              <w:rPr>
                <w:rFonts w:ascii="Times New Roman" w:eastAsia="Times New Roman" w:hAnsi="Times New Roman" w:cs="Times New Roman"/>
                <w:sz w:val="24"/>
                <w:szCs w:val="24"/>
                <w:lang w:val="bg-BG"/>
              </w:rPr>
              <w:t>-</w:t>
            </w:r>
            <w:r w:rsidRPr="00246B2C">
              <w:rPr>
                <w:rFonts w:ascii="Times New Roman" w:eastAsia="Times New Roman" w:hAnsi="Times New Roman" w:cs="Times New Roman"/>
                <w:sz w:val="24"/>
                <w:szCs w:val="24"/>
                <w:lang w:val="ru-RU"/>
              </w:rPr>
              <w:t xml:space="preserve"> (</w:t>
            </w:r>
            <w:r w:rsidRPr="00246B2C">
              <w:rPr>
                <w:rFonts w:ascii="Times New Roman" w:eastAsia="Times New Roman" w:hAnsi="Times New Roman" w:cs="Times New Roman"/>
                <w:i/>
                <w:sz w:val="18"/>
                <w:szCs w:val="18"/>
                <w:lang w:val="bg-BG"/>
              </w:rPr>
              <w:t>интернет адреса на възложителя</w:t>
            </w:r>
            <w:r w:rsidRPr="00246B2C">
              <w:rPr>
                <w:rFonts w:ascii="Times New Roman" w:eastAsia="Times New Roman" w:hAnsi="Times New Roman" w:cs="Times New Roman"/>
                <w:sz w:val="18"/>
                <w:szCs w:val="18"/>
                <w:lang w:val="bg-BG"/>
              </w:rPr>
              <w:t>)</w:t>
            </w:r>
          </w:p>
          <w:p w14:paraId="449024FC" w14:textId="77777777" w:rsidR="00383319" w:rsidRPr="00246B2C" w:rsidRDefault="00383319" w:rsidP="00D6454E">
            <w:pPr>
              <w:autoSpaceDE w:val="0"/>
              <w:autoSpaceDN w:val="0"/>
              <w:adjustRightInd w:val="0"/>
              <w:spacing w:after="0" w:line="240" w:lineRule="auto"/>
              <w:ind w:left="62" w:right="340"/>
              <w:jc w:val="both"/>
              <w:rPr>
                <w:rFonts w:ascii="Times New Roman" w:eastAsia="Times New Roman" w:hAnsi="Times New Roman" w:cs="Times New Roman"/>
                <w:b/>
                <w:bCs/>
                <w:sz w:val="24"/>
                <w:szCs w:val="24"/>
                <w:lang w:val="bg-BG"/>
              </w:rPr>
            </w:pPr>
          </w:p>
        </w:tc>
      </w:tr>
      <w:tr w:rsidR="00383319" w:rsidRPr="00246B2C" w14:paraId="6CE7812F" w14:textId="77777777" w:rsidTr="00D6454E">
        <w:trPr>
          <w:jc w:val="center"/>
        </w:trPr>
        <w:tc>
          <w:tcPr>
            <w:tcW w:w="9752" w:type="dxa"/>
            <w:tcBorders>
              <w:left w:val="single" w:sz="4" w:space="0" w:color="000000"/>
              <w:bottom w:val="single" w:sz="4" w:space="0" w:color="000000"/>
              <w:right w:val="single" w:sz="4" w:space="0" w:color="000000"/>
            </w:tcBorders>
          </w:tcPr>
          <w:p w14:paraId="1AD7DCC9" w14:textId="77777777" w:rsidR="00383319" w:rsidRPr="00246B2C" w:rsidRDefault="00383319" w:rsidP="00D6454E">
            <w:pPr>
              <w:tabs>
                <w:tab w:val="center" w:pos="4153"/>
                <w:tab w:val="right" w:pos="8306"/>
              </w:tabs>
              <w:autoSpaceDE w:val="0"/>
              <w:snapToGrid w:val="0"/>
              <w:spacing w:after="0" w:line="240" w:lineRule="auto"/>
              <w:ind w:left="62" w:right="340"/>
              <w:jc w:val="both"/>
              <w:rPr>
                <w:rFonts w:ascii="Times New Roman" w:eastAsia="Times New Roman" w:hAnsi="Times New Roman" w:cs="Times New Roman"/>
                <w:b/>
                <w:bCs/>
                <w:sz w:val="24"/>
                <w:szCs w:val="24"/>
                <w:lang w:val="bg-BG"/>
              </w:rPr>
            </w:pPr>
          </w:p>
          <w:p w14:paraId="663DDB7E" w14:textId="77777777" w:rsidR="00383319" w:rsidRPr="00246B2C" w:rsidRDefault="00383319" w:rsidP="00D6454E">
            <w:pPr>
              <w:tabs>
                <w:tab w:val="center" w:pos="4153"/>
                <w:tab w:val="right" w:pos="8306"/>
              </w:tabs>
              <w:autoSpaceDE w:val="0"/>
              <w:snapToGrid w:val="0"/>
              <w:spacing w:after="0" w:line="240" w:lineRule="auto"/>
              <w:ind w:left="62" w:right="340"/>
              <w:jc w:val="both"/>
              <w:rPr>
                <w:rFonts w:ascii="Times New Roman" w:eastAsia="Times New Roman" w:hAnsi="Times New Roman" w:cs="Times New Roman"/>
                <w:b/>
                <w:bCs/>
                <w:sz w:val="24"/>
                <w:szCs w:val="24"/>
                <w:lang w:val="bg-BG"/>
              </w:rPr>
            </w:pPr>
            <w:r w:rsidRPr="00246B2C">
              <w:rPr>
                <w:rFonts w:ascii="Times New Roman" w:eastAsia="Times New Roman" w:hAnsi="Times New Roman" w:cs="Times New Roman"/>
                <w:b/>
                <w:bCs/>
                <w:sz w:val="24"/>
                <w:szCs w:val="24"/>
                <w:lang w:val="bg-BG"/>
              </w:rPr>
              <w:t xml:space="preserve">ІV.2.5) Срок на валидност на офертите </w:t>
            </w:r>
          </w:p>
          <w:p w14:paraId="6E1A4DC2" w14:textId="77777777" w:rsidR="00383319" w:rsidRPr="00246B2C" w:rsidRDefault="00383319" w:rsidP="00D6454E">
            <w:pPr>
              <w:tabs>
                <w:tab w:val="center" w:pos="4153"/>
                <w:tab w:val="right" w:pos="8306"/>
              </w:tabs>
              <w:autoSpaceDE w:val="0"/>
              <w:spacing w:after="0" w:line="240" w:lineRule="auto"/>
              <w:ind w:left="62" w:right="340"/>
              <w:jc w:val="both"/>
              <w:rPr>
                <w:rFonts w:ascii="Times New Roman" w:eastAsia="Times New Roman" w:hAnsi="Times New Roman" w:cs="Times New Roman"/>
                <w:sz w:val="24"/>
                <w:szCs w:val="24"/>
                <w:lang w:val="bg-BG"/>
              </w:rPr>
            </w:pPr>
          </w:p>
          <w:p w14:paraId="0225F548" w14:textId="77777777" w:rsidR="00383319" w:rsidRPr="00246B2C" w:rsidRDefault="00383319" w:rsidP="00D6454E">
            <w:pPr>
              <w:tabs>
                <w:tab w:val="center" w:pos="4153"/>
                <w:tab w:val="right" w:pos="8306"/>
              </w:tabs>
              <w:autoSpaceDE w:val="0"/>
              <w:spacing w:after="0" w:line="240" w:lineRule="auto"/>
              <w:ind w:left="62" w:right="340"/>
              <w:jc w:val="both"/>
              <w:rPr>
                <w:rFonts w:ascii="Times New Roman" w:eastAsia="Times New Roman" w:hAnsi="Times New Roman" w:cs="Times New Roman"/>
                <w:i/>
                <w:sz w:val="24"/>
                <w:szCs w:val="24"/>
                <w:lang w:val="bg-BG"/>
              </w:rPr>
            </w:pPr>
            <w:r w:rsidRPr="00246B2C">
              <w:rPr>
                <w:rFonts w:ascii="Times New Roman" w:eastAsia="Times New Roman" w:hAnsi="Times New Roman" w:cs="Times New Roman"/>
                <w:sz w:val="24"/>
                <w:szCs w:val="24"/>
                <w:lang w:val="bg-BG"/>
              </w:rPr>
              <w:t xml:space="preserve">60 (шестдесет) календарни дни </w:t>
            </w:r>
            <w:r w:rsidRPr="00246B2C">
              <w:rPr>
                <w:rFonts w:ascii="Times New Roman" w:eastAsia="Times New Roman" w:hAnsi="Times New Roman" w:cs="Times New Roman"/>
                <w:i/>
                <w:sz w:val="24"/>
                <w:szCs w:val="24"/>
                <w:lang w:val="bg-BG"/>
              </w:rPr>
              <w:t>(от крайния срок за получаване на оферти)</w:t>
            </w:r>
          </w:p>
          <w:p w14:paraId="053F6A8E" w14:textId="77777777" w:rsidR="00383319" w:rsidRPr="00246B2C" w:rsidRDefault="00383319" w:rsidP="00D6454E">
            <w:pPr>
              <w:tabs>
                <w:tab w:val="center" w:pos="4153"/>
                <w:tab w:val="right" w:pos="8306"/>
              </w:tabs>
              <w:autoSpaceDE w:val="0"/>
              <w:spacing w:after="0" w:line="240" w:lineRule="auto"/>
              <w:ind w:left="62" w:right="340"/>
              <w:jc w:val="both"/>
              <w:rPr>
                <w:rFonts w:ascii="Times New Roman" w:eastAsia="Times New Roman" w:hAnsi="Times New Roman" w:cs="Times New Roman"/>
                <w:i/>
                <w:sz w:val="24"/>
                <w:szCs w:val="24"/>
                <w:lang w:val="bg-BG"/>
              </w:rPr>
            </w:pPr>
          </w:p>
        </w:tc>
      </w:tr>
      <w:tr w:rsidR="00383319" w:rsidRPr="00383319" w14:paraId="232B5932" w14:textId="77777777" w:rsidTr="00D6454E">
        <w:trPr>
          <w:jc w:val="center"/>
        </w:trPr>
        <w:tc>
          <w:tcPr>
            <w:tcW w:w="9752" w:type="dxa"/>
            <w:tcBorders>
              <w:left w:val="single" w:sz="4" w:space="0" w:color="000000"/>
              <w:bottom w:val="single" w:sz="4" w:space="0" w:color="000000"/>
              <w:right w:val="single" w:sz="4" w:space="0" w:color="000000"/>
            </w:tcBorders>
          </w:tcPr>
          <w:p w14:paraId="0853D05E" w14:textId="77777777" w:rsidR="00383319" w:rsidRPr="00246B2C" w:rsidRDefault="00383319" w:rsidP="00D6454E">
            <w:pPr>
              <w:tabs>
                <w:tab w:val="center" w:pos="4153"/>
                <w:tab w:val="right" w:pos="8306"/>
              </w:tabs>
              <w:autoSpaceDE w:val="0"/>
              <w:snapToGrid w:val="0"/>
              <w:spacing w:after="0" w:line="240" w:lineRule="auto"/>
              <w:ind w:left="62" w:right="340"/>
              <w:jc w:val="both"/>
              <w:rPr>
                <w:rFonts w:ascii="Times New Roman" w:eastAsia="Times New Roman" w:hAnsi="Times New Roman" w:cs="Times New Roman"/>
                <w:b/>
                <w:bCs/>
                <w:sz w:val="24"/>
                <w:szCs w:val="24"/>
                <w:lang w:val="bg-BG"/>
              </w:rPr>
            </w:pPr>
            <w:r w:rsidRPr="00246B2C">
              <w:rPr>
                <w:rFonts w:ascii="Times New Roman" w:eastAsia="Times New Roman" w:hAnsi="Times New Roman" w:cs="Times New Roman"/>
                <w:b/>
                <w:bCs/>
                <w:sz w:val="24"/>
                <w:szCs w:val="24"/>
                <w:lang w:val="bg-BG"/>
              </w:rPr>
              <w:t>ІV.2.6) Условия при отваряне на офертите</w:t>
            </w:r>
          </w:p>
          <w:p w14:paraId="126D6ADC" w14:textId="7359A3E3" w:rsidR="00383319" w:rsidRPr="00246B2C" w:rsidRDefault="00383319" w:rsidP="00D6454E">
            <w:pPr>
              <w:autoSpaceDE w:val="0"/>
              <w:spacing w:after="0" w:line="240" w:lineRule="auto"/>
              <w:ind w:left="62" w:right="340"/>
              <w:jc w:val="both"/>
              <w:rPr>
                <w:rFonts w:ascii="Times New Roman" w:eastAsia="Times New Roman" w:hAnsi="Times New Roman" w:cs="Times New Roman"/>
                <w:sz w:val="24"/>
                <w:szCs w:val="24"/>
                <w:lang w:val="bg-BG"/>
              </w:rPr>
            </w:pPr>
            <w:r w:rsidRPr="00246B2C">
              <w:rPr>
                <w:rFonts w:ascii="Times New Roman" w:eastAsia="Times New Roman" w:hAnsi="Times New Roman" w:cs="Times New Roman"/>
                <w:sz w:val="24"/>
                <w:szCs w:val="24"/>
                <w:lang w:val="bg-BG"/>
              </w:rPr>
              <w:t>Дата</w:t>
            </w:r>
            <w:r w:rsidRPr="00246B2C">
              <w:rPr>
                <w:rFonts w:ascii="Times New Roman" w:eastAsia="Times New Roman" w:hAnsi="Times New Roman" w:cs="Times New Roman"/>
                <w:b/>
                <w:bCs/>
                <w:sz w:val="24"/>
                <w:szCs w:val="24"/>
                <w:lang w:val="bg-BG"/>
              </w:rPr>
              <w:t xml:space="preserve">: </w:t>
            </w:r>
            <w:r w:rsidR="00E25F73">
              <w:rPr>
                <w:rFonts w:ascii="Times New Roman" w:eastAsia="Times New Roman" w:hAnsi="Times New Roman" w:cs="Times New Roman"/>
                <w:sz w:val="24"/>
                <w:szCs w:val="24"/>
                <w:lang w:val="bg-BG"/>
              </w:rPr>
              <w:t>11.04</w:t>
            </w:r>
            <w:r w:rsidR="00B57E71" w:rsidRPr="00246B2C">
              <w:rPr>
                <w:rFonts w:ascii="Times New Roman" w:eastAsia="Times New Roman" w:hAnsi="Times New Roman" w:cs="Times New Roman"/>
                <w:sz w:val="24"/>
                <w:szCs w:val="24"/>
                <w:lang w:val="bg-BG"/>
              </w:rPr>
              <w:t>.2024</w:t>
            </w:r>
            <w:r w:rsidRPr="00246B2C">
              <w:rPr>
                <w:rFonts w:ascii="Times New Roman" w:eastAsia="Times New Roman" w:hAnsi="Times New Roman" w:cs="Times New Roman"/>
                <w:sz w:val="24"/>
                <w:szCs w:val="24"/>
                <w:lang w:val="bg-BG"/>
              </w:rPr>
              <w:t xml:space="preserve"> г. </w:t>
            </w:r>
            <w:r w:rsidRPr="00246B2C">
              <w:rPr>
                <w:rFonts w:ascii="Times New Roman" w:eastAsia="Times New Roman" w:hAnsi="Times New Roman" w:cs="Times New Roman"/>
                <w:i/>
                <w:sz w:val="24"/>
                <w:szCs w:val="24"/>
                <w:lang w:val="bg-BG"/>
              </w:rPr>
              <w:t>(дд/мм/гггг)</w:t>
            </w:r>
            <w:r w:rsidRPr="00246B2C">
              <w:rPr>
                <w:rFonts w:ascii="Times New Roman" w:eastAsia="Times New Roman" w:hAnsi="Times New Roman" w:cs="Times New Roman"/>
                <w:sz w:val="24"/>
                <w:szCs w:val="24"/>
                <w:lang w:val="bg-BG"/>
              </w:rPr>
              <w:t xml:space="preserve"> </w:t>
            </w:r>
          </w:p>
          <w:p w14:paraId="0AA9430E" w14:textId="77777777" w:rsidR="00383319" w:rsidRPr="00246B2C" w:rsidRDefault="00383319" w:rsidP="00D6454E">
            <w:pPr>
              <w:autoSpaceDE w:val="0"/>
              <w:spacing w:after="0" w:line="240" w:lineRule="auto"/>
              <w:ind w:left="62" w:right="340"/>
              <w:jc w:val="both"/>
              <w:rPr>
                <w:rFonts w:ascii="Times New Roman" w:eastAsia="Times New Roman" w:hAnsi="Times New Roman" w:cs="Times New Roman"/>
                <w:b/>
                <w:bCs/>
                <w:sz w:val="24"/>
                <w:szCs w:val="24"/>
                <w:lang w:val="bg-BG"/>
              </w:rPr>
            </w:pPr>
            <w:r w:rsidRPr="00246B2C">
              <w:rPr>
                <w:rFonts w:ascii="Times New Roman" w:eastAsia="Times New Roman" w:hAnsi="Times New Roman" w:cs="Times New Roman"/>
                <w:sz w:val="24"/>
                <w:szCs w:val="24"/>
                <w:lang w:val="bg-BG"/>
              </w:rPr>
              <w:t>Час: 11:00 ч.</w:t>
            </w:r>
          </w:p>
          <w:p w14:paraId="1A7E2E5B" w14:textId="77777777" w:rsidR="00383319" w:rsidRPr="00383319" w:rsidRDefault="00383319" w:rsidP="00D6454E">
            <w:pPr>
              <w:tabs>
                <w:tab w:val="center" w:pos="4153"/>
                <w:tab w:val="right" w:pos="8306"/>
              </w:tabs>
              <w:autoSpaceDE w:val="0"/>
              <w:spacing w:after="0" w:line="240" w:lineRule="auto"/>
              <w:ind w:left="62" w:right="340"/>
              <w:jc w:val="both"/>
              <w:rPr>
                <w:rFonts w:ascii="Times New Roman" w:eastAsia="Times New Roman" w:hAnsi="Times New Roman" w:cs="Times New Roman"/>
                <w:sz w:val="24"/>
                <w:szCs w:val="24"/>
                <w:lang w:val="bg-BG"/>
              </w:rPr>
            </w:pPr>
            <w:r w:rsidRPr="00246B2C">
              <w:rPr>
                <w:rFonts w:ascii="Times New Roman" w:eastAsia="Times New Roman" w:hAnsi="Times New Roman" w:cs="Times New Roman"/>
                <w:sz w:val="24"/>
                <w:szCs w:val="24"/>
                <w:lang w:val="bg-BG"/>
              </w:rPr>
              <w:t xml:space="preserve">Място </w:t>
            </w:r>
            <w:r w:rsidRPr="00246B2C">
              <w:rPr>
                <w:rFonts w:ascii="Times New Roman" w:eastAsia="Times New Roman" w:hAnsi="Times New Roman" w:cs="Times New Roman"/>
                <w:i/>
                <w:sz w:val="24"/>
                <w:szCs w:val="24"/>
                <w:lang w:val="bg-BG"/>
              </w:rPr>
              <w:t>(</w:t>
            </w:r>
            <w:r w:rsidRPr="00246B2C">
              <w:rPr>
                <w:rFonts w:ascii="Times New Roman" w:eastAsia="Times New Roman" w:hAnsi="Times New Roman" w:cs="Times New Roman"/>
                <w:i/>
                <w:iCs/>
                <w:sz w:val="24"/>
                <w:szCs w:val="24"/>
                <w:lang w:val="bg-BG"/>
              </w:rPr>
              <w:t>когато е приложимо</w:t>
            </w:r>
            <w:r w:rsidRPr="00246B2C">
              <w:rPr>
                <w:rFonts w:ascii="Times New Roman" w:eastAsia="Times New Roman" w:hAnsi="Times New Roman" w:cs="Times New Roman"/>
                <w:i/>
                <w:sz w:val="24"/>
                <w:szCs w:val="24"/>
                <w:lang w:val="bg-BG"/>
              </w:rPr>
              <w:t>)</w:t>
            </w:r>
            <w:r w:rsidRPr="00246B2C">
              <w:rPr>
                <w:rFonts w:ascii="Times New Roman" w:eastAsia="Times New Roman" w:hAnsi="Times New Roman" w:cs="Times New Roman"/>
                <w:sz w:val="24"/>
                <w:szCs w:val="24"/>
                <w:lang w:val="bg-BG"/>
              </w:rPr>
              <w:t>: неприложимо</w:t>
            </w:r>
          </w:p>
          <w:p w14:paraId="75C50A5C" w14:textId="77777777" w:rsidR="00383319" w:rsidRPr="00383319" w:rsidRDefault="00383319" w:rsidP="00D6454E">
            <w:pPr>
              <w:tabs>
                <w:tab w:val="center" w:pos="4153"/>
                <w:tab w:val="right" w:pos="8306"/>
              </w:tabs>
              <w:autoSpaceDE w:val="0"/>
              <w:spacing w:after="0" w:line="240" w:lineRule="auto"/>
              <w:ind w:left="62" w:right="340"/>
              <w:jc w:val="both"/>
              <w:rPr>
                <w:rFonts w:ascii="Times New Roman" w:eastAsia="Times New Roman" w:hAnsi="Times New Roman" w:cs="Times New Roman"/>
                <w:b/>
                <w:bCs/>
                <w:sz w:val="24"/>
                <w:szCs w:val="24"/>
                <w:lang w:val="bg-BG"/>
              </w:rPr>
            </w:pPr>
          </w:p>
        </w:tc>
      </w:tr>
    </w:tbl>
    <w:p w14:paraId="51098AAF"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sz w:val="24"/>
          <w:szCs w:val="24"/>
          <w:lang w:val="bg-BG"/>
        </w:rPr>
      </w:pPr>
    </w:p>
    <w:p w14:paraId="761A4C43"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sz w:val="24"/>
          <w:szCs w:val="24"/>
          <w:lang w:val="bg-BG"/>
        </w:rPr>
      </w:pPr>
      <w:r w:rsidRPr="00383319">
        <w:rPr>
          <w:rFonts w:ascii="Times New Roman" w:eastAsia="Times New Roman" w:hAnsi="Times New Roman" w:cs="Times New Roman"/>
          <w:b/>
          <w:sz w:val="24"/>
          <w:szCs w:val="24"/>
          <w:lang w:val="bg-BG"/>
        </w:rPr>
        <w:t xml:space="preserve">РАЗДЕЛ V: СПИСЪК  НА  ДОКУМЕНТИТЕ, КОИТО СЛЕДВА  ДА  СЪДЪРЖАТ ОФЕРТИТЕ ЗА УЧАСТИЕ </w:t>
      </w:r>
    </w:p>
    <w:p w14:paraId="69ECADBC"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sz w:val="24"/>
          <w:szCs w:val="24"/>
          <w:lang w:val="bg-BG"/>
        </w:rPr>
      </w:pPr>
    </w:p>
    <w:p w14:paraId="37D1E7D4" w14:textId="77777777" w:rsidR="00383319" w:rsidRPr="00383319" w:rsidRDefault="00383319" w:rsidP="00D6454E">
      <w:pPr>
        <w:autoSpaceDE w:val="0"/>
        <w:spacing w:after="0" w:line="240" w:lineRule="auto"/>
        <w:ind w:left="426" w:right="340"/>
        <w:jc w:val="both"/>
        <w:rPr>
          <w:rFonts w:ascii="Times New Roman" w:eastAsia="Times New Roman" w:hAnsi="Times New Roman" w:cs="Times New Roman"/>
          <w:b/>
          <w:sz w:val="24"/>
          <w:szCs w:val="24"/>
          <w:lang w:val="bg-BG"/>
        </w:rPr>
      </w:pPr>
      <w:r w:rsidRPr="00383319">
        <w:rPr>
          <w:rFonts w:ascii="Times New Roman" w:eastAsia="Times New Roman" w:hAnsi="Times New Roman" w:cs="Times New Roman"/>
          <w:b/>
          <w:sz w:val="24"/>
          <w:szCs w:val="24"/>
          <w:lang w:val="bg-BG"/>
        </w:rPr>
        <w:t xml:space="preserve">А. Документи, удостоверяващи правния статус на кандидата по т.ІІІ.2.1. от настоящата публична покана </w:t>
      </w:r>
      <w:r w:rsidRPr="00383319">
        <w:rPr>
          <w:rFonts w:ascii="Times New Roman" w:eastAsia="Times New Roman" w:hAnsi="Times New Roman" w:cs="Times New Roman"/>
          <w:b/>
          <w:sz w:val="24"/>
          <w:szCs w:val="24"/>
        </w:rPr>
        <w:t>(</w:t>
      </w:r>
      <w:r w:rsidRPr="00383319">
        <w:rPr>
          <w:rFonts w:ascii="Times New Roman" w:eastAsia="Times New Roman" w:hAnsi="Times New Roman" w:cs="Times New Roman"/>
          <w:b/>
          <w:sz w:val="24"/>
          <w:szCs w:val="24"/>
          <w:lang w:val="bg-BG"/>
        </w:rPr>
        <w:t>представя се по един образец, независимо за колко обособени позиции кандидатът подава оферта</w:t>
      </w:r>
      <w:r w:rsidRPr="00383319">
        <w:rPr>
          <w:rFonts w:ascii="Times New Roman" w:eastAsia="Times New Roman" w:hAnsi="Times New Roman" w:cs="Times New Roman"/>
          <w:b/>
          <w:sz w:val="24"/>
          <w:szCs w:val="24"/>
        </w:rPr>
        <w:t>)</w:t>
      </w:r>
      <w:r w:rsidRPr="00383319">
        <w:rPr>
          <w:rFonts w:ascii="Times New Roman" w:eastAsia="Times New Roman" w:hAnsi="Times New Roman" w:cs="Times New Roman"/>
          <w:b/>
          <w:sz w:val="24"/>
          <w:szCs w:val="24"/>
          <w:lang w:val="bg-BG"/>
        </w:rPr>
        <w:t>:</w:t>
      </w:r>
    </w:p>
    <w:p w14:paraId="0AB78463" w14:textId="77777777" w:rsidR="00383319" w:rsidRPr="00383319" w:rsidRDefault="00383319" w:rsidP="00D6454E">
      <w:pPr>
        <w:tabs>
          <w:tab w:val="left" w:pos="284"/>
        </w:tabs>
        <w:autoSpaceDE w:val="0"/>
        <w:spacing w:after="0" w:line="240" w:lineRule="auto"/>
        <w:ind w:left="426"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1.</w:t>
      </w:r>
      <w:r w:rsidRPr="00383319">
        <w:rPr>
          <w:rFonts w:ascii="Times New Roman" w:eastAsia="Times New Roman" w:hAnsi="Times New Roman" w:cs="Times New Roman"/>
          <w:sz w:val="24"/>
          <w:szCs w:val="24"/>
          <w:lang w:val="bg-BG"/>
        </w:rPr>
        <w:tab/>
        <w:t>Декларация с посочване на ЕИК (по образец № 1, приложен към настоящата публична покана) или Удостоверение за актуално състояние, а когато участникът е физическо лице - документ за самоличност. За чуждестранните лица – съответен еквивалентен/ни документ/и, издаден/и от съдебен или административен орган в държавата, в която е установен. Документът/тите трябва да съдържа/т информация за идентификационен номер и за представляващите юридическото лице, да е/са издаден/и не по-рано от 6 месеца от датата на отваряне на офертите.</w:t>
      </w:r>
    </w:p>
    <w:p w14:paraId="3D5E91AC" w14:textId="347CCDC2" w:rsidR="00383319" w:rsidRPr="00383319" w:rsidRDefault="00383319" w:rsidP="00D6454E">
      <w:pPr>
        <w:tabs>
          <w:tab w:val="left" w:pos="284"/>
        </w:tabs>
        <w:autoSpaceDE w:val="0"/>
        <w:spacing w:after="0" w:line="240" w:lineRule="auto"/>
        <w:ind w:left="426"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2.</w:t>
      </w:r>
      <w:r w:rsidRPr="00383319">
        <w:rPr>
          <w:rFonts w:ascii="Times New Roman" w:eastAsia="Times New Roman" w:hAnsi="Times New Roman" w:cs="Times New Roman"/>
          <w:sz w:val="24"/>
          <w:szCs w:val="24"/>
          <w:lang w:val="bg-BG"/>
        </w:rPr>
        <w:tab/>
        <w:t>Декларация по чл. 12, ал. 1, т. 1 от ПМС №</w:t>
      </w:r>
      <w:r w:rsidR="00D6454E">
        <w:rPr>
          <w:rFonts w:ascii="Times New Roman" w:eastAsia="Times New Roman" w:hAnsi="Times New Roman" w:cs="Times New Roman"/>
          <w:sz w:val="24"/>
          <w:szCs w:val="24"/>
          <w:lang w:val="bg-BG"/>
        </w:rPr>
        <w:t xml:space="preserve"> </w:t>
      </w:r>
      <w:r w:rsidR="0033313F">
        <w:rPr>
          <w:rFonts w:ascii="Times New Roman" w:eastAsia="Times New Roman" w:hAnsi="Times New Roman" w:cs="Times New Roman"/>
          <w:sz w:val="24"/>
          <w:szCs w:val="24"/>
          <w:lang w:val="bg-BG"/>
        </w:rPr>
        <w:t>4</w:t>
      </w:r>
      <w:r w:rsidRPr="00383319">
        <w:rPr>
          <w:rFonts w:ascii="Times New Roman" w:eastAsia="Times New Roman" w:hAnsi="Times New Roman" w:cs="Times New Roman"/>
          <w:sz w:val="24"/>
          <w:szCs w:val="24"/>
          <w:lang w:val="bg-BG"/>
        </w:rPr>
        <w:t>/</w:t>
      </w:r>
      <w:r w:rsidR="0033313F">
        <w:rPr>
          <w:rFonts w:ascii="Times New Roman" w:eastAsia="Times New Roman" w:hAnsi="Times New Roman" w:cs="Times New Roman"/>
          <w:sz w:val="24"/>
          <w:szCs w:val="24"/>
          <w:lang w:val="bg-BG"/>
        </w:rPr>
        <w:t>1</w:t>
      </w:r>
      <w:r w:rsidRPr="00383319">
        <w:rPr>
          <w:rFonts w:ascii="Times New Roman" w:eastAsia="Times New Roman" w:hAnsi="Times New Roman" w:cs="Times New Roman"/>
          <w:sz w:val="24"/>
          <w:szCs w:val="24"/>
          <w:lang w:val="bg-BG"/>
        </w:rPr>
        <w:t>1.0</w:t>
      </w:r>
      <w:r w:rsidR="0033313F">
        <w:rPr>
          <w:rFonts w:ascii="Times New Roman" w:eastAsia="Times New Roman" w:hAnsi="Times New Roman" w:cs="Times New Roman"/>
          <w:sz w:val="24"/>
          <w:szCs w:val="24"/>
          <w:lang w:val="bg-BG"/>
        </w:rPr>
        <w:t>1</w:t>
      </w:r>
      <w:r w:rsidRPr="00383319">
        <w:rPr>
          <w:rFonts w:ascii="Times New Roman" w:eastAsia="Times New Roman" w:hAnsi="Times New Roman" w:cs="Times New Roman"/>
          <w:sz w:val="24"/>
          <w:szCs w:val="24"/>
          <w:lang w:val="bg-BG"/>
        </w:rPr>
        <w:t>.20</w:t>
      </w:r>
      <w:r w:rsidR="0033313F">
        <w:rPr>
          <w:rFonts w:ascii="Times New Roman" w:eastAsia="Times New Roman" w:hAnsi="Times New Roman" w:cs="Times New Roman"/>
          <w:sz w:val="24"/>
          <w:szCs w:val="24"/>
          <w:lang w:val="bg-BG"/>
        </w:rPr>
        <w:t>24</w:t>
      </w:r>
      <w:r w:rsidRPr="00383319">
        <w:rPr>
          <w:rFonts w:ascii="Times New Roman" w:eastAsia="Times New Roman" w:hAnsi="Times New Roman" w:cs="Times New Roman"/>
          <w:sz w:val="24"/>
          <w:szCs w:val="24"/>
          <w:lang w:val="bg-BG"/>
        </w:rPr>
        <w:t xml:space="preserve"> г. (по образец № 2, приложен към настоящата публична покана)</w:t>
      </w:r>
    </w:p>
    <w:p w14:paraId="700746CD" w14:textId="77777777" w:rsidR="00383319" w:rsidRPr="00383319" w:rsidRDefault="00383319" w:rsidP="00D6454E">
      <w:pPr>
        <w:tabs>
          <w:tab w:val="left" w:pos="284"/>
        </w:tabs>
        <w:autoSpaceDE w:val="0"/>
        <w:spacing w:after="0" w:line="240" w:lineRule="auto"/>
        <w:ind w:left="426" w:right="34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3.</w:t>
      </w:r>
      <w:r w:rsidRPr="00383319">
        <w:rPr>
          <w:rFonts w:ascii="Times New Roman" w:eastAsia="Times New Roman" w:hAnsi="Times New Roman" w:cs="Times New Roman"/>
          <w:sz w:val="24"/>
          <w:szCs w:val="24"/>
          <w:lang w:val="bg-BG"/>
        </w:rPr>
        <w:tab/>
        <w:t>Пълномощно за лицето, подписало офертата, ако е различно от представляващия кандидата.</w:t>
      </w:r>
    </w:p>
    <w:p w14:paraId="62342613" w14:textId="77777777" w:rsidR="00383319" w:rsidRPr="00383319" w:rsidRDefault="00383319" w:rsidP="00D6454E">
      <w:pPr>
        <w:tabs>
          <w:tab w:val="left" w:pos="284"/>
        </w:tabs>
        <w:autoSpaceDE w:val="0"/>
        <w:spacing w:after="0" w:line="240" w:lineRule="auto"/>
        <w:ind w:left="426" w:right="340"/>
        <w:jc w:val="both"/>
        <w:rPr>
          <w:rFonts w:ascii="Times New Roman" w:eastAsia="Times New Roman" w:hAnsi="Times New Roman" w:cs="Times New Roman"/>
          <w:sz w:val="24"/>
          <w:szCs w:val="24"/>
          <w:lang w:val="bg-BG"/>
        </w:rPr>
      </w:pPr>
    </w:p>
    <w:p w14:paraId="05A58DA2" w14:textId="77777777" w:rsidR="00383319" w:rsidRPr="00383319" w:rsidRDefault="00383319" w:rsidP="00D6454E">
      <w:pPr>
        <w:tabs>
          <w:tab w:val="left" w:pos="284"/>
        </w:tabs>
        <w:autoSpaceDE w:val="0"/>
        <w:spacing w:after="0" w:line="240" w:lineRule="auto"/>
        <w:ind w:left="426" w:right="340"/>
        <w:jc w:val="both"/>
        <w:rPr>
          <w:rFonts w:ascii="Times New Roman" w:eastAsia="Times New Roman" w:hAnsi="Times New Roman" w:cs="Times New Roman"/>
          <w:b/>
          <w:sz w:val="24"/>
          <w:szCs w:val="24"/>
          <w:lang w:val="bg-BG"/>
        </w:rPr>
      </w:pPr>
      <w:r w:rsidRPr="00383319">
        <w:rPr>
          <w:rFonts w:ascii="Times New Roman" w:eastAsia="Times New Roman" w:hAnsi="Times New Roman" w:cs="Times New Roman"/>
          <w:b/>
          <w:bCs/>
          <w:sz w:val="24"/>
          <w:szCs w:val="24"/>
          <w:lang w:val="bg-BG"/>
        </w:rPr>
        <w:t>Б. Документи, доказващи икономическото и финансовото състояние на кандидата по т. ІІІ.2.2</w:t>
      </w:r>
      <w:r w:rsidRPr="00383319">
        <w:rPr>
          <w:rFonts w:ascii="Times New Roman" w:eastAsia="Times New Roman" w:hAnsi="Times New Roman" w:cs="Times New Roman"/>
          <w:b/>
          <w:sz w:val="24"/>
          <w:szCs w:val="24"/>
          <w:lang w:val="bg-BG"/>
        </w:rPr>
        <w:t xml:space="preserve"> от настоящата публична покана </w:t>
      </w:r>
      <w:r w:rsidRPr="00383319">
        <w:rPr>
          <w:rFonts w:ascii="Times New Roman" w:eastAsia="Times New Roman" w:hAnsi="Times New Roman" w:cs="Times New Roman"/>
          <w:b/>
          <w:i/>
          <w:sz w:val="24"/>
          <w:szCs w:val="24"/>
          <w:lang w:val="bg-BG"/>
        </w:rPr>
        <w:t>(Важно: документите, посочени в тази точка,  трябва да съответстват на тези, изброени в т.ІІІ.2.</w:t>
      </w:r>
      <w:r w:rsidRPr="00383319">
        <w:rPr>
          <w:rFonts w:ascii="Times New Roman" w:eastAsia="Times New Roman" w:hAnsi="Times New Roman" w:cs="Times New Roman"/>
          <w:b/>
          <w:i/>
          <w:sz w:val="24"/>
          <w:szCs w:val="24"/>
          <w:lang w:val="ru-RU"/>
        </w:rPr>
        <w:t>2</w:t>
      </w:r>
      <w:r w:rsidRPr="00383319">
        <w:rPr>
          <w:rFonts w:ascii="Times New Roman" w:eastAsia="Times New Roman" w:hAnsi="Times New Roman" w:cs="Times New Roman"/>
          <w:b/>
          <w:i/>
          <w:sz w:val="24"/>
          <w:szCs w:val="24"/>
          <w:lang w:val="bg-BG"/>
        </w:rPr>
        <w:t>.)</w:t>
      </w:r>
      <w:r w:rsidRPr="00383319">
        <w:rPr>
          <w:rFonts w:ascii="Times New Roman" w:eastAsia="Times New Roman" w:hAnsi="Times New Roman" w:cs="Times New Roman"/>
          <w:b/>
          <w:sz w:val="24"/>
          <w:szCs w:val="24"/>
          <w:lang w:val="bg-BG"/>
        </w:rPr>
        <w:t>:</w:t>
      </w:r>
    </w:p>
    <w:p w14:paraId="3B373474" w14:textId="77777777" w:rsidR="00383319" w:rsidRPr="00383319" w:rsidRDefault="00383319" w:rsidP="00D6454E">
      <w:pPr>
        <w:tabs>
          <w:tab w:val="left" w:pos="284"/>
        </w:tabs>
        <w:autoSpaceDE w:val="0"/>
        <w:autoSpaceDN w:val="0"/>
        <w:adjustRightInd w:val="0"/>
        <w:spacing w:after="0" w:line="240" w:lineRule="auto"/>
        <w:ind w:left="426" w:right="340"/>
        <w:jc w:val="both"/>
        <w:rPr>
          <w:rFonts w:ascii="Times New Roman" w:eastAsia="Times New Roman" w:hAnsi="Times New Roman" w:cs="Times New Roman"/>
          <w:color w:val="000000"/>
          <w:sz w:val="24"/>
          <w:szCs w:val="24"/>
          <w:lang w:val="bg-BG" w:eastAsia="bg-BG"/>
        </w:rPr>
      </w:pPr>
      <w:r w:rsidRPr="00383319">
        <w:rPr>
          <w:rFonts w:ascii="Times New Roman" w:eastAsia="Times New Roman" w:hAnsi="Times New Roman" w:cs="Times New Roman"/>
          <w:color w:val="000000"/>
          <w:sz w:val="24"/>
          <w:szCs w:val="24"/>
          <w:lang w:val="bg-BG" w:eastAsia="bg-BG"/>
        </w:rPr>
        <w:t>1. Информация за оборота, който се отнася до предмета на поръчката, най-много за последните 3 приключили финансови години, в зависимост от датата, на която кандидатът е учреден или е започнал дейността си (посочва се в Образец № 3а и 3б – оферта или в свободен текст).</w:t>
      </w:r>
    </w:p>
    <w:p w14:paraId="4FE40D3F" w14:textId="77777777" w:rsidR="00383319" w:rsidRPr="00383319" w:rsidRDefault="00383319" w:rsidP="00D6454E">
      <w:pPr>
        <w:tabs>
          <w:tab w:val="left" w:pos="284"/>
        </w:tabs>
        <w:autoSpaceDE w:val="0"/>
        <w:spacing w:after="0" w:line="240" w:lineRule="auto"/>
        <w:ind w:left="426" w:right="340"/>
        <w:jc w:val="both"/>
        <w:rPr>
          <w:rFonts w:ascii="Times New Roman" w:eastAsia="Times New Roman" w:hAnsi="Times New Roman" w:cs="Times New Roman"/>
          <w:sz w:val="24"/>
          <w:szCs w:val="24"/>
          <w:highlight w:val="yellow"/>
          <w:lang w:val="bg-BG"/>
        </w:rPr>
      </w:pPr>
    </w:p>
    <w:p w14:paraId="7ADD122F" w14:textId="77777777" w:rsidR="00383319" w:rsidRPr="00383319" w:rsidRDefault="00383319" w:rsidP="00D6454E">
      <w:pPr>
        <w:tabs>
          <w:tab w:val="left" w:pos="284"/>
        </w:tabs>
        <w:autoSpaceDE w:val="0"/>
        <w:autoSpaceDN w:val="0"/>
        <w:adjustRightInd w:val="0"/>
        <w:spacing w:after="0" w:line="240" w:lineRule="auto"/>
        <w:ind w:left="426" w:right="340"/>
        <w:jc w:val="both"/>
        <w:rPr>
          <w:rFonts w:ascii="Times New Roman" w:eastAsia="Times New Roman" w:hAnsi="Times New Roman" w:cs="Times New Roman"/>
          <w:b/>
          <w:color w:val="000000"/>
          <w:sz w:val="24"/>
          <w:szCs w:val="24"/>
          <w:lang w:val="bg-BG" w:eastAsia="bg-BG"/>
        </w:rPr>
      </w:pPr>
      <w:r w:rsidRPr="00383319">
        <w:rPr>
          <w:rFonts w:ascii="Times New Roman" w:eastAsia="Times New Roman" w:hAnsi="Times New Roman" w:cs="Times New Roman"/>
          <w:b/>
          <w:color w:val="000000"/>
          <w:sz w:val="24"/>
          <w:szCs w:val="24"/>
          <w:lang w:val="bg-BG" w:eastAsia="bg-BG"/>
        </w:rPr>
        <w:t>Г. Други изискуеми от кандидата документи:</w:t>
      </w:r>
    </w:p>
    <w:p w14:paraId="0E0F8F49" w14:textId="77777777" w:rsidR="00383319" w:rsidRPr="00383319" w:rsidRDefault="00383319" w:rsidP="00D6454E">
      <w:pPr>
        <w:numPr>
          <w:ilvl w:val="0"/>
          <w:numId w:val="2"/>
        </w:numPr>
        <w:tabs>
          <w:tab w:val="left" w:pos="284"/>
          <w:tab w:val="num" w:pos="851"/>
        </w:tabs>
        <w:spacing w:after="0" w:line="240" w:lineRule="auto"/>
        <w:ind w:left="426" w:right="340" w:firstLine="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Образец № 3а и 3б - оферта (с включени срок на валидност, подизпълнители, в случай, че е приложимо, техническо предложение с приложения и ценово предложение)  за съответните обособени позиции;</w:t>
      </w:r>
    </w:p>
    <w:p w14:paraId="05F8A0E4" w14:textId="77777777" w:rsidR="00383319" w:rsidRPr="00383319" w:rsidRDefault="00383319" w:rsidP="00D6454E">
      <w:pPr>
        <w:numPr>
          <w:ilvl w:val="0"/>
          <w:numId w:val="2"/>
        </w:numPr>
        <w:tabs>
          <w:tab w:val="left" w:pos="284"/>
        </w:tabs>
        <w:spacing w:after="0" w:line="240" w:lineRule="auto"/>
        <w:ind w:left="426" w:right="340" w:firstLine="0"/>
        <w:jc w:val="both"/>
        <w:rPr>
          <w:rFonts w:ascii="Times New Roman" w:eastAsia="Times New Roman" w:hAnsi="Times New Roman" w:cs="Times New Roman"/>
          <w:sz w:val="24"/>
          <w:szCs w:val="24"/>
          <w:lang w:val="bg-BG"/>
        </w:rPr>
      </w:pPr>
      <w:r w:rsidRPr="00383319">
        <w:rPr>
          <w:rFonts w:ascii="Times New Roman" w:eastAsia="Times New Roman" w:hAnsi="Times New Roman" w:cs="Times New Roman"/>
          <w:sz w:val="24"/>
          <w:szCs w:val="24"/>
          <w:lang w:val="bg-BG"/>
        </w:rPr>
        <w:t xml:space="preserve">Документи по  т.А.1, А.2 и Б за подизпълнителите </w:t>
      </w:r>
      <w:r w:rsidRPr="00383319">
        <w:rPr>
          <w:rFonts w:ascii="Times New Roman" w:eastAsia="Times New Roman" w:hAnsi="Times New Roman" w:cs="Times New Roman"/>
          <w:sz w:val="24"/>
          <w:szCs w:val="24"/>
        </w:rPr>
        <w:t>(</w:t>
      </w:r>
      <w:r w:rsidRPr="00383319">
        <w:rPr>
          <w:rFonts w:ascii="Times New Roman" w:eastAsia="Times New Roman" w:hAnsi="Times New Roman" w:cs="Times New Roman"/>
          <w:sz w:val="24"/>
          <w:szCs w:val="24"/>
          <w:lang w:val="bg-BG"/>
        </w:rPr>
        <w:t>в случай, че е приложимо</w:t>
      </w:r>
      <w:r w:rsidRPr="00383319">
        <w:rPr>
          <w:rFonts w:ascii="Times New Roman" w:eastAsia="Times New Roman" w:hAnsi="Times New Roman" w:cs="Times New Roman"/>
          <w:sz w:val="24"/>
          <w:szCs w:val="24"/>
        </w:rPr>
        <w:t>)</w:t>
      </w:r>
    </w:p>
    <w:p w14:paraId="2E40F53D" w14:textId="77777777" w:rsidR="00383319" w:rsidRPr="00383319" w:rsidRDefault="00383319" w:rsidP="00D6454E">
      <w:pPr>
        <w:tabs>
          <w:tab w:val="left" w:pos="284"/>
        </w:tabs>
        <w:spacing w:after="0" w:line="240" w:lineRule="auto"/>
        <w:ind w:left="426" w:right="340"/>
        <w:jc w:val="both"/>
        <w:rPr>
          <w:rFonts w:ascii="Times New Roman" w:eastAsia="Times New Roman" w:hAnsi="Times New Roman" w:cs="Times New Roman"/>
          <w:sz w:val="24"/>
          <w:szCs w:val="24"/>
          <w:u w:val="single"/>
          <w:lang w:val="bg-BG"/>
        </w:rPr>
      </w:pPr>
    </w:p>
    <w:p w14:paraId="0D0CF7A9" w14:textId="77777777" w:rsidR="00383319" w:rsidRPr="00383319" w:rsidRDefault="00383319" w:rsidP="00D6454E">
      <w:pPr>
        <w:tabs>
          <w:tab w:val="left" w:pos="284"/>
        </w:tabs>
        <w:autoSpaceDE w:val="0"/>
        <w:spacing w:after="0" w:line="240" w:lineRule="auto"/>
        <w:ind w:left="426" w:right="340"/>
        <w:jc w:val="both"/>
        <w:rPr>
          <w:rFonts w:ascii="Times New Roman" w:eastAsia="Times New Roman" w:hAnsi="Times New Roman" w:cs="Times New Roman"/>
          <w:b/>
          <w:bCs/>
          <w:sz w:val="24"/>
          <w:szCs w:val="24"/>
          <w:lang w:val="ru-RU"/>
        </w:rPr>
      </w:pPr>
    </w:p>
    <w:p w14:paraId="4585C159" w14:textId="77777777" w:rsidR="00383319" w:rsidRPr="00383319" w:rsidRDefault="00383319" w:rsidP="00D6454E">
      <w:pPr>
        <w:tabs>
          <w:tab w:val="left" w:pos="284"/>
        </w:tabs>
        <w:autoSpaceDE w:val="0"/>
        <w:spacing w:after="0" w:line="240" w:lineRule="auto"/>
        <w:ind w:left="426" w:right="340"/>
        <w:jc w:val="both"/>
        <w:rPr>
          <w:rFonts w:ascii="Times New Roman" w:eastAsia="Times New Roman" w:hAnsi="Times New Roman" w:cs="Times New Roman"/>
          <w:b/>
          <w:bCs/>
          <w:sz w:val="24"/>
          <w:szCs w:val="24"/>
          <w:lang w:val="bg-BG"/>
        </w:rPr>
      </w:pPr>
      <w:r w:rsidRPr="00383319">
        <w:rPr>
          <w:rFonts w:ascii="Times New Roman" w:eastAsia="Times New Roman" w:hAnsi="Times New Roman" w:cs="Times New Roman"/>
          <w:b/>
          <w:bCs/>
          <w:sz w:val="24"/>
          <w:szCs w:val="24"/>
          <w:lang w:val="bg-BG"/>
        </w:rPr>
        <w:t>РАЗДЕЛ VІ: ДРУГА ИНФОРМАЦИЯ</w:t>
      </w:r>
    </w:p>
    <w:p w14:paraId="37573A97" w14:textId="77777777" w:rsidR="00383319" w:rsidRPr="00383319" w:rsidRDefault="00383319" w:rsidP="00D6454E">
      <w:pPr>
        <w:tabs>
          <w:tab w:val="left" w:pos="284"/>
        </w:tabs>
        <w:autoSpaceDE w:val="0"/>
        <w:spacing w:after="0" w:line="240" w:lineRule="auto"/>
        <w:ind w:left="426" w:right="340"/>
        <w:jc w:val="both"/>
        <w:rPr>
          <w:rFonts w:ascii="Times New Roman" w:eastAsia="Times New Roman" w:hAnsi="Times New Roman" w:cs="Times New Roman"/>
          <w:b/>
          <w:bCs/>
          <w:sz w:val="24"/>
          <w:szCs w:val="24"/>
          <w:lang w:val="bg-BG"/>
        </w:rPr>
      </w:pPr>
    </w:p>
    <w:p w14:paraId="286F82BB" w14:textId="3121256E" w:rsidR="00383319" w:rsidRPr="00383319" w:rsidRDefault="00383319" w:rsidP="00D6454E">
      <w:pPr>
        <w:numPr>
          <w:ilvl w:val="0"/>
          <w:numId w:val="3"/>
        </w:numPr>
        <w:tabs>
          <w:tab w:val="left" w:pos="284"/>
        </w:tabs>
        <w:autoSpaceDE w:val="0"/>
        <w:spacing w:after="0" w:line="240" w:lineRule="auto"/>
        <w:ind w:left="426" w:right="340" w:firstLine="0"/>
        <w:jc w:val="both"/>
        <w:rPr>
          <w:rFonts w:ascii="Times New Roman" w:eastAsia="Times New Roman" w:hAnsi="Times New Roman" w:cs="Times New Roman"/>
          <w:sz w:val="24"/>
          <w:szCs w:val="20"/>
          <w:lang w:val="bg-BG"/>
        </w:rPr>
      </w:pPr>
      <w:r w:rsidRPr="00383319">
        <w:rPr>
          <w:rFonts w:ascii="Times New Roman" w:eastAsia="Times New Roman" w:hAnsi="Times New Roman" w:cs="Times New Roman"/>
          <w:sz w:val="24"/>
          <w:szCs w:val="20"/>
          <w:lang w:val="bg-BG"/>
        </w:rPr>
        <w:t xml:space="preserve">До 4 календарни дни преди изтичането на срока за подаване на офертите лицата могат да </w:t>
      </w:r>
      <w:r w:rsidRPr="00820B55">
        <w:rPr>
          <w:rFonts w:ascii="Times New Roman" w:eastAsia="Times New Roman" w:hAnsi="Times New Roman" w:cs="Times New Roman"/>
          <w:sz w:val="24"/>
          <w:szCs w:val="20"/>
          <w:lang w:val="bg-BG"/>
        </w:rPr>
        <w:t>поискат писмено от възложителя чрез електронната поща на Възложителя (</w:t>
      </w:r>
      <w:r w:rsidR="00B57E71" w:rsidRPr="00820B55">
        <w:rPr>
          <w:rFonts w:ascii="Times New Roman" w:eastAsia="Times New Roman" w:hAnsi="Times New Roman" w:cs="Times New Roman"/>
          <w:sz w:val="24"/>
          <w:szCs w:val="20"/>
          <w:lang w:val="bg-BG"/>
        </w:rPr>
        <w:t>bspb_hq@bspb.org</w:t>
      </w:r>
      <w:r w:rsidRPr="00820B55">
        <w:rPr>
          <w:rFonts w:ascii="Times New Roman" w:eastAsia="Times New Roman" w:hAnsi="Times New Roman" w:cs="Times New Roman"/>
          <w:sz w:val="24"/>
          <w:szCs w:val="20"/>
          <w:lang w:val="bg-BG"/>
        </w:rPr>
        <w:t>)</w:t>
      </w:r>
      <w:r w:rsidRPr="00383319">
        <w:rPr>
          <w:rFonts w:ascii="Times New Roman" w:eastAsia="Times New Roman" w:hAnsi="Times New Roman" w:cs="Times New Roman"/>
          <w:sz w:val="24"/>
          <w:szCs w:val="20"/>
          <w:lang w:val="bg-BG"/>
        </w:rPr>
        <w:t xml:space="preserve"> разяснения по документацията за участие. Възложителя е длъжен да отговори в 3-дневен срок от датата на постъпване на искането.</w:t>
      </w:r>
    </w:p>
    <w:p w14:paraId="58F70B89" w14:textId="77777777" w:rsidR="00383319" w:rsidRPr="00383319" w:rsidRDefault="00383319" w:rsidP="00D6454E">
      <w:pPr>
        <w:numPr>
          <w:ilvl w:val="0"/>
          <w:numId w:val="3"/>
        </w:numPr>
        <w:tabs>
          <w:tab w:val="left" w:pos="284"/>
        </w:tabs>
        <w:autoSpaceDE w:val="0"/>
        <w:spacing w:after="0" w:line="240" w:lineRule="auto"/>
        <w:ind w:left="426" w:right="340" w:firstLine="0"/>
        <w:jc w:val="both"/>
        <w:rPr>
          <w:rFonts w:ascii="Times New Roman" w:eastAsia="Times New Roman" w:hAnsi="Times New Roman" w:cs="Times New Roman"/>
          <w:sz w:val="24"/>
          <w:szCs w:val="20"/>
          <w:lang w:val="bg-BG"/>
        </w:rPr>
      </w:pPr>
      <w:r w:rsidRPr="00383319">
        <w:rPr>
          <w:rFonts w:ascii="Times New Roman" w:eastAsia="Times New Roman" w:hAnsi="Times New Roman" w:cs="Times New Roman"/>
          <w:sz w:val="24"/>
          <w:szCs w:val="20"/>
          <w:lang w:val="bg-BG"/>
        </w:rPr>
        <w:t>Разясненията се публикуват в Единния информационен портал.</w:t>
      </w:r>
    </w:p>
    <w:p w14:paraId="07BBD7D2" w14:textId="76D40844" w:rsidR="00A73F7D" w:rsidRPr="00D6454E" w:rsidRDefault="00383319" w:rsidP="00D6454E">
      <w:pPr>
        <w:numPr>
          <w:ilvl w:val="0"/>
          <w:numId w:val="3"/>
        </w:numPr>
        <w:tabs>
          <w:tab w:val="left" w:pos="284"/>
        </w:tabs>
        <w:autoSpaceDE w:val="0"/>
        <w:spacing w:after="0" w:line="240" w:lineRule="auto"/>
        <w:ind w:left="426" w:right="340" w:firstLine="0"/>
        <w:jc w:val="both"/>
        <w:rPr>
          <w:rFonts w:ascii="Open Sans" w:hAnsi="Open Sans" w:cs="Open Sans"/>
        </w:rPr>
      </w:pPr>
      <w:r w:rsidRPr="00D6454E">
        <w:rPr>
          <w:rFonts w:ascii="Times New Roman" w:eastAsia="Times New Roman" w:hAnsi="Times New Roman" w:cs="Times New Roman"/>
          <w:sz w:val="24"/>
          <w:szCs w:val="20"/>
          <w:lang w:val="bg-BG"/>
        </w:rPr>
        <w:t>Възложителят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w:t>
      </w:r>
    </w:p>
    <w:p w14:paraId="33E546D2" w14:textId="77777777" w:rsidR="00A73F7D" w:rsidRDefault="00A73F7D">
      <w:pPr>
        <w:rPr>
          <w:rFonts w:ascii="Open Sans" w:hAnsi="Open Sans" w:cs="Open Sans"/>
        </w:rPr>
      </w:pPr>
    </w:p>
    <w:p w14:paraId="4C150324" w14:textId="77777777" w:rsidR="00A73F7D" w:rsidRPr="009A5EE9" w:rsidRDefault="00A73F7D">
      <w:pPr>
        <w:rPr>
          <w:rFonts w:ascii="Open Sans" w:hAnsi="Open Sans" w:cs="Open Sans"/>
        </w:rPr>
      </w:pPr>
    </w:p>
    <w:sectPr w:rsidR="00A73F7D" w:rsidRPr="009A5EE9" w:rsidSect="00D32E10">
      <w:headerReference w:type="default" r:id="rId13"/>
      <w:pgSz w:w="11906" w:h="16838" w:code="9"/>
      <w:pgMar w:top="680" w:right="680" w:bottom="680" w:left="6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02C9F" w14:textId="77777777" w:rsidR="00D32E10" w:rsidRDefault="00D32E10" w:rsidP="00383319">
      <w:pPr>
        <w:spacing w:after="0" w:line="240" w:lineRule="auto"/>
      </w:pPr>
      <w:r>
        <w:separator/>
      </w:r>
    </w:p>
  </w:endnote>
  <w:endnote w:type="continuationSeparator" w:id="0">
    <w:p w14:paraId="0494A08D" w14:textId="77777777" w:rsidR="00D32E10" w:rsidRDefault="00D32E10" w:rsidP="00383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BA561" w14:textId="77777777" w:rsidR="00D32E10" w:rsidRDefault="00D32E10" w:rsidP="00383319">
      <w:pPr>
        <w:spacing w:after="0" w:line="240" w:lineRule="auto"/>
      </w:pPr>
      <w:r>
        <w:separator/>
      </w:r>
    </w:p>
  </w:footnote>
  <w:footnote w:type="continuationSeparator" w:id="0">
    <w:p w14:paraId="35E5CE45" w14:textId="77777777" w:rsidR="00D32E10" w:rsidRDefault="00D32E10" w:rsidP="003833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8A894" w14:textId="62107BB7" w:rsidR="00383319" w:rsidRDefault="00383319">
    <w:pPr>
      <w:pStyle w:val="Header"/>
    </w:pPr>
    <w:r>
      <w:rPr>
        <w:rFonts w:ascii="Open Sans" w:hAnsi="Open Sans" w:cs="Open Sans"/>
        <w:noProof/>
        <w:lang w:val="bg-BG" w:eastAsia="bg-BG"/>
      </w:rPr>
      <w:drawing>
        <wp:inline distT="0" distB="0" distL="0" distR="0" wp14:anchorId="2D670E0C" wp14:editId="6592B1C8">
          <wp:extent cx="3076575" cy="1005477"/>
          <wp:effectExtent l="0" t="0" r="0" b="4445"/>
          <wp:docPr id="11770719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071905" name="Picture 117707190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34036" cy="105693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6869AB"/>
    <w:multiLevelType w:val="hybridMultilevel"/>
    <w:tmpl w:val="34C036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2E360432"/>
    <w:multiLevelType w:val="hybridMultilevel"/>
    <w:tmpl w:val="5552BB00"/>
    <w:lvl w:ilvl="0" w:tplc="04020013">
      <w:start w:val="1"/>
      <w:numFmt w:val="upperRoman"/>
      <w:lvlText w:val="%1."/>
      <w:lvlJc w:val="righ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EF80DEE"/>
    <w:multiLevelType w:val="hybridMultilevel"/>
    <w:tmpl w:val="4B98770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0FE2B02"/>
    <w:multiLevelType w:val="hybridMultilevel"/>
    <w:tmpl w:val="DC600560"/>
    <w:lvl w:ilvl="0" w:tplc="040E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16cid:durableId="2023898519">
    <w:abstractNumId w:val="1"/>
  </w:num>
  <w:num w:numId="2" w16cid:durableId="2055502212">
    <w:abstractNumId w:val="6"/>
  </w:num>
  <w:num w:numId="3" w16cid:durableId="448820570">
    <w:abstractNumId w:val="5"/>
  </w:num>
  <w:num w:numId="4" w16cid:durableId="1368487485">
    <w:abstractNumId w:val="3"/>
  </w:num>
  <w:num w:numId="5" w16cid:durableId="29310012">
    <w:abstractNumId w:val="2"/>
  </w:num>
  <w:num w:numId="6" w16cid:durableId="1703674612">
    <w:abstractNumId w:val="0"/>
  </w:num>
  <w:num w:numId="7" w16cid:durableId="9354022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EE9"/>
    <w:rsid w:val="000867EE"/>
    <w:rsid w:val="00087A5B"/>
    <w:rsid w:val="00246B2C"/>
    <w:rsid w:val="002843D7"/>
    <w:rsid w:val="002B1304"/>
    <w:rsid w:val="0033313F"/>
    <w:rsid w:val="00383319"/>
    <w:rsid w:val="00413E66"/>
    <w:rsid w:val="00442BE4"/>
    <w:rsid w:val="004B4D92"/>
    <w:rsid w:val="00522DD7"/>
    <w:rsid w:val="00530C8F"/>
    <w:rsid w:val="005A3E54"/>
    <w:rsid w:val="007B29D8"/>
    <w:rsid w:val="00820B55"/>
    <w:rsid w:val="00862A35"/>
    <w:rsid w:val="009A5EE9"/>
    <w:rsid w:val="009C4693"/>
    <w:rsid w:val="00A73F7D"/>
    <w:rsid w:val="00A92D69"/>
    <w:rsid w:val="00B57E71"/>
    <w:rsid w:val="00B648CE"/>
    <w:rsid w:val="00C12226"/>
    <w:rsid w:val="00D32E10"/>
    <w:rsid w:val="00D6454E"/>
    <w:rsid w:val="00D6546B"/>
    <w:rsid w:val="00E25F73"/>
    <w:rsid w:val="00E876B2"/>
    <w:rsid w:val="00EF7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2F440"/>
  <w15:docId w15:val="{A7932626-BDDE-4616-A15E-F1C8B0995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83319"/>
    <w:rPr>
      <w:sz w:val="16"/>
      <w:szCs w:val="16"/>
    </w:rPr>
  </w:style>
  <w:style w:type="paragraph" w:styleId="CommentText">
    <w:name w:val="annotation text"/>
    <w:basedOn w:val="Normal"/>
    <w:link w:val="CommentTextChar"/>
    <w:rsid w:val="00383319"/>
    <w:pPr>
      <w:spacing w:after="0" w:line="240" w:lineRule="auto"/>
    </w:pPr>
    <w:rPr>
      <w:rFonts w:ascii="HebarU" w:eastAsia="Times New Roman" w:hAnsi="HebarU" w:cs="Times New Roman"/>
      <w:sz w:val="20"/>
      <w:szCs w:val="20"/>
      <w:lang w:val="bg-BG"/>
    </w:rPr>
  </w:style>
  <w:style w:type="character" w:customStyle="1" w:styleId="CommentTextChar">
    <w:name w:val="Comment Text Char"/>
    <w:basedOn w:val="DefaultParagraphFont"/>
    <w:link w:val="CommentText"/>
    <w:rsid w:val="00383319"/>
    <w:rPr>
      <w:rFonts w:ascii="HebarU" w:eastAsia="Times New Roman" w:hAnsi="HebarU" w:cs="Times New Roman"/>
      <w:sz w:val="20"/>
      <w:szCs w:val="20"/>
      <w:lang w:val="bg-BG"/>
    </w:rPr>
  </w:style>
  <w:style w:type="character" w:styleId="Hyperlink">
    <w:name w:val="Hyperlink"/>
    <w:basedOn w:val="DefaultParagraphFont"/>
    <w:uiPriority w:val="99"/>
    <w:unhideWhenUsed/>
    <w:rsid w:val="00383319"/>
    <w:rPr>
      <w:color w:val="0563C1" w:themeColor="hyperlink"/>
      <w:u w:val="single"/>
    </w:rPr>
  </w:style>
  <w:style w:type="character" w:customStyle="1" w:styleId="UnresolvedMention1">
    <w:name w:val="Unresolved Mention1"/>
    <w:basedOn w:val="DefaultParagraphFont"/>
    <w:uiPriority w:val="99"/>
    <w:semiHidden/>
    <w:unhideWhenUsed/>
    <w:rsid w:val="00383319"/>
    <w:rPr>
      <w:color w:val="605E5C"/>
      <w:shd w:val="clear" w:color="auto" w:fill="E1DFDD"/>
    </w:rPr>
  </w:style>
  <w:style w:type="paragraph" w:styleId="Header">
    <w:name w:val="header"/>
    <w:basedOn w:val="Normal"/>
    <w:link w:val="HeaderChar"/>
    <w:uiPriority w:val="99"/>
    <w:unhideWhenUsed/>
    <w:rsid w:val="003833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383319"/>
  </w:style>
  <w:style w:type="paragraph" w:styleId="Footer">
    <w:name w:val="footer"/>
    <w:basedOn w:val="Normal"/>
    <w:link w:val="FooterChar"/>
    <w:uiPriority w:val="99"/>
    <w:unhideWhenUsed/>
    <w:rsid w:val="003833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3319"/>
  </w:style>
  <w:style w:type="paragraph" w:styleId="CommentSubject">
    <w:name w:val="annotation subject"/>
    <w:basedOn w:val="CommentText"/>
    <w:next w:val="CommentText"/>
    <w:link w:val="CommentSubjectChar"/>
    <w:uiPriority w:val="99"/>
    <w:semiHidden/>
    <w:unhideWhenUsed/>
    <w:rsid w:val="00383319"/>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383319"/>
    <w:rPr>
      <w:rFonts w:ascii="HebarU" w:eastAsia="Times New Roman" w:hAnsi="HebarU" w:cs="Times New Roman"/>
      <w:b/>
      <w:bCs/>
      <w:sz w:val="20"/>
      <w:szCs w:val="20"/>
      <w:lang w:val="bg-BG"/>
    </w:rPr>
  </w:style>
  <w:style w:type="paragraph" w:styleId="BalloonText">
    <w:name w:val="Balloon Text"/>
    <w:basedOn w:val="Normal"/>
    <w:link w:val="BalloonTextChar"/>
    <w:uiPriority w:val="99"/>
    <w:semiHidden/>
    <w:unhideWhenUsed/>
    <w:rsid w:val="007B29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9D8"/>
    <w:rPr>
      <w:rFonts w:ascii="Tahoma" w:hAnsi="Tahoma" w:cs="Tahoma"/>
      <w:sz w:val="16"/>
      <w:szCs w:val="16"/>
    </w:rPr>
  </w:style>
  <w:style w:type="paragraph" w:styleId="Revision">
    <w:name w:val="Revision"/>
    <w:hidden/>
    <w:uiPriority w:val="99"/>
    <w:semiHidden/>
    <w:rsid w:val="003331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spb_hq@bspb.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spb.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ciela.net/specializirani-produkti/38-siela-schetovodstvo.html?utm_source=lex.bg&amp;utm_medium=laws&amp;utm_campaign=lex_context&amp;utm_id=1" TargetMode="External"/><Relationship Id="rId4" Type="http://schemas.openxmlformats.org/officeDocument/2006/relationships/settings" Target="settings.xml"/><Relationship Id="rId9" Type="http://schemas.openxmlformats.org/officeDocument/2006/relationships/hyperlink" Target="https://bspb.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8E808-5340-43B2-A142-B5D7EB6D2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11</Pages>
  <Words>4023</Words>
  <Characters>22934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Ivanova</dc:creator>
  <cp:keywords/>
  <dc:description/>
  <cp:lastModifiedBy>Vanya Ratarova BSPB</cp:lastModifiedBy>
  <cp:revision>15</cp:revision>
  <dcterms:created xsi:type="dcterms:W3CDTF">2024-03-01T14:49:00Z</dcterms:created>
  <dcterms:modified xsi:type="dcterms:W3CDTF">2024-03-22T11:52:00Z</dcterms:modified>
</cp:coreProperties>
</file>