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54A1E" w14:textId="65E46D51" w:rsidR="00B73F0D" w:rsidRDefault="00D81378" w:rsidP="007674B5">
      <w:pPr>
        <w:spacing w:after="120" w:line="240" w:lineRule="auto"/>
        <w:jc w:val="right"/>
        <w:rPr>
          <w:rFonts w:ascii="Times New Roman" w:hAnsi="Times New Roman" w:cs="Times New Roman"/>
          <w:b/>
          <w:bCs/>
          <w:i/>
          <w:iCs/>
          <w:lang w:val="bg-BG"/>
        </w:rPr>
      </w:pPr>
      <w:r w:rsidRPr="00D81378">
        <w:rPr>
          <w:rFonts w:ascii="Times New Roman" w:hAnsi="Times New Roman" w:cs="Times New Roman"/>
          <w:b/>
          <w:bCs/>
          <w:i/>
          <w:iCs/>
          <w:lang w:val="bg-BG"/>
        </w:rPr>
        <w:t>Приложение 1</w:t>
      </w:r>
      <w:r w:rsidR="004E2A1A">
        <w:rPr>
          <w:rFonts w:ascii="Times New Roman" w:hAnsi="Times New Roman" w:cs="Times New Roman"/>
          <w:b/>
          <w:bCs/>
          <w:i/>
          <w:iCs/>
          <w:lang w:val="bg-BG"/>
        </w:rPr>
        <w:t>.2</w:t>
      </w:r>
    </w:p>
    <w:p w14:paraId="0742ACBF" w14:textId="77777777" w:rsidR="007674B5" w:rsidRDefault="007674B5" w:rsidP="007674B5">
      <w:pPr>
        <w:spacing w:after="120"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77D42631" w14:textId="4CFC86AB" w:rsidR="00111116" w:rsidRDefault="00A7124E" w:rsidP="007674B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Техническа спецификация за определяне на изпълнител по реда, предвиден в ПМС 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от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11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1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24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с предмет: „Външна експертиза за изграждане на Мрежа от </w:t>
      </w:r>
      <w:proofErr w:type="spellStart"/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екосистемни</w:t>
      </w:r>
      <w:proofErr w:type="spellEnd"/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услуги (</w:t>
      </w:r>
      <w:proofErr w:type="spellStart"/>
      <w:r w:rsidRPr="00A7124E">
        <w:rPr>
          <w:rFonts w:ascii="Times New Roman" w:hAnsi="Times New Roman" w:cs="Times New Roman"/>
          <w:b/>
          <w:bCs/>
          <w:sz w:val="28"/>
          <w:szCs w:val="28"/>
        </w:rPr>
        <w:t>EsS</w:t>
      </w:r>
      <w:proofErr w:type="spellEnd"/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) за нуждите на Сдружение „Заедно за Сандански“ по 3 (три) обособени позиции</w:t>
      </w:r>
      <w:r w:rsid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за</w:t>
      </w:r>
      <w:r w:rsidR="007674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Обособена позиция № </w:t>
      </w:r>
      <w:r w:rsidR="00694A02">
        <w:rPr>
          <w:rFonts w:ascii="Times New Roman" w:hAnsi="Times New Roman" w:cs="Times New Roman"/>
          <w:b/>
          <w:bCs/>
          <w:sz w:val="28"/>
          <w:szCs w:val="28"/>
          <w:lang w:val="bg-BG"/>
        </w:rPr>
        <w:t>2</w:t>
      </w:r>
      <w:r w:rsidRP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: </w:t>
      </w:r>
      <w:r w:rsidR="004E2A1A" w:rsidRPr="004E2A1A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„Разработване на Съвместна Методология за оценка на градските </w:t>
      </w:r>
      <w:proofErr w:type="spellStart"/>
      <w:r w:rsidR="004E2A1A" w:rsidRPr="004E2A1A">
        <w:rPr>
          <w:rFonts w:ascii="Times New Roman" w:hAnsi="Times New Roman" w:cs="Times New Roman"/>
          <w:b/>
          <w:bCs/>
          <w:sz w:val="28"/>
          <w:szCs w:val="28"/>
          <w:lang w:val="bg-BG"/>
        </w:rPr>
        <w:t>екосистемни</w:t>
      </w:r>
      <w:proofErr w:type="spellEnd"/>
      <w:r w:rsidR="004E2A1A" w:rsidRPr="004E2A1A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услуги“</w:t>
      </w:r>
    </w:p>
    <w:p w14:paraId="0EC726C4" w14:textId="77777777" w:rsidR="007674B5" w:rsidRDefault="007674B5" w:rsidP="007674B5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14:paraId="27D09339" w14:textId="483DA46A" w:rsidR="00A34D41" w:rsidRDefault="00EC6B04" w:rsidP="007674B5">
      <w:pPr>
        <w:spacing w:after="120" w:line="240" w:lineRule="auto"/>
        <w:rPr>
          <w:rFonts w:ascii="Times New Roman" w:hAnsi="Times New Roman" w:cs="Times New Roman"/>
          <w:b/>
          <w:bCs/>
          <w:lang w:val="bg-BG"/>
        </w:rPr>
      </w:pPr>
      <w:r w:rsidRPr="00EC6B04">
        <w:rPr>
          <w:rFonts w:ascii="Times New Roman" w:hAnsi="Times New Roman" w:cs="Times New Roman"/>
          <w:b/>
          <w:bCs/>
          <w:lang w:val="bg-BG"/>
        </w:rPr>
        <w:t>І. ОБЩА ИНФОРМАЦИЯ</w:t>
      </w:r>
    </w:p>
    <w:p w14:paraId="28E5659B" w14:textId="7AD70696" w:rsidR="00A34D41" w:rsidRDefault="00D6295A" w:rsidP="007674B5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D6295A">
        <w:rPr>
          <w:rFonts w:ascii="Times New Roman" w:hAnsi="Times New Roman" w:cs="Times New Roman"/>
          <w:lang w:val="bg-BG"/>
        </w:rPr>
        <w:t>Услугата, предмет на възлагане, е част от дейностите, предвидени за изпълнение по проект</w:t>
      </w:r>
      <w:r>
        <w:rPr>
          <w:rFonts w:ascii="Times New Roman" w:hAnsi="Times New Roman" w:cs="Times New Roman"/>
          <w:lang w:val="bg-BG"/>
        </w:rPr>
        <w:t xml:space="preserve"> </w:t>
      </w:r>
      <w:r w:rsidRPr="00D6295A">
        <w:rPr>
          <w:rFonts w:ascii="Times New Roman" w:hAnsi="Times New Roman" w:cs="Times New Roman"/>
          <w:lang w:val="bg-BG"/>
        </w:rPr>
        <w:t>№ BGMK0300051 „Трансграничен пакт за зелен пулс“ с акроним „G-Pact”, финансиран по Програма Интеррег-VI-A ИПП за трансгранично сътрудничество България - Северна Македония 2021-2027, CCI № 2021TC16IPCB006</w:t>
      </w:r>
      <w:r>
        <w:rPr>
          <w:rFonts w:ascii="Times New Roman" w:hAnsi="Times New Roman" w:cs="Times New Roman"/>
          <w:lang w:val="bg-BG"/>
        </w:rPr>
        <w:t xml:space="preserve">. </w:t>
      </w:r>
    </w:p>
    <w:p w14:paraId="3DE7F85B" w14:textId="56AE9792" w:rsidR="00D6295A" w:rsidRDefault="00D6295A" w:rsidP="007674B5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D6295A">
        <w:rPr>
          <w:rFonts w:ascii="Times New Roman" w:hAnsi="Times New Roman" w:cs="Times New Roman"/>
          <w:lang w:val="bg-BG"/>
        </w:rPr>
        <w:t>Основната цел на проекта е</w:t>
      </w:r>
      <w:r>
        <w:rPr>
          <w:rFonts w:ascii="Times New Roman" w:hAnsi="Times New Roman" w:cs="Times New Roman"/>
          <w:lang w:val="bg-BG"/>
        </w:rPr>
        <w:t xml:space="preserve">: </w:t>
      </w:r>
      <w:r w:rsidRPr="00D6295A">
        <w:rPr>
          <w:rFonts w:ascii="Times New Roman" w:hAnsi="Times New Roman" w:cs="Times New Roman"/>
          <w:lang w:val="bg-BG"/>
        </w:rPr>
        <w:t xml:space="preserve">Подобряване на опазването на природата, защитата на биоразнообразието и устойчивото градско развитие в Петрич и Струмица чрез създаване на зелени градски пространства, подобрени екосистемни услуги и повишена обществена осведоменост. </w:t>
      </w:r>
      <w:r>
        <w:rPr>
          <w:rFonts w:ascii="Times New Roman" w:hAnsi="Times New Roman" w:cs="Times New Roman"/>
          <w:lang w:val="bg-BG"/>
        </w:rPr>
        <w:t>Проекта</w:t>
      </w:r>
      <w:r w:rsidRPr="00D6295A">
        <w:rPr>
          <w:rFonts w:ascii="Times New Roman" w:hAnsi="Times New Roman" w:cs="Times New Roman"/>
          <w:lang w:val="bg-BG"/>
        </w:rPr>
        <w:t xml:space="preserve"> има за цел да постигне тези цели до края на периода на изпълнение, като е от полза за местното население и екосистеми, като в крайна сметка допринася за по-широката цел за подобряване на качеството на живот в </w:t>
      </w:r>
      <w:r>
        <w:rPr>
          <w:rFonts w:ascii="Times New Roman" w:hAnsi="Times New Roman" w:cs="Times New Roman"/>
          <w:lang w:val="bg-BG"/>
        </w:rPr>
        <w:t>трансграничния регион на България и Северна Македония</w:t>
      </w:r>
      <w:r w:rsidRPr="00D6295A">
        <w:rPr>
          <w:rFonts w:ascii="Times New Roman" w:hAnsi="Times New Roman" w:cs="Times New Roman"/>
          <w:lang w:val="bg-BG"/>
        </w:rPr>
        <w:t xml:space="preserve"> и насърчава</w:t>
      </w:r>
      <w:r>
        <w:rPr>
          <w:rFonts w:ascii="Times New Roman" w:hAnsi="Times New Roman" w:cs="Times New Roman"/>
          <w:lang w:val="bg-BG"/>
        </w:rPr>
        <w:t xml:space="preserve"> </w:t>
      </w:r>
      <w:r w:rsidRPr="00D6295A">
        <w:rPr>
          <w:rFonts w:ascii="Times New Roman" w:hAnsi="Times New Roman" w:cs="Times New Roman"/>
          <w:lang w:val="bg-BG"/>
        </w:rPr>
        <w:t>устойчивото градско развитие.</w:t>
      </w:r>
    </w:p>
    <w:p w14:paraId="6EC670BA" w14:textId="41C034AA" w:rsidR="009E3787" w:rsidRDefault="009E3787" w:rsidP="007674B5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9E3787">
        <w:rPr>
          <w:rFonts w:ascii="Times New Roman" w:hAnsi="Times New Roman" w:cs="Times New Roman"/>
          <w:lang w:val="bg-BG"/>
        </w:rPr>
        <w:t>Проектът се осъществява в партньорство между</w:t>
      </w:r>
      <w:r>
        <w:rPr>
          <w:rFonts w:ascii="Times New Roman" w:hAnsi="Times New Roman" w:cs="Times New Roman"/>
          <w:lang w:val="bg-BG"/>
        </w:rPr>
        <w:t xml:space="preserve"> </w:t>
      </w:r>
      <w:r w:rsidRPr="009E3787">
        <w:rPr>
          <w:rFonts w:ascii="Times New Roman" w:hAnsi="Times New Roman" w:cs="Times New Roman"/>
          <w:lang w:val="bg-BG"/>
        </w:rPr>
        <w:t>Община Петрич – Водещ партньор</w:t>
      </w:r>
      <w:r>
        <w:rPr>
          <w:rFonts w:ascii="Times New Roman" w:hAnsi="Times New Roman" w:cs="Times New Roman"/>
          <w:lang w:val="bg-BG"/>
        </w:rPr>
        <w:t xml:space="preserve">, </w:t>
      </w:r>
      <w:r w:rsidRPr="009E3787">
        <w:rPr>
          <w:rFonts w:ascii="Times New Roman" w:hAnsi="Times New Roman" w:cs="Times New Roman"/>
          <w:lang w:val="bg-BG"/>
        </w:rPr>
        <w:t>община Струмица – Проектен партньор № 2</w:t>
      </w:r>
      <w:r>
        <w:rPr>
          <w:rFonts w:ascii="Times New Roman" w:hAnsi="Times New Roman" w:cs="Times New Roman"/>
          <w:lang w:val="bg-BG"/>
        </w:rPr>
        <w:t xml:space="preserve">, </w:t>
      </w:r>
      <w:r w:rsidRPr="009E3787">
        <w:rPr>
          <w:rFonts w:ascii="Times New Roman" w:hAnsi="Times New Roman" w:cs="Times New Roman"/>
          <w:lang w:val="bg-BG"/>
        </w:rPr>
        <w:t>Сдружение „Център за развитие и промоция Промо Идеа – Струмица“ – Проектен партньор № 3</w:t>
      </w:r>
      <w:r>
        <w:rPr>
          <w:rFonts w:ascii="Times New Roman" w:hAnsi="Times New Roman" w:cs="Times New Roman"/>
          <w:lang w:val="bg-BG"/>
        </w:rPr>
        <w:t xml:space="preserve"> и </w:t>
      </w:r>
      <w:r w:rsidRPr="009E3787">
        <w:rPr>
          <w:rFonts w:ascii="Times New Roman" w:hAnsi="Times New Roman" w:cs="Times New Roman"/>
          <w:lang w:val="bg-BG"/>
        </w:rPr>
        <w:t>Сдружение „Заедно за Сандански“ – Проектетн партньор № 4</w:t>
      </w:r>
      <w:r>
        <w:rPr>
          <w:rFonts w:ascii="Times New Roman" w:hAnsi="Times New Roman" w:cs="Times New Roman"/>
          <w:lang w:val="bg-BG"/>
        </w:rPr>
        <w:t>.</w:t>
      </w:r>
    </w:p>
    <w:p w14:paraId="6611E552" w14:textId="6B885B73" w:rsidR="00C3778A" w:rsidRDefault="009E3787" w:rsidP="007674B5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9E3787">
        <w:rPr>
          <w:rFonts w:ascii="Times New Roman" w:hAnsi="Times New Roman" w:cs="Times New Roman"/>
          <w:lang w:val="bg-BG"/>
        </w:rPr>
        <w:t xml:space="preserve">В обхвата на проекта е предвидено </w:t>
      </w:r>
      <w:r w:rsidR="00C3778A">
        <w:rPr>
          <w:rFonts w:ascii="Times New Roman" w:hAnsi="Times New Roman" w:cs="Times New Roman"/>
          <w:lang w:val="bg-BG"/>
        </w:rPr>
        <w:t>изпълнението на 2 работни пакета: Инвестиционен работен пакет 1: „</w:t>
      </w:r>
      <w:r w:rsidR="00C3778A" w:rsidRPr="00C3778A">
        <w:rPr>
          <w:rFonts w:ascii="Times New Roman" w:hAnsi="Times New Roman" w:cs="Times New Roman"/>
          <w:lang w:val="bg-BG"/>
        </w:rPr>
        <w:t>Побратимени паркове Green Pulse</w:t>
      </w:r>
      <w:r w:rsidR="00C3778A">
        <w:rPr>
          <w:rFonts w:ascii="Times New Roman" w:hAnsi="Times New Roman" w:cs="Times New Roman"/>
          <w:lang w:val="bg-BG"/>
        </w:rPr>
        <w:t xml:space="preserve">“ и Работен пакет 2: „Мрежа от градски екосистемни услуги - </w:t>
      </w:r>
      <w:r w:rsidR="00C3778A" w:rsidRPr="00C3778A">
        <w:rPr>
          <w:rFonts w:ascii="Times New Roman" w:hAnsi="Times New Roman" w:cs="Times New Roman"/>
          <w:lang w:val="bg-BG"/>
        </w:rPr>
        <w:t>G-PACT</w:t>
      </w:r>
      <w:r w:rsidR="00C3778A">
        <w:rPr>
          <w:rFonts w:ascii="Times New Roman" w:hAnsi="Times New Roman" w:cs="Times New Roman"/>
          <w:lang w:val="bg-BG"/>
        </w:rPr>
        <w:t xml:space="preserve">“. </w:t>
      </w:r>
    </w:p>
    <w:p w14:paraId="4E566C0C" w14:textId="04AD1B00" w:rsidR="00C3778A" w:rsidRPr="00C3778A" w:rsidRDefault="00C3778A" w:rsidP="007674B5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Основната цел на Работен пакет 1 е с</w:t>
      </w:r>
      <w:r w:rsidRPr="00C3778A">
        <w:rPr>
          <w:rFonts w:ascii="Times New Roman" w:hAnsi="Times New Roman" w:cs="Times New Roman"/>
          <w:lang w:val="bg-BG"/>
        </w:rPr>
        <w:t>ъздаване и установяване на побратимени паркове Green Pulse в Петрич и Струмица</w:t>
      </w:r>
      <w:r>
        <w:rPr>
          <w:rFonts w:ascii="Times New Roman" w:hAnsi="Times New Roman" w:cs="Times New Roman"/>
          <w:lang w:val="bg-BG"/>
        </w:rPr>
        <w:t>,</w:t>
      </w:r>
      <w:r w:rsidRPr="00C3778A">
        <w:rPr>
          <w:rFonts w:ascii="Times New Roman" w:hAnsi="Times New Roman" w:cs="Times New Roman"/>
          <w:lang w:val="bg-BG"/>
        </w:rPr>
        <w:t xml:space="preserve"> като водещи зелени градски пространства, илюстриращи иновативни подходи към зелена инфраструктура, опазване на биоразнообразието и устойчиво градско развитие. Тези паркове ще служат като централни точки за ангажиране на общността, екологично образование и насърчаване на екосистемни услуги, насърчаване на трансгранично сътрудничество и вдъхновяване на подобни инициативи в региона. </w:t>
      </w:r>
      <w:r>
        <w:rPr>
          <w:rFonts w:ascii="Times New Roman" w:hAnsi="Times New Roman" w:cs="Times New Roman"/>
          <w:lang w:val="bg-BG"/>
        </w:rPr>
        <w:t>П</w:t>
      </w:r>
      <w:r w:rsidRPr="00C3778A">
        <w:rPr>
          <w:rFonts w:ascii="Times New Roman" w:hAnsi="Times New Roman" w:cs="Times New Roman"/>
          <w:lang w:val="bg-BG"/>
        </w:rPr>
        <w:t xml:space="preserve">аркове ще бъдат първите членове на </w:t>
      </w:r>
      <w:r>
        <w:rPr>
          <w:rFonts w:ascii="Times New Roman" w:hAnsi="Times New Roman" w:cs="Times New Roman"/>
          <w:lang w:val="bg-BG"/>
        </w:rPr>
        <w:t xml:space="preserve">Мрежата от градски екосистемни услуги - </w:t>
      </w:r>
      <w:r w:rsidRPr="00C3778A">
        <w:rPr>
          <w:rFonts w:ascii="Times New Roman" w:hAnsi="Times New Roman" w:cs="Times New Roman"/>
          <w:lang w:val="bg-BG"/>
        </w:rPr>
        <w:t xml:space="preserve">G-PACT, създадена </w:t>
      </w:r>
      <w:r>
        <w:rPr>
          <w:rFonts w:ascii="Times New Roman" w:hAnsi="Times New Roman" w:cs="Times New Roman"/>
          <w:lang w:val="bg-BG"/>
        </w:rPr>
        <w:t>в Рамките на Работен пакет 2</w:t>
      </w:r>
      <w:r w:rsidRPr="00C3778A">
        <w:rPr>
          <w:rFonts w:ascii="Times New Roman" w:hAnsi="Times New Roman" w:cs="Times New Roman"/>
          <w:lang w:val="bg-BG"/>
        </w:rPr>
        <w:t>.</w:t>
      </w:r>
    </w:p>
    <w:p w14:paraId="3CC3C13A" w14:textId="150DCC61" w:rsidR="00D6295A" w:rsidRDefault="004445C4" w:rsidP="007674B5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lastRenderedPageBreak/>
        <w:t xml:space="preserve">В рамките на Работен пакет 2 се предвижда изпълнението на редица дейности за създаването и развитието на </w:t>
      </w:r>
      <w:r w:rsidRPr="004445C4">
        <w:rPr>
          <w:rFonts w:ascii="Times New Roman" w:hAnsi="Times New Roman" w:cs="Times New Roman"/>
          <w:lang w:val="bg-BG"/>
        </w:rPr>
        <w:t>устойчива Мрежа от градски екосистемни услуги - G-PACT</w:t>
      </w:r>
      <w:r>
        <w:rPr>
          <w:rFonts w:ascii="Times New Roman" w:hAnsi="Times New Roman" w:cs="Times New Roman"/>
          <w:lang w:val="bg-BG"/>
        </w:rPr>
        <w:t xml:space="preserve"> </w:t>
      </w:r>
      <w:r w:rsidRPr="004445C4">
        <w:rPr>
          <w:rFonts w:ascii="Times New Roman" w:hAnsi="Times New Roman" w:cs="Times New Roman"/>
          <w:lang w:val="bg-BG"/>
        </w:rPr>
        <w:t>в трансграничната зона на България и Северна Македония</w:t>
      </w:r>
      <w:r>
        <w:rPr>
          <w:rFonts w:ascii="Times New Roman" w:hAnsi="Times New Roman" w:cs="Times New Roman"/>
          <w:lang w:val="bg-BG"/>
        </w:rPr>
        <w:t>, чрез иницииране</w:t>
      </w:r>
      <w:r w:rsidRPr="004445C4">
        <w:rPr>
          <w:rFonts w:ascii="Times New Roman" w:hAnsi="Times New Roman" w:cs="Times New Roman"/>
          <w:lang w:val="bg-BG"/>
        </w:rPr>
        <w:t xml:space="preserve"> на промяна в поведението и повишаване на осведомеността по отношение на подобряването на екосистемните услуги в трансграничната зона България – Северна Македония</w:t>
      </w:r>
      <w:r>
        <w:rPr>
          <w:rFonts w:ascii="Times New Roman" w:hAnsi="Times New Roman" w:cs="Times New Roman"/>
          <w:lang w:val="bg-BG"/>
        </w:rPr>
        <w:t xml:space="preserve"> с фокус върху територията на общините Петрич (България) и Струмица (Северна Македония)</w:t>
      </w:r>
      <w:r w:rsidRPr="004445C4">
        <w:rPr>
          <w:rFonts w:ascii="Times New Roman" w:hAnsi="Times New Roman" w:cs="Times New Roman"/>
          <w:lang w:val="bg-BG"/>
        </w:rPr>
        <w:t xml:space="preserve">, включително опазване и </w:t>
      </w:r>
      <w:r>
        <w:rPr>
          <w:rFonts w:ascii="Times New Roman" w:hAnsi="Times New Roman" w:cs="Times New Roman"/>
          <w:lang w:val="bg-BG"/>
        </w:rPr>
        <w:t>защита</w:t>
      </w:r>
      <w:r w:rsidRPr="004445C4">
        <w:rPr>
          <w:rFonts w:ascii="Times New Roman" w:hAnsi="Times New Roman" w:cs="Times New Roman"/>
          <w:lang w:val="bg-BG"/>
        </w:rPr>
        <w:t xml:space="preserve"> на природата и биоразнообразието</w:t>
      </w:r>
      <w:r>
        <w:rPr>
          <w:rFonts w:ascii="Times New Roman" w:hAnsi="Times New Roman" w:cs="Times New Roman"/>
          <w:lang w:val="bg-BG"/>
        </w:rPr>
        <w:t>,</w:t>
      </w:r>
      <w:r w:rsidRPr="004445C4">
        <w:rPr>
          <w:rFonts w:ascii="Times New Roman" w:hAnsi="Times New Roman" w:cs="Times New Roman"/>
          <w:lang w:val="bg-BG"/>
        </w:rPr>
        <w:t xml:space="preserve"> намаляване на замърсяването, насърчаване на мисълта</w:t>
      </w:r>
      <w:r>
        <w:rPr>
          <w:rFonts w:ascii="Times New Roman" w:hAnsi="Times New Roman" w:cs="Times New Roman"/>
          <w:lang w:val="bg-BG"/>
        </w:rPr>
        <w:t xml:space="preserve"> и </w:t>
      </w:r>
      <w:r w:rsidRPr="004445C4">
        <w:rPr>
          <w:rFonts w:ascii="Times New Roman" w:hAnsi="Times New Roman" w:cs="Times New Roman"/>
          <w:lang w:val="bg-BG"/>
        </w:rPr>
        <w:t>ангажираността на заинтересованите страни (граждани, НПО, публични власти, местни общности, бизнес сектор и т.н.) в защитата на биоразнообразието, включително неговото опазване и устойчиво използване.</w:t>
      </w:r>
    </w:p>
    <w:p w14:paraId="60A43BDE" w14:textId="09A8CA51" w:rsidR="00401C04" w:rsidRPr="00BC3199" w:rsidRDefault="00E34A62" w:rsidP="007674B5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В настоящата поръчка по обособена позиция № </w:t>
      </w:r>
      <w:r w:rsidR="00914E45">
        <w:rPr>
          <w:rFonts w:ascii="Times New Roman" w:hAnsi="Times New Roman" w:cs="Times New Roman"/>
          <w:lang w:val="bg-BG"/>
        </w:rPr>
        <w:t>2</w:t>
      </w:r>
      <w:r>
        <w:rPr>
          <w:rFonts w:ascii="Times New Roman" w:hAnsi="Times New Roman" w:cs="Times New Roman"/>
          <w:lang w:val="bg-BG"/>
        </w:rPr>
        <w:t xml:space="preserve"> </w:t>
      </w:r>
      <w:r w:rsidR="00914E45" w:rsidRPr="00914E45">
        <w:rPr>
          <w:rFonts w:ascii="Times New Roman" w:hAnsi="Times New Roman" w:cs="Times New Roman"/>
          <w:lang w:val="bg-BG"/>
        </w:rPr>
        <w:t>„Разработване на Съвместна Методология за оценка на градските екосистемни услуги“</w:t>
      </w:r>
      <w:r>
        <w:rPr>
          <w:rFonts w:ascii="Times New Roman" w:hAnsi="Times New Roman" w:cs="Times New Roman"/>
          <w:lang w:val="bg-BG"/>
        </w:rPr>
        <w:t xml:space="preserve"> е включено изпълнението на част от дейностите, попадащи в обхвата на проектна Дейност 2.1 „</w:t>
      </w:r>
      <w:r w:rsidRPr="00E34A62">
        <w:rPr>
          <w:rFonts w:ascii="Times New Roman" w:hAnsi="Times New Roman" w:cs="Times New Roman"/>
          <w:lang w:val="bg-BG"/>
        </w:rPr>
        <w:t>Съвместна Методология за оценка на градските екосистемни услуги  (EsS) и пилотни планове за действие</w:t>
      </w:r>
      <w:r>
        <w:rPr>
          <w:rFonts w:ascii="Times New Roman" w:hAnsi="Times New Roman" w:cs="Times New Roman"/>
          <w:lang w:val="bg-BG"/>
        </w:rPr>
        <w:t xml:space="preserve">“. </w:t>
      </w:r>
      <w:r w:rsidR="00914E45">
        <w:rPr>
          <w:rFonts w:ascii="Times New Roman" w:hAnsi="Times New Roman" w:cs="Times New Roman"/>
          <w:lang w:val="bg-BG"/>
        </w:rPr>
        <w:t>Проектната д</w:t>
      </w:r>
      <w:r>
        <w:rPr>
          <w:rFonts w:ascii="Times New Roman" w:hAnsi="Times New Roman" w:cs="Times New Roman"/>
          <w:lang w:val="bg-BG"/>
        </w:rPr>
        <w:t>ейност е</w:t>
      </w:r>
      <w:r w:rsidRPr="00E34A62">
        <w:rPr>
          <w:rFonts w:ascii="Times New Roman" w:hAnsi="Times New Roman" w:cs="Times New Roman"/>
          <w:lang w:val="bg-BG"/>
        </w:rPr>
        <w:t xml:space="preserve"> от решаващо значение и се фокусира върху провеждането на изследвания, анализи, разработване на съвместна методология за оценка на услугите на градските екосистеми и </w:t>
      </w:r>
      <w:r>
        <w:rPr>
          <w:rFonts w:ascii="Times New Roman" w:hAnsi="Times New Roman" w:cs="Times New Roman"/>
          <w:lang w:val="bg-BG"/>
        </w:rPr>
        <w:t xml:space="preserve">разработване на </w:t>
      </w:r>
      <w:r w:rsidRPr="00E34A62">
        <w:rPr>
          <w:rFonts w:ascii="Times New Roman" w:hAnsi="Times New Roman" w:cs="Times New Roman"/>
          <w:lang w:val="bg-BG"/>
        </w:rPr>
        <w:t xml:space="preserve">съвместен план за действие за развитие на EsS в градските райони. Дейността е насочена към спешната необходимост от оценка и подобряване на </w:t>
      </w:r>
      <w:r w:rsidR="00401C04" w:rsidRPr="00E34A62">
        <w:rPr>
          <w:rFonts w:ascii="Times New Roman" w:hAnsi="Times New Roman" w:cs="Times New Roman"/>
          <w:lang w:val="bg-BG"/>
        </w:rPr>
        <w:t>EsS</w:t>
      </w:r>
      <w:r w:rsidRPr="00E34A62">
        <w:rPr>
          <w:rFonts w:ascii="Times New Roman" w:hAnsi="Times New Roman" w:cs="Times New Roman"/>
          <w:lang w:val="bg-BG"/>
        </w:rPr>
        <w:t xml:space="preserve"> в градските райони, тъй като градовете се разрастват и разбирането и подобряването на тези услуги са от решаващо значение за устойчивото </w:t>
      </w:r>
      <w:r w:rsidR="00401C04">
        <w:rPr>
          <w:rFonts w:ascii="Times New Roman" w:hAnsi="Times New Roman" w:cs="Times New Roman"/>
          <w:lang w:val="bg-BG"/>
        </w:rPr>
        <w:t xml:space="preserve">им </w:t>
      </w:r>
      <w:r w:rsidRPr="00E34A62">
        <w:rPr>
          <w:rFonts w:ascii="Times New Roman" w:hAnsi="Times New Roman" w:cs="Times New Roman"/>
          <w:lang w:val="bg-BG"/>
        </w:rPr>
        <w:t xml:space="preserve">развитие. EsS са различните ползи, които екосистемите предоставят на хората и света на природата. Те са от съществено значение за нашето благополучие, икономики и функционирането на планетата. EsS може да се категоризира в четири основни типа услуги: предоставяне, регулиране, подкрепа и културни услуги. Дейността има за цел да проучи и идентифицира възможности за внедряване на EsS решения в рамките на целия </w:t>
      </w:r>
      <w:r w:rsidR="00401C04">
        <w:rPr>
          <w:rFonts w:ascii="Times New Roman" w:hAnsi="Times New Roman" w:cs="Times New Roman"/>
          <w:lang w:val="bg-BG"/>
        </w:rPr>
        <w:t>трансграничен район на България и Северна Македония</w:t>
      </w:r>
      <w:r w:rsidRPr="00E34A62">
        <w:rPr>
          <w:rFonts w:ascii="Times New Roman" w:hAnsi="Times New Roman" w:cs="Times New Roman"/>
          <w:lang w:val="bg-BG"/>
        </w:rPr>
        <w:t xml:space="preserve">. Това включва задълбочена оценка на съществуващата EsS в </w:t>
      </w:r>
      <w:r w:rsidR="00401C04">
        <w:rPr>
          <w:rFonts w:ascii="Times New Roman" w:hAnsi="Times New Roman" w:cs="Times New Roman"/>
          <w:lang w:val="bg-BG"/>
        </w:rPr>
        <w:t>района</w:t>
      </w:r>
      <w:r w:rsidRPr="00E34A62">
        <w:rPr>
          <w:rFonts w:ascii="Times New Roman" w:hAnsi="Times New Roman" w:cs="Times New Roman"/>
          <w:lang w:val="bg-BG"/>
        </w:rPr>
        <w:t xml:space="preserve">. Чрез провеждане на проучване, анкети и интервюта със заинтересовани страни, специално насочени към градовете Петрич и Струмица, проектът се стреми да придобие цялостно разбиране на текущото състояние на </w:t>
      </w:r>
      <w:r w:rsidR="00401C04">
        <w:rPr>
          <w:rFonts w:ascii="Times New Roman" w:hAnsi="Times New Roman" w:cs="Times New Roman"/>
          <w:lang w:val="bg-BG"/>
        </w:rPr>
        <w:t>екосистемните услуги в целевата територия</w:t>
      </w:r>
      <w:r w:rsidRPr="00E34A62">
        <w:rPr>
          <w:rFonts w:ascii="Times New Roman" w:hAnsi="Times New Roman" w:cs="Times New Roman"/>
          <w:lang w:val="bg-BG"/>
        </w:rPr>
        <w:t>.</w:t>
      </w:r>
      <w:r w:rsidR="00914E45">
        <w:rPr>
          <w:rFonts w:ascii="Times New Roman" w:hAnsi="Times New Roman" w:cs="Times New Roman"/>
          <w:lang w:val="bg-BG"/>
        </w:rPr>
        <w:t xml:space="preserve"> </w:t>
      </w:r>
    </w:p>
    <w:p w14:paraId="0559FB5F" w14:textId="6D5D7D3B" w:rsidR="00E34A62" w:rsidRPr="00BC3199" w:rsidRDefault="00401C04" w:rsidP="007674B5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Сдружение „Заедно за Сандански“ е отговорен партньор за изготвянето на </w:t>
      </w:r>
      <w:r w:rsidRPr="00401C04">
        <w:rPr>
          <w:rFonts w:ascii="Times New Roman" w:hAnsi="Times New Roman" w:cs="Times New Roman"/>
          <w:lang w:val="bg-BG"/>
        </w:rPr>
        <w:t>Съвместна Методология за оценка на градските екосистемни услуги</w:t>
      </w:r>
      <w:r w:rsidR="00E34A62" w:rsidRPr="00E34A62">
        <w:rPr>
          <w:rFonts w:ascii="Times New Roman" w:hAnsi="Times New Roman" w:cs="Times New Roman"/>
          <w:lang w:val="bg-BG"/>
        </w:rPr>
        <w:t xml:space="preserve">. </w:t>
      </w:r>
      <w:r>
        <w:rPr>
          <w:rFonts w:ascii="Times New Roman" w:hAnsi="Times New Roman" w:cs="Times New Roman"/>
          <w:lang w:val="bg-BG"/>
        </w:rPr>
        <w:t>Тя щ</w:t>
      </w:r>
      <w:r w:rsidR="00E34A62" w:rsidRPr="00E34A62">
        <w:rPr>
          <w:rFonts w:ascii="Times New Roman" w:hAnsi="Times New Roman" w:cs="Times New Roman"/>
          <w:lang w:val="bg-BG"/>
        </w:rPr>
        <w:t>е включва протоколи за събиране на данни; насоки за анализ на данни, картографиране и визуализация за идентифициране на ключови горещи точки на EsS; препоръки за интегриране на резултатите от оценката в инициативи за градско планиране, намаляване на замърсяването и зелена инфраструктура.</w:t>
      </w:r>
      <w:r>
        <w:rPr>
          <w:rFonts w:ascii="Times New Roman" w:hAnsi="Times New Roman" w:cs="Times New Roman"/>
          <w:lang w:val="bg-BG"/>
        </w:rPr>
        <w:t xml:space="preserve"> </w:t>
      </w:r>
      <w:r w:rsidR="00E34A62" w:rsidRPr="00E34A62">
        <w:rPr>
          <w:rFonts w:ascii="Times New Roman" w:hAnsi="Times New Roman" w:cs="Times New Roman"/>
          <w:lang w:val="bg-BG"/>
        </w:rPr>
        <w:t xml:space="preserve">Тази методология ще служи като ценен ресурс за местните власти, градоустройствените специалисти и еколозите. Това ще им помогне да създадат по-устойчива, по-зелена и по-здравословна градска среда, като същевременно допринася за по-широки цели за опазване на природата, намаляване на замърсяването и устойчиво развитие. На базата на </w:t>
      </w:r>
      <w:r w:rsidR="00E34A62" w:rsidRPr="00401C04">
        <w:rPr>
          <w:rFonts w:ascii="Times New Roman" w:hAnsi="Times New Roman" w:cs="Times New Roman"/>
          <w:lang w:val="bg-BG"/>
        </w:rPr>
        <w:t xml:space="preserve">него ще бъде извършено проучване и ще бъде изготвен доклад за </w:t>
      </w:r>
      <w:r w:rsidRPr="00401C04">
        <w:rPr>
          <w:rFonts w:ascii="Times New Roman" w:hAnsi="Times New Roman" w:cs="Times New Roman"/>
          <w:lang w:val="bg-BG"/>
        </w:rPr>
        <w:t xml:space="preserve">текущото </w:t>
      </w:r>
      <w:r w:rsidR="00E34A62" w:rsidRPr="00401C04">
        <w:rPr>
          <w:rFonts w:ascii="Times New Roman" w:hAnsi="Times New Roman" w:cs="Times New Roman"/>
          <w:lang w:val="bg-BG"/>
        </w:rPr>
        <w:t>състояние</w:t>
      </w:r>
      <w:r w:rsidRPr="00401C04">
        <w:rPr>
          <w:rFonts w:ascii="Times New Roman" w:hAnsi="Times New Roman" w:cs="Times New Roman"/>
          <w:lang w:val="bg-BG"/>
        </w:rPr>
        <w:t xml:space="preserve"> на екосистемните услуги, като Сдружение „Заедно за Сандански“ е отговорен партньор за извършване на проучването за Петрич, а община Струмица за извършване </w:t>
      </w:r>
      <w:r w:rsidRPr="00401C04">
        <w:rPr>
          <w:rFonts w:ascii="Times New Roman" w:hAnsi="Times New Roman" w:cs="Times New Roman"/>
          <w:lang w:val="bg-BG"/>
        </w:rPr>
        <w:lastRenderedPageBreak/>
        <w:t>проучването за Струмица</w:t>
      </w:r>
      <w:r w:rsidRPr="00C52E59">
        <w:rPr>
          <w:rFonts w:ascii="Times New Roman" w:hAnsi="Times New Roman" w:cs="Times New Roman"/>
          <w:lang w:val="bg-BG"/>
        </w:rPr>
        <w:t>.</w:t>
      </w:r>
      <w:r w:rsidR="00E34A62" w:rsidRPr="00C52E59">
        <w:rPr>
          <w:rFonts w:ascii="Times New Roman" w:hAnsi="Times New Roman" w:cs="Times New Roman"/>
          <w:lang w:val="bg-BG"/>
        </w:rPr>
        <w:t xml:space="preserve"> </w:t>
      </w:r>
      <w:r w:rsidRPr="00C52E59">
        <w:rPr>
          <w:rFonts w:ascii="Times New Roman" w:hAnsi="Times New Roman" w:cs="Times New Roman"/>
          <w:lang w:val="bg-BG"/>
        </w:rPr>
        <w:t>Обобщен</w:t>
      </w:r>
      <w:r w:rsidR="00E34A62" w:rsidRPr="00C52E59">
        <w:rPr>
          <w:rFonts w:ascii="Times New Roman" w:hAnsi="Times New Roman" w:cs="Times New Roman"/>
          <w:lang w:val="bg-BG"/>
        </w:rPr>
        <w:t xml:space="preserve"> доклад за състоянието ще бъде комбиниран от </w:t>
      </w:r>
      <w:r w:rsidRPr="00C52E59">
        <w:rPr>
          <w:rFonts w:ascii="Times New Roman" w:hAnsi="Times New Roman" w:cs="Times New Roman"/>
          <w:lang w:val="bg-BG"/>
        </w:rPr>
        <w:t>Сдружение „Заедно за Сандански“</w:t>
      </w:r>
      <w:r w:rsidR="00E34A62" w:rsidRPr="00C52E59">
        <w:rPr>
          <w:rFonts w:ascii="Times New Roman" w:hAnsi="Times New Roman" w:cs="Times New Roman"/>
          <w:lang w:val="bg-BG"/>
        </w:rPr>
        <w:t xml:space="preserve">. Въз основа на него </w:t>
      </w:r>
      <w:r w:rsidRPr="00C52E59">
        <w:rPr>
          <w:rFonts w:ascii="Times New Roman" w:hAnsi="Times New Roman" w:cs="Times New Roman"/>
          <w:lang w:val="bg-BG"/>
        </w:rPr>
        <w:t>следва да бъде</w:t>
      </w:r>
      <w:r w:rsidR="00E34A62" w:rsidRPr="00C52E59">
        <w:rPr>
          <w:rFonts w:ascii="Times New Roman" w:hAnsi="Times New Roman" w:cs="Times New Roman"/>
          <w:lang w:val="bg-BG"/>
        </w:rPr>
        <w:t xml:space="preserve"> разработ</w:t>
      </w:r>
      <w:r w:rsidRPr="00C52E59">
        <w:rPr>
          <w:rFonts w:ascii="Times New Roman" w:hAnsi="Times New Roman" w:cs="Times New Roman"/>
          <w:lang w:val="bg-BG"/>
        </w:rPr>
        <w:t>ен</w:t>
      </w:r>
      <w:r w:rsidR="00E34A62" w:rsidRPr="00C52E59">
        <w:rPr>
          <w:rFonts w:ascii="Times New Roman" w:hAnsi="Times New Roman" w:cs="Times New Roman"/>
          <w:lang w:val="bg-BG"/>
        </w:rPr>
        <w:t xml:space="preserve"> съвместен интегриран план за действие</w:t>
      </w:r>
      <w:r w:rsidRPr="00C52E59">
        <w:rPr>
          <w:rFonts w:ascii="Times New Roman" w:hAnsi="Times New Roman" w:cs="Times New Roman"/>
          <w:lang w:val="bg-BG"/>
        </w:rPr>
        <w:t xml:space="preserve">, който </w:t>
      </w:r>
      <w:r w:rsidR="00E34A62" w:rsidRPr="00C52E59">
        <w:rPr>
          <w:rFonts w:ascii="Times New Roman" w:hAnsi="Times New Roman" w:cs="Times New Roman"/>
          <w:lang w:val="bg-BG"/>
        </w:rPr>
        <w:t xml:space="preserve">ще постави основите и ще предложи дейностите за разработване на мрежа от екосистемни услуги, основана на интегриран подход отдолу нагоре, обединен около основното екосистемно наследство на градските райони. Въз основа на съвместния интегриран </w:t>
      </w:r>
      <w:r w:rsidR="00C52E59" w:rsidRPr="00C52E59">
        <w:rPr>
          <w:rFonts w:ascii="Times New Roman" w:hAnsi="Times New Roman" w:cs="Times New Roman"/>
          <w:lang w:val="bg-BG"/>
        </w:rPr>
        <w:t>План за действие</w:t>
      </w:r>
      <w:r w:rsidR="00E34A62" w:rsidRPr="00C52E59">
        <w:rPr>
          <w:rFonts w:ascii="Times New Roman" w:hAnsi="Times New Roman" w:cs="Times New Roman"/>
          <w:lang w:val="bg-BG"/>
        </w:rPr>
        <w:t xml:space="preserve">, </w:t>
      </w:r>
      <w:r w:rsidR="00C52E59" w:rsidRPr="00C52E59">
        <w:rPr>
          <w:rFonts w:ascii="Times New Roman" w:hAnsi="Times New Roman" w:cs="Times New Roman"/>
          <w:lang w:val="bg-BG"/>
        </w:rPr>
        <w:t>община Петрич</w:t>
      </w:r>
      <w:r w:rsidR="00E34A62" w:rsidRPr="00C52E59">
        <w:rPr>
          <w:rFonts w:ascii="Times New Roman" w:hAnsi="Times New Roman" w:cs="Times New Roman"/>
          <w:lang w:val="bg-BG"/>
        </w:rPr>
        <w:t xml:space="preserve"> ще изготви подробен </w:t>
      </w:r>
      <w:r w:rsidR="00C52E59" w:rsidRPr="00C52E59">
        <w:rPr>
          <w:rFonts w:ascii="Times New Roman" w:hAnsi="Times New Roman" w:cs="Times New Roman"/>
          <w:lang w:val="bg-BG"/>
        </w:rPr>
        <w:t>План за действие</w:t>
      </w:r>
      <w:r w:rsidR="00E34A62" w:rsidRPr="00C52E59">
        <w:rPr>
          <w:rFonts w:ascii="Times New Roman" w:hAnsi="Times New Roman" w:cs="Times New Roman"/>
          <w:lang w:val="bg-BG"/>
        </w:rPr>
        <w:t xml:space="preserve"> за устойчиво развитие на парк „Зелен пулс“ в Петрич, а </w:t>
      </w:r>
      <w:r w:rsidR="00C52E59" w:rsidRPr="00C52E59">
        <w:rPr>
          <w:rFonts w:ascii="Times New Roman" w:hAnsi="Times New Roman" w:cs="Times New Roman"/>
          <w:lang w:val="bg-BG"/>
        </w:rPr>
        <w:t>община Струмица</w:t>
      </w:r>
      <w:r w:rsidR="00E34A62" w:rsidRPr="00C52E59">
        <w:rPr>
          <w:rFonts w:ascii="Times New Roman" w:hAnsi="Times New Roman" w:cs="Times New Roman"/>
          <w:lang w:val="bg-BG"/>
        </w:rPr>
        <w:t xml:space="preserve"> ще изготви подробен </w:t>
      </w:r>
      <w:r w:rsidR="00C52E59" w:rsidRPr="00C52E59">
        <w:rPr>
          <w:rFonts w:ascii="Times New Roman" w:hAnsi="Times New Roman" w:cs="Times New Roman"/>
          <w:lang w:val="bg-BG"/>
        </w:rPr>
        <w:t>план за действие</w:t>
      </w:r>
      <w:r w:rsidR="00E34A62" w:rsidRPr="00C52E59">
        <w:rPr>
          <w:rFonts w:ascii="Times New Roman" w:hAnsi="Times New Roman" w:cs="Times New Roman"/>
          <w:lang w:val="bg-BG"/>
        </w:rPr>
        <w:t xml:space="preserve"> за парк „Зелен пулс“ в Струмица, к</w:t>
      </w:r>
      <w:r w:rsidR="00C52E59" w:rsidRPr="00C52E59">
        <w:rPr>
          <w:rFonts w:ascii="Times New Roman" w:hAnsi="Times New Roman" w:cs="Times New Roman"/>
          <w:lang w:val="bg-BG"/>
        </w:rPr>
        <w:t>оито</w:t>
      </w:r>
      <w:r w:rsidR="00E34A62" w:rsidRPr="00C52E59">
        <w:rPr>
          <w:rFonts w:ascii="Times New Roman" w:hAnsi="Times New Roman" w:cs="Times New Roman"/>
          <w:lang w:val="bg-BG"/>
        </w:rPr>
        <w:t xml:space="preserve"> заедно представляват побратимени паркове „Зелен пулс“, първите членове на </w:t>
      </w:r>
      <w:r w:rsidR="00C52E59" w:rsidRPr="00C52E59">
        <w:rPr>
          <w:rFonts w:ascii="Times New Roman" w:hAnsi="Times New Roman" w:cs="Times New Roman"/>
          <w:lang w:val="bg-BG"/>
        </w:rPr>
        <w:t xml:space="preserve">мрежа от екосистемни услуги – </w:t>
      </w:r>
      <w:r w:rsidR="00C52E59" w:rsidRPr="00C52E59">
        <w:rPr>
          <w:rFonts w:ascii="Times New Roman" w:hAnsi="Times New Roman" w:cs="Times New Roman"/>
        </w:rPr>
        <w:t>G</w:t>
      </w:r>
      <w:r w:rsidR="00C52E59" w:rsidRPr="00C52E59">
        <w:rPr>
          <w:rFonts w:ascii="Times New Roman" w:hAnsi="Times New Roman" w:cs="Times New Roman"/>
          <w:lang w:val="bg-BG"/>
        </w:rPr>
        <w:t>-</w:t>
      </w:r>
      <w:r w:rsidR="00C52E59" w:rsidRPr="00C52E59">
        <w:rPr>
          <w:rFonts w:ascii="Times New Roman" w:hAnsi="Times New Roman" w:cs="Times New Roman"/>
        </w:rPr>
        <w:t>Pact</w:t>
      </w:r>
      <w:r w:rsidR="00E34A62" w:rsidRPr="00C52E59">
        <w:rPr>
          <w:rFonts w:ascii="Times New Roman" w:hAnsi="Times New Roman" w:cs="Times New Roman"/>
          <w:lang w:val="bg-BG"/>
        </w:rPr>
        <w:t xml:space="preserve">. </w:t>
      </w:r>
      <w:r w:rsidR="00C52E59" w:rsidRPr="00C52E59">
        <w:rPr>
          <w:rFonts w:ascii="Times New Roman" w:hAnsi="Times New Roman" w:cs="Times New Roman"/>
          <w:lang w:val="bg-BG"/>
        </w:rPr>
        <w:t>Изпълнението на проектната дейности</w:t>
      </w:r>
      <w:r w:rsidR="00E34A62" w:rsidRPr="00C52E59">
        <w:rPr>
          <w:rFonts w:ascii="Times New Roman" w:hAnsi="Times New Roman" w:cs="Times New Roman"/>
          <w:lang w:val="bg-BG"/>
        </w:rPr>
        <w:t xml:space="preserve"> ще насърчи </w:t>
      </w:r>
      <w:r w:rsidR="00C52E59" w:rsidRPr="00C52E59">
        <w:rPr>
          <w:rFonts w:ascii="Times New Roman" w:hAnsi="Times New Roman" w:cs="Times New Roman"/>
          <w:lang w:val="bg-BG"/>
        </w:rPr>
        <w:t>трансграничното сътрудничество</w:t>
      </w:r>
      <w:r w:rsidR="00E34A62" w:rsidRPr="00C52E59">
        <w:rPr>
          <w:rFonts w:ascii="Times New Roman" w:hAnsi="Times New Roman" w:cs="Times New Roman"/>
          <w:lang w:val="bg-BG"/>
        </w:rPr>
        <w:t>.</w:t>
      </w:r>
    </w:p>
    <w:p w14:paraId="068F0249" w14:textId="200578C5" w:rsidR="00AF2086" w:rsidRDefault="00975C4B" w:rsidP="007674B5">
      <w:pPr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 w:rsidRPr="00975C4B">
        <w:rPr>
          <w:rFonts w:ascii="Times New Roman" w:hAnsi="Times New Roman" w:cs="Times New Roman"/>
          <w:b/>
          <w:bCs/>
          <w:lang w:val="bg-BG"/>
        </w:rPr>
        <w:t xml:space="preserve">II. </w:t>
      </w:r>
      <w:r w:rsidR="00AF2086" w:rsidRPr="00AF2086">
        <w:rPr>
          <w:rFonts w:ascii="Times New Roman" w:hAnsi="Times New Roman" w:cs="Times New Roman"/>
          <w:b/>
          <w:bCs/>
          <w:lang w:val="bg-BG"/>
        </w:rPr>
        <w:t>ПЪЛНО ОПИСАНИЕ НА ПРЕДМЕТА НА ПОРЪЧКАТА</w:t>
      </w:r>
    </w:p>
    <w:p w14:paraId="09F85ABC" w14:textId="32D525CA" w:rsidR="00914E45" w:rsidRDefault="00914E45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914E45">
        <w:rPr>
          <w:rFonts w:ascii="Times New Roman" w:eastAsia="Calibri" w:hAnsi="Times New Roman" w:cs="Times New Roman"/>
          <w:kern w:val="0"/>
          <w:lang w:val="bg-BG"/>
          <w14:ligatures w14:val="none"/>
        </w:rPr>
        <w:t>В рамките на обособената позиция се предвижда определеният Изпълнител да разработи Съвместна Методология за оценка на градските екосистемни услуги, която ще служи като ценен ресурс за местните власти, градоустройствените специалисти и др. Тази методология има за цел да осигури стандартизиран подход за оценка и подобряване на екосистемните услуги в градските райони, като по този начин допринася за устойчивото развитие, опазването на природата и намаляването на замърсяването.</w:t>
      </w:r>
    </w:p>
    <w:p w14:paraId="7D82FF11" w14:textId="2C7510D9" w:rsidR="004E56A6" w:rsidRDefault="004E56A6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В рамките на обособената позиция избраният изпълнител следва да изпълни 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миним</w:t>
      </w:r>
      <w:r w:rsidR="00914E45">
        <w:rPr>
          <w:rFonts w:ascii="Times New Roman" w:eastAsia="Calibri" w:hAnsi="Times New Roman" w:cs="Times New Roman"/>
          <w:kern w:val="0"/>
          <w:lang w:val="bg-BG"/>
          <w14:ligatures w14:val="none"/>
        </w:rPr>
        <w:t>у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м следните </w:t>
      </w:r>
      <w:r w:rsidR="00A949F7">
        <w:rPr>
          <w:rFonts w:ascii="Times New Roman" w:eastAsia="Calibri" w:hAnsi="Times New Roman" w:cs="Times New Roman"/>
          <w:kern w:val="0"/>
          <w:lang w:val="bg-BG"/>
          <w14:ligatures w14:val="none"/>
        </w:rPr>
        <w:t>дейности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:</w:t>
      </w:r>
    </w:p>
    <w:p w14:paraId="19CFA344" w14:textId="77777777" w:rsidR="00A949F7" w:rsidRPr="00694A02" w:rsidRDefault="00A949F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694A02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Дейност 1: Преглед на литература и най-добри практики в областта</w:t>
      </w:r>
    </w:p>
    <w:p w14:paraId="6204DF3F" w14:textId="77777777" w:rsidR="00A949F7" w:rsidRDefault="00A949F7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Дейността предвижда изпълнение на следните задачи:</w:t>
      </w:r>
      <w:r w:rsidRPr="00A949F7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</w:p>
    <w:p w14:paraId="1E54221E" w14:textId="77777777" w:rsidR="00A949F7" w:rsidRDefault="00A949F7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- </w:t>
      </w:r>
      <w:r w:rsidRPr="00A949F7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Преглед на съществуваща литература, проучвания и най-добри международни практики, свързани с методологиите за оценка на ESS в градовете; </w:t>
      </w:r>
    </w:p>
    <w:p w14:paraId="775E5B8C" w14:textId="493F8CED" w:rsidR="00A949F7" w:rsidRDefault="00A949F7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- </w:t>
      </w:r>
      <w:r w:rsidRPr="00A949F7">
        <w:rPr>
          <w:rFonts w:ascii="Times New Roman" w:eastAsia="Calibri" w:hAnsi="Times New Roman" w:cs="Times New Roman"/>
          <w:kern w:val="0"/>
          <w:lang w:val="bg-BG"/>
          <w14:ligatures w14:val="none"/>
        </w:rPr>
        <w:t>Идентифициране на ключови елементи и компоненти, които трябва да бъдат включени в съвместната методология</w:t>
      </w:r>
    </w:p>
    <w:p w14:paraId="51D665E5" w14:textId="129A327A" w:rsidR="00A949F7" w:rsidRPr="00A949F7" w:rsidRDefault="00A949F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Дейност 2: Разработване на стандартизиран протокол</w:t>
      </w:r>
    </w:p>
    <w:p w14:paraId="46AA56E8" w14:textId="61C66193" w:rsidR="00A949F7" w:rsidRPr="00A949F7" w:rsidRDefault="00A949F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Дейността предвижда изпълнение на следните задачи:  </w:t>
      </w:r>
    </w:p>
    <w:p w14:paraId="6C3E0D24" w14:textId="77777777" w:rsidR="00A949F7" w:rsidRDefault="00A949F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- </w:t>
      </w:r>
      <w:r w:rsidRPr="00A949F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Разработване на протокол за събиране на данни, свързани с четирите основни типа EsS (Осигуряване, Регулиране, Поддържане, Културен); </w:t>
      </w:r>
    </w:p>
    <w:p w14:paraId="0AB4BF28" w14:textId="6E232C84" w:rsidR="00A949F7" w:rsidRDefault="00A949F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- </w:t>
      </w:r>
      <w:r w:rsidR="00AB1C2B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Разработване</w:t>
      </w:r>
      <w:r w:rsidRPr="00A949F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 на стандартизирани методи и инструменти за събиране на данни</w:t>
      </w:r>
      <w:r w:rsidR="00AB1C2B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 в сферата</w:t>
      </w:r>
    </w:p>
    <w:p w14:paraId="7EC5CA6E" w14:textId="4E40E8DB" w:rsidR="00AB1C2B" w:rsidRDefault="00AB1C2B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Дейност </w:t>
      </w:r>
      <w:r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3</w:t>
      </w:r>
      <w:r w:rsidRPr="00A949F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: Разработване на </w:t>
      </w:r>
      <w:r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на</w:t>
      </w:r>
      <w:r w:rsidRPr="00AB1C2B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соки за анализ на данни</w:t>
      </w:r>
    </w:p>
    <w:p w14:paraId="6CCFFA7C" w14:textId="77777777" w:rsidR="00AB1C2B" w:rsidRPr="00A949F7" w:rsidRDefault="00AB1C2B" w:rsidP="007674B5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Дейността предвижда изпълнение на следните задачи:  </w:t>
      </w:r>
    </w:p>
    <w:p w14:paraId="74E83550" w14:textId="77777777" w:rsidR="00AB1C2B" w:rsidRDefault="00AB1C2B" w:rsidP="007674B5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- </w:t>
      </w:r>
      <w:r w:rsidRPr="00AB1C2B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Разработване на насоки за анализ на данни, включително статистически методи и други инструменти, които да се използват; </w:t>
      </w:r>
    </w:p>
    <w:p w14:paraId="7EE92443" w14:textId="60F9E7E0" w:rsidR="00AB1C2B" w:rsidRPr="00AB1C2B" w:rsidRDefault="00AB1C2B" w:rsidP="007674B5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lastRenderedPageBreak/>
        <w:t xml:space="preserve">- </w:t>
      </w:r>
      <w:r w:rsidRPr="00AB1C2B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Уточняване на критерии за идентифициране на ключови горещи точки на </w:t>
      </w:r>
      <w:proofErr w:type="spellStart"/>
      <w:r>
        <w:rPr>
          <w:rFonts w:ascii="Times New Roman" w:eastAsia="Calibri" w:hAnsi="Times New Roman" w:cs="Times New Roman"/>
          <w:bCs/>
          <w:kern w:val="0"/>
          <w14:ligatures w14:val="none"/>
        </w:rPr>
        <w:t>EsS</w:t>
      </w:r>
      <w:proofErr w:type="spellEnd"/>
      <w:r w:rsidRPr="00AB1C2B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 в градските райони.</w:t>
      </w:r>
    </w:p>
    <w:p w14:paraId="5ECE4889" w14:textId="4DE0E5D3" w:rsidR="00AB1C2B" w:rsidRPr="00F903B7" w:rsidRDefault="00AB1C2B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F903B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Дейност 4: Насоки за картографиране и визуализация</w:t>
      </w:r>
    </w:p>
    <w:p w14:paraId="44B05EBB" w14:textId="77777777" w:rsidR="00AB1C2B" w:rsidRPr="00A949F7" w:rsidRDefault="00AB1C2B" w:rsidP="007674B5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Дейността предвижда изпълнение на следните задачи:  </w:t>
      </w:r>
    </w:p>
    <w:p w14:paraId="57CA93DF" w14:textId="77777777" w:rsidR="00AB1C2B" w:rsidRDefault="00AB1C2B" w:rsidP="007674B5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- Разработване</w:t>
      </w:r>
      <w:r w:rsidRPr="00AB1C2B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 на насоки за картографиране и визуализиране на данни </w:t>
      </w: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за </w:t>
      </w:r>
      <w:proofErr w:type="spellStart"/>
      <w:r>
        <w:rPr>
          <w:rFonts w:ascii="Times New Roman" w:eastAsia="Calibri" w:hAnsi="Times New Roman" w:cs="Times New Roman"/>
          <w:bCs/>
          <w:kern w:val="0"/>
          <w14:ligatures w14:val="none"/>
        </w:rPr>
        <w:t>EsS</w:t>
      </w:r>
      <w:proofErr w:type="spellEnd"/>
      <w:r w:rsidRPr="00AB1C2B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 с помощта на подходящи инструменти;</w:t>
      </w:r>
    </w:p>
    <w:p w14:paraId="1ED2EBE7" w14:textId="7BEA6358" w:rsidR="00AB1C2B" w:rsidRPr="00AB1C2B" w:rsidRDefault="00AB1C2B" w:rsidP="007674B5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14:ligatures w14:val="none"/>
        </w:rPr>
        <w:t>-</w:t>
      </w:r>
      <w:r w:rsidRPr="00AB1C2B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 </w:t>
      </w:r>
      <w:r w:rsidR="00F903B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Препоръки за изготвяне на ясни, информативни и удобни за потребителя карти;</w:t>
      </w:r>
    </w:p>
    <w:p w14:paraId="1ABCEB24" w14:textId="1E4DE4AF" w:rsidR="00F903B7" w:rsidRPr="00F903B7" w:rsidRDefault="00F903B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F903B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Дейност </w:t>
      </w:r>
      <w:r w:rsidR="00E32CEC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5</w:t>
      </w:r>
      <w:r w:rsidRPr="00F903B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: Съставяне на „Съвместна Методология за оценка на градските екосистемни услуги“</w:t>
      </w:r>
    </w:p>
    <w:p w14:paraId="3391F012" w14:textId="34D2F54F" w:rsidR="00F903B7" w:rsidRDefault="00F903B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Дейността предвижда изпълнение на следнит</w:t>
      </w:r>
      <w:bookmarkStart w:id="0" w:name="_GoBack"/>
      <w:bookmarkEnd w:id="0"/>
      <w:r w:rsidRPr="00A949F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е задачи:</w:t>
      </w:r>
    </w:p>
    <w:p w14:paraId="08353B22" w14:textId="6BDD233C" w:rsidR="00A949F7" w:rsidRPr="00F903B7" w:rsidRDefault="00F903B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- </w:t>
      </w:r>
      <w:r w:rsidRPr="00F903B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Компилиране на всички разработени протоколи, насоки и препоръки в цялостна методология за съвместна оценка на EsS в града.</w:t>
      </w:r>
    </w:p>
    <w:p w14:paraId="20DD3137" w14:textId="20D66E7C" w:rsidR="00CB1466" w:rsidRDefault="00CB1466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CB1466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ПОДРОБНО ОПИСАНИЕ НА ИЗИСКВАНИЯТА КЪМ ИЗПЪЛНЕНИЕТО</w:t>
      </w:r>
    </w:p>
    <w:p w14:paraId="55A69C2A" w14:textId="77777777" w:rsidR="00016771" w:rsidRPr="00016771" w:rsidRDefault="00016771" w:rsidP="007674B5">
      <w:pPr>
        <w:spacing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Дейност 1: Преглед на литература и най-добри практики в областта</w:t>
      </w:r>
    </w:p>
    <w:p w14:paraId="73C1D2E4" w14:textId="77777777" w:rsidR="00016771" w:rsidRPr="00016771" w:rsidRDefault="00016771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Цел на дейността:</w:t>
      </w:r>
    </w:p>
    <w:p w14:paraId="6DC47AA6" w14:textId="17E9C609" w:rsidR="00016771" w:rsidRPr="00016771" w:rsidRDefault="00016771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Тази дейност има за цел да осигури солидна научна и практическа основа за разработване на Съвместната методология за оценка на градските екосистемни услуги (EsS). Чрез систематичен преглед на литературата и анализ на утвърдени методологии и най-добри международни практики, 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следва да</w:t>
      </w: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бъдат идентифицирани ключови елементи и подходи, които да залегнат в основата на разработваната методология.</w:t>
      </w:r>
    </w:p>
    <w:p w14:paraId="25A21C08" w14:textId="77777777" w:rsidR="00016771" w:rsidRPr="00016771" w:rsidRDefault="00016771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Изисквания към изпълнението на дейността:</w:t>
      </w:r>
    </w:p>
    <w:p w14:paraId="571A1DC5" w14:textId="77777777" w:rsidR="00016771" w:rsidRPr="00016771" w:rsidRDefault="00016771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Изпълнителят следва да проведе детайлен и изчерпателен преглед на съществуващата научна литература, нормативни документи, ръководства и доклади, свързани с оценката на EsS в градските райони. Прегледът трябва да включва анализ на приложими модели, подходи и индикатори за оценка на EsS, както и идентифициране на предизвикателства и възможности за прилагането им в трансграничния контекст на България и Северна Македония.</w:t>
      </w:r>
    </w:p>
    <w:p w14:paraId="1FF4F79E" w14:textId="77777777" w:rsidR="00016771" w:rsidRPr="00016771" w:rsidRDefault="00016771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Задачи към дейността:</w:t>
      </w:r>
    </w:p>
    <w:p w14:paraId="13CC3534" w14:textId="77777777" w:rsidR="00016771" w:rsidRPr="00016771" w:rsidRDefault="00016771" w:rsidP="007674B5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Систематичен преглед на научната литература</w:t>
      </w:r>
    </w:p>
    <w:p w14:paraId="1C21C656" w14:textId="51F32487" w:rsidR="00016771" w:rsidRPr="00016771" w:rsidRDefault="00016771" w:rsidP="007674B5">
      <w:pPr>
        <w:numPr>
          <w:ilvl w:val="1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Преглед на академични публикации, рецензирани статии, научни доклади</w:t>
      </w:r>
      <w:r w:rsidRPr="00451AD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,</w:t>
      </w: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дисертации</w:t>
      </w:r>
      <w:r w:rsidRPr="00451AD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или други, </w:t>
      </w: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свързани с оценката на градските екосистемни услуги.</w:t>
      </w:r>
    </w:p>
    <w:p w14:paraId="56C29ECB" w14:textId="77777777" w:rsidR="00016771" w:rsidRPr="00016771" w:rsidRDefault="00016771" w:rsidP="007674B5">
      <w:pPr>
        <w:numPr>
          <w:ilvl w:val="1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Анализ на основни теоретични модели и концепции за оценка на EsS, включително инструменти за картографиране, моделиране и икономическа оценка.</w:t>
      </w:r>
    </w:p>
    <w:p w14:paraId="0352AB84" w14:textId="77777777" w:rsidR="00016771" w:rsidRPr="00016771" w:rsidRDefault="00016771" w:rsidP="007674B5">
      <w:pPr>
        <w:numPr>
          <w:ilvl w:val="1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>Извличане на ключови параметри и индикатори за измерване на екосистемните услуги, прилагани в международната практика.</w:t>
      </w:r>
    </w:p>
    <w:p w14:paraId="158A8B4C" w14:textId="77777777" w:rsidR="00016771" w:rsidRPr="00016771" w:rsidRDefault="00016771" w:rsidP="007674B5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Преглед на международни и европейски методологии и ръководства</w:t>
      </w:r>
    </w:p>
    <w:p w14:paraId="7F0E99C1" w14:textId="77777777" w:rsidR="00016771" w:rsidRPr="00016771" w:rsidRDefault="00016771" w:rsidP="007674B5">
      <w:pPr>
        <w:numPr>
          <w:ilvl w:val="1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Анализ на рамки и методологии, разработени от Европейската агенция за околна среда (EEA), ООН, Световната банка, Европейската комисия, както и други международни организации.</w:t>
      </w:r>
    </w:p>
    <w:p w14:paraId="6E2D8C54" w14:textId="77777777" w:rsidR="00016771" w:rsidRPr="00016771" w:rsidRDefault="00016771" w:rsidP="007674B5">
      <w:pPr>
        <w:numPr>
          <w:ilvl w:val="1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Идентифициране на успешни практики от държави-членки на ЕС и извън него, които могат да бъдат приложими в контекста на проекта.</w:t>
      </w:r>
    </w:p>
    <w:p w14:paraId="646D5F3C" w14:textId="77777777" w:rsidR="00016771" w:rsidRPr="00016771" w:rsidRDefault="00016771" w:rsidP="007674B5">
      <w:pPr>
        <w:numPr>
          <w:ilvl w:val="1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Преглед на политики и нормативни документи, регламентиращи оценката на EsS на европейско и национално ниво.</w:t>
      </w:r>
    </w:p>
    <w:p w14:paraId="52EB7037" w14:textId="77777777" w:rsidR="00016771" w:rsidRPr="00016771" w:rsidRDefault="00016771" w:rsidP="007674B5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Анализ на успешни примери и проекти за оценка на градските EsS</w:t>
      </w:r>
    </w:p>
    <w:p w14:paraId="2D3CCBA4" w14:textId="77777777" w:rsidR="00016771" w:rsidRPr="00016771" w:rsidRDefault="00016771" w:rsidP="007674B5">
      <w:pPr>
        <w:numPr>
          <w:ilvl w:val="1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Идентифициране и анализ на </w:t>
      </w:r>
      <w:r w:rsidRPr="00016771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най-малко 5 международни и 3 регионални</w:t>
      </w: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проекта, които са приложили ефективни методологии за оценка на градските EsS.</w:t>
      </w:r>
    </w:p>
    <w:p w14:paraId="105D2E5E" w14:textId="77777777" w:rsidR="00016771" w:rsidRPr="00016771" w:rsidRDefault="00016771" w:rsidP="007674B5">
      <w:pPr>
        <w:numPr>
          <w:ilvl w:val="1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Детайлно описание на използваните подходи, инструменти и постигнатите резултати, с фокус върху тяхната приложимост в градските райони на Петрич и Струмица.</w:t>
      </w:r>
    </w:p>
    <w:p w14:paraId="61C8932E" w14:textId="77777777" w:rsidR="00016771" w:rsidRPr="00016771" w:rsidRDefault="00016771" w:rsidP="007674B5">
      <w:pPr>
        <w:numPr>
          <w:ilvl w:val="0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Синтез и изготвяне на аналитичен доклад</w:t>
      </w:r>
    </w:p>
    <w:p w14:paraId="66C32D0A" w14:textId="77777777" w:rsidR="00016771" w:rsidRPr="00016771" w:rsidRDefault="00016771" w:rsidP="007674B5">
      <w:pPr>
        <w:numPr>
          <w:ilvl w:val="1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Систематизиране на събраната информация и обобщаване на най-добрите международни и регионални практики.</w:t>
      </w:r>
    </w:p>
    <w:p w14:paraId="68A3D6F6" w14:textId="77777777" w:rsidR="00016771" w:rsidRPr="00016771" w:rsidRDefault="00016771" w:rsidP="007674B5">
      <w:pPr>
        <w:numPr>
          <w:ilvl w:val="1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Дефиниране на ключови елементи и компоненти, които трябва да бъдат включени в Съвместната методология за оценка на EsS.</w:t>
      </w:r>
    </w:p>
    <w:p w14:paraId="707A7EA5" w14:textId="77777777" w:rsidR="00016771" w:rsidRPr="00016771" w:rsidRDefault="00016771" w:rsidP="007674B5">
      <w:pPr>
        <w:numPr>
          <w:ilvl w:val="1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Предоставяне на структуриран аналитичен доклад (не по-малко от 30 страници), който включва:</w:t>
      </w:r>
    </w:p>
    <w:p w14:paraId="265973A2" w14:textId="77777777" w:rsidR="00016771" w:rsidRPr="00016771" w:rsidRDefault="00016771" w:rsidP="007674B5">
      <w:pPr>
        <w:numPr>
          <w:ilvl w:val="2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Описание на изследваните методологии и практики;</w:t>
      </w:r>
    </w:p>
    <w:p w14:paraId="50B5D2B6" w14:textId="77777777" w:rsidR="00016771" w:rsidRPr="00016771" w:rsidRDefault="00016771" w:rsidP="007674B5">
      <w:pPr>
        <w:numPr>
          <w:ilvl w:val="2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Сравнителен анализ на предимствата и недостатъците на различните подходи;</w:t>
      </w:r>
    </w:p>
    <w:p w14:paraId="6A61672E" w14:textId="77777777" w:rsidR="00016771" w:rsidRPr="00016771" w:rsidRDefault="00016771" w:rsidP="007674B5">
      <w:pPr>
        <w:numPr>
          <w:ilvl w:val="2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Заключения и препоръки за адаптиране на успешните практики в трансграничния контекст.</w:t>
      </w:r>
    </w:p>
    <w:p w14:paraId="35C05276" w14:textId="77777777" w:rsidR="00016771" w:rsidRPr="00016771" w:rsidRDefault="00016771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Очаквани резултати от изпълнението:</w:t>
      </w:r>
    </w:p>
    <w:p w14:paraId="2E285149" w14:textId="77777777" w:rsidR="00016771" w:rsidRPr="00016771" w:rsidRDefault="00016771" w:rsidP="007674B5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Систематичен и задълбочен преглед на литературата, политиките и най-добрите практики за оценка на EsS.</w:t>
      </w:r>
    </w:p>
    <w:p w14:paraId="5BC31DE2" w14:textId="77777777" w:rsidR="00016771" w:rsidRPr="00016771" w:rsidRDefault="00016771" w:rsidP="007674B5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Аналитичен доклад, който ще послужи като основа за следващите етапи на разработване на методологията.</w:t>
      </w:r>
    </w:p>
    <w:p w14:paraId="675E4210" w14:textId="77777777" w:rsidR="00016771" w:rsidRPr="00016771" w:rsidRDefault="00016771" w:rsidP="007674B5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>Идентифициране на най-подходящите и приложими индикатори, методи и инструменти за оценка на градските EsS.</w:t>
      </w:r>
    </w:p>
    <w:p w14:paraId="26194D49" w14:textId="77777777" w:rsidR="00016771" w:rsidRPr="00016771" w:rsidRDefault="00016771" w:rsidP="007674B5">
      <w:pPr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Обосновани препоръки за прилагане на най-добрите международни практики в контекста на Петрич и Струмица.</w:t>
      </w:r>
    </w:p>
    <w:p w14:paraId="33B6AB75" w14:textId="77777777" w:rsidR="00016771" w:rsidRPr="00451ADD" w:rsidRDefault="00016771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016771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Изпълнителят следва да осигури висока научна обоснованост, аналитична прецизност и практическа приложимост на своите изследвания, като използва актуални източници и данни, приложими за градските екосистемни услуги.</w:t>
      </w:r>
    </w:p>
    <w:p w14:paraId="4BAC2BEB" w14:textId="77777777" w:rsidR="009914B0" w:rsidRPr="009914B0" w:rsidRDefault="009914B0" w:rsidP="007674B5">
      <w:pPr>
        <w:spacing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bg-BG"/>
          <w14:ligatures w14:val="none"/>
        </w:rPr>
        <w:t>Дейност 2: Разработване на стандартизиран протокол</w:t>
      </w:r>
    </w:p>
    <w:p w14:paraId="271DC557" w14:textId="77777777" w:rsidR="009914B0" w:rsidRPr="009914B0" w:rsidRDefault="009914B0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Цел на дейността:</w:t>
      </w:r>
    </w:p>
    <w:p w14:paraId="3C2874D2" w14:textId="77777777" w:rsidR="009914B0" w:rsidRPr="009914B0" w:rsidRDefault="009914B0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Тази дейност има за цел създаването на унифициран и приложим стандартизиран протокол за събиране на данни, свързани с оценката на градските екосистемни услуги (EsS) в трансграничния регион България – Северна Македония. Разработването на такъв протокол ще осигури сравнимост, последователност и научна обоснованост на данните, необходими за оценка на EsS, като обхваща всички основни категории екосистемни услуги – осигуряващи, регулиращи, поддържащи и културни услуги.</w:t>
      </w:r>
    </w:p>
    <w:p w14:paraId="77166A70" w14:textId="77777777" w:rsidR="009914B0" w:rsidRPr="009914B0" w:rsidRDefault="009914B0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Изисквания към изпълнението на дейността:</w:t>
      </w:r>
    </w:p>
    <w:p w14:paraId="31FE35D6" w14:textId="77777777" w:rsidR="009914B0" w:rsidRPr="009914B0" w:rsidRDefault="009914B0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Изпълнителят следва да разработи детайлни методологически насоки и стандартизирани процедури за събиране на данни, които ще бъдат прилагани в целевите градове Петрич и Струмица. Протоколът трябва да бъде съобразен със съвременните научни методи и международните стандарти, като същевременно отчита местните екологични, социални и градоустройствени специфики.</w:t>
      </w:r>
    </w:p>
    <w:p w14:paraId="006422FF" w14:textId="77777777" w:rsidR="009914B0" w:rsidRPr="009914B0" w:rsidRDefault="009914B0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Задачи към дейността:</w:t>
      </w:r>
    </w:p>
    <w:p w14:paraId="1C9F325B" w14:textId="77777777" w:rsidR="009914B0" w:rsidRPr="009914B0" w:rsidRDefault="009914B0" w:rsidP="007674B5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Определяне на ключовите параметри и индикатори за събиране на данни</w:t>
      </w:r>
    </w:p>
    <w:p w14:paraId="225B9CDC" w14:textId="77777777" w:rsidR="009914B0" w:rsidRPr="009914B0" w:rsidRDefault="009914B0" w:rsidP="007674B5">
      <w:pPr>
        <w:numPr>
          <w:ilvl w:val="1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Идентифициране на съществени показатели за всеки от четирите основни типа EsS:</w:t>
      </w:r>
    </w:p>
    <w:p w14:paraId="2F9D76F2" w14:textId="77777777" w:rsidR="009914B0" w:rsidRPr="009914B0" w:rsidRDefault="009914B0" w:rsidP="007674B5">
      <w:pPr>
        <w:numPr>
          <w:ilvl w:val="2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Осигуряващи услуги (напр. наличие на зелени площи, биоразнообразие, наличие на водни ресурси).</w:t>
      </w:r>
    </w:p>
    <w:p w14:paraId="46E8DF48" w14:textId="77777777" w:rsidR="009914B0" w:rsidRPr="009914B0" w:rsidRDefault="009914B0" w:rsidP="007674B5">
      <w:pPr>
        <w:numPr>
          <w:ilvl w:val="2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Регулиращи услуги (напр. качество на въздуха, задържане на въглерод, температурна регулация, задържане на дъждовни води).</w:t>
      </w:r>
    </w:p>
    <w:p w14:paraId="6ECA9DED" w14:textId="77777777" w:rsidR="009914B0" w:rsidRPr="009914B0" w:rsidRDefault="009914B0" w:rsidP="007674B5">
      <w:pPr>
        <w:numPr>
          <w:ilvl w:val="2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Поддържащи услуги (напр. почвено плодородие, опрашване, поддържане на хранителни вериги).</w:t>
      </w:r>
    </w:p>
    <w:p w14:paraId="6E1985F4" w14:textId="77777777" w:rsidR="009914B0" w:rsidRPr="009914B0" w:rsidRDefault="009914B0" w:rsidP="007674B5">
      <w:pPr>
        <w:numPr>
          <w:ilvl w:val="2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Културни услуги (напр. рекреационни дейности, естетически и духовни ценности, екологично образование).</w:t>
      </w:r>
    </w:p>
    <w:p w14:paraId="6434E164" w14:textId="77777777" w:rsidR="009914B0" w:rsidRPr="009914B0" w:rsidRDefault="009914B0" w:rsidP="007674B5">
      <w:pPr>
        <w:numPr>
          <w:ilvl w:val="1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Определяне на минимален набор от задължителни индикатори и допълнителни показатели, които могат да се прилагат в зависимост от местния контекст.</w:t>
      </w:r>
    </w:p>
    <w:p w14:paraId="5BB7ADFD" w14:textId="77777777" w:rsidR="009914B0" w:rsidRPr="009914B0" w:rsidRDefault="009914B0" w:rsidP="007674B5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lastRenderedPageBreak/>
        <w:t>Разработване на методология за събиране на данни</w:t>
      </w:r>
    </w:p>
    <w:p w14:paraId="309ABBFF" w14:textId="77777777" w:rsidR="009914B0" w:rsidRPr="009914B0" w:rsidRDefault="009914B0" w:rsidP="007674B5">
      <w:pPr>
        <w:numPr>
          <w:ilvl w:val="1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Определяне на основните източници на данни, включително:</w:t>
      </w:r>
    </w:p>
    <w:p w14:paraId="3B2AED7E" w14:textId="77777777" w:rsidR="009914B0" w:rsidRPr="009914B0" w:rsidRDefault="009914B0" w:rsidP="007674B5">
      <w:pPr>
        <w:numPr>
          <w:ilvl w:val="2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Полеви проучвания (измервания, пробовземане, визуални наблюдения).</w:t>
      </w:r>
    </w:p>
    <w:p w14:paraId="78E5DC07" w14:textId="77777777" w:rsidR="009914B0" w:rsidRPr="009914B0" w:rsidRDefault="009914B0" w:rsidP="007674B5">
      <w:pPr>
        <w:numPr>
          <w:ilvl w:val="2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Дистанционни методи (сателитни изображения, дронови наблюдения, ГИС технологии).</w:t>
      </w:r>
    </w:p>
    <w:p w14:paraId="2536EFE8" w14:textId="77777777" w:rsidR="009914B0" w:rsidRPr="009914B0" w:rsidRDefault="009914B0" w:rsidP="007674B5">
      <w:pPr>
        <w:numPr>
          <w:ilvl w:val="2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Анкетни и интервюиращи методи (включване на заинтересовани страни – граждани, местни власти, бизнеси, НПО).</w:t>
      </w:r>
    </w:p>
    <w:p w14:paraId="479E5865" w14:textId="77777777" w:rsidR="009914B0" w:rsidRPr="009914B0" w:rsidRDefault="009914B0" w:rsidP="007674B5">
      <w:pPr>
        <w:numPr>
          <w:ilvl w:val="2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Бази данни и статистически източници (данни от държавни и международни институции, академични изследвания).</w:t>
      </w:r>
    </w:p>
    <w:p w14:paraId="651BC14B" w14:textId="77777777" w:rsidR="009914B0" w:rsidRPr="009914B0" w:rsidRDefault="009914B0" w:rsidP="007674B5">
      <w:pPr>
        <w:numPr>
          <w:ilvl w:val="1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Дефиниране на времеви рамки за събиране на данни, като се вземат предвид сезонните и климатичните вариации.</w:t>
      </w:r>
    </w:p>
    <w:p w14:paraId="74D3464A" w14:textId="77777777" w:rsidR="009914B0" w:rsidRPr="009914B0" w:rsidRDefault="009914B0" w:rsidP="007674B5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Стандартизиране на използваните инструменти и технологии</w:t>
      </w:r>
    </w:p>
    <w:p w14:paraId="683C823C" w14:textId="77777777" w:rsidR="009914B0" w:rsidRPr="009914B0" w:rsidRDefault="009914B0" w:rsidP="007674B5">
      <w:pPr>
        <w:numPr>
          <w:ilvl w:val="1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Определяне на специфично оборудване и технологии, които ще се използват за събиране на данни, включително:</w:t>
      </w:r>
    </w:p>
    <w:p w14:paraId="3693712C" w14:textId="77777777" w:rsidR="009914B0" w:rsidRPr="009914B0" w:rsidRDefault="009914B0" w:rsidP="007674B5">
      <w:pPr>
        <w:numPr>
          <w:ilvl w:val="2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GPS/GIS базирани инструменти за картографиране и пространствен анализ.</w:t>
      </w:r>
    </w:p>
    <w:p w14:paraId="51698737" w14:textId="77777777" w:rsidR="009914B0" w:rsidRPr="009914B0" w:rsidRDefault="009914B0" w:rsidP="007674B5">
      <w:pPr>
        <w:numPr>
          <w:ilvl w:val="2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Дронове и сателитни изображения за мониторинг на зелени площи и биоразнообразие.</w:t>
      </w:r>
    </w:p>
    <w:p w14:paraId="587527D7" w14:textId="77777777" w:rsidR="009914B0" w:rsidRPr="009914B0" w:rsidRDefault="009914B0" w:rsidP="007674B5">
      <w:pPr>
        <w:numPr>
          <w:ilvl w:val="2"/>
          <w:numId w:val="1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Анкетни платформи и мобилни приложения за събиране на данни от гражданите.</w:t>
      </w:r>
    </w:p>
    <w:p w14:paraId="3261077E" w14:textId="77777777" w:rsidR="009914B0" w:rsidRPr="009914B0" w:rsidRDefault="009914B0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Очаквани резултати от изпълнението:</w:t>
      </w:r>
    </w:p>
    <w:p w14:paraId="4F6934EE" w14:textId="77777777" w:rsidR="009914B0" w:rsidRPr="009914B0" w:rsidRDefault="009914B0" w:rsidP="007674B5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Разработен и валидиран стандартизиран протокол за събиране на данни за градските екосистемни услуги, приложим в трансграничния контекст.</w:t>
      </w:r>
    </w:p>
    <w:p w14:paraId="1220653B" w14:textId="77777777" w:rsidR="009914B0" w:rsidRPr="009914B0" w:rsidRDefault="009914B0" w:rsidP="007674B5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Дефинирани ключови индикатори и показатели, които ще бъдат използвани при оценката на EsS.</w:t>
      </w:r>
    </w:p>
    <w:p w14:paraId="7FD848F1" w14:textId="77777777" w:rsidR="009914B0" w:rsidRPr="009914B0" w:rsidRDefault="009914B0" w:rsidP="007674B5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Установени методи и инструменти за събиране, обработка и валидиране на данните.</w:t>
      </w:r>
    </w:p>
    <w:p w14:paraId="0E8994CB" w14:textId="77777777" w:rsidR="009914B0" w:rsidRPr="009914B0" w:rsidRDefault="009914B0" w:rsidP="007674B5">
      <w:pPr>
        <w:numPr>
          <w:ilvl w:val="0"/>
          <w:numId w:val="13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Гарантирана съвместимост и сравнимост на събраните данни между двата града – Петрич и Струмица.</w:t>
      </w:r>
    </w:p>
    <w:p w14:paraId="4F1DF26F" w14:textId="77777777" w:rsidR="009914B0" w:rsidRPr="009914B0" w:rsidRDefault="009914B0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Допълнителни изисквания към изпълнителя:</w:t>
      </w:r>
    </w:p>
    <w:p w14:paraId="4AEA5920" w14:textId="77777777" w:rsidR="009914B0" w:rsidRPr="009914B0" w:rsidRDefault="009914B0" w:rsidP="007674B5">
      <w:pPr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Изпълнителят трябва да осигури висока научна достоверност и методологическа обоснованост на протокола, като се позовава на най-добрите международни практики и съвременни научни изследвания.</w:t>
      </w:r>
    </w:p>
    <w:p w14:paraId="1B6A016F" w14:textId="03C137E9" w:rsidR="009914B0" w:rsidRPr="009914B0" w:rsidRDefault="009914B0" w:rsidP="007674B5">
      <w:pPr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>Всички разработени документи и методологически насоки трябва да бъдат представени в структуриран и достъпен формат, включващ текстова част, таблици, графики и схеми /където е приложимо/</w:t>
      </w:r>
    </w:p>
    <w:p w14:paraId="4CC5CCE0" w14:textId="23DA6357" w:rsidR="009914B0" w:rsidRPr="009914B0" w:rsidRDefault="009914B0" w:rsidP="007674B5">
      <w:pPr>
        <w:numPr>
          <w:ilvl w:val="0"/>
          <w:numId w:val="14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Стандартизираният протокол трябва да бъде изготвен на български език и македонски език</w:t>
      </w:r>
    </w:p>
    <w:p w14:paraId="61BA3AC8" w14:textId="77777777" w:rsidR="009914B0" w:rsidRPr="009914B0" w:rsidRDefault="009914B0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9914B0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Изпълнението на тази дейност е от ключово значение за успешното прилагане на Съвместната методология за оценка на градските екосистемни услуги, като осигурява надеждна база за събиране и анализ на данни, необходими за вземане на информирани решения за устойчивото развитие на градските екосистеми.</w:t>
      </w:r>
    </w:p>
    <w:p w14:paraId="163E6569" w14:textId="77777777" w:rsidR="00016771" w:rsidRPr="00016771" w:rsidRDefault="00016771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69BD0EB8" w14:textId="77777777" w:rsidR="004F1E0E" w:rsidRPr="004F1E0E" w:rsidRDefault="004F1E0E" w:rsidP="007674B5">
      <w:pPr>
        <w:spacing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Дейност 3: Разработване на насоки за анализ на данни</w:t>
      </w:r>
    </w:p>
    <w:p w14:paraId="14EA98F0" w14:textId="77777777" w:rsidR="004F1E0E" w:rsidRPr="004F1E0E" w:rsidRDefault="004F1E0E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Цел на дейността:</w:t>
      </w:r>
    </w:p>
    <w:p w14:paraId="06F9FED7" w14:textId="117C2968" w:rsidR="004F1E0E" w:rsidRPr="004F1E0E" w:rsidRDefault="004F1E0E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Настоящата дейност има за цел разработването на методически насоки за анализ на данни, с оглед оценката на градските екосистемни услуги (EsS) в трансграничния регион България – Северна Македония. Насоките трябва да осигурят научнообоснован, стандартизиран и приложим аналитичен подход, който позволява интерпретация, сравнителен анализ и извеждане на изводи за състоянието и потенциала на градските екосистеми.</w:t>
      </w:r>
    </w:p>
    <w:p w14:paraId="3FB234CE" w14:textId="77777777" w:rsidR="004F1E0E" w:rsidRPr="004F1E0E" w:rsidRDefault="004F1E0E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Разработените методологически насоки трябва да отразяват най-добрите международни практики и да бъдат адаптирани към специфичните характеристики на градските екосистеми в Петрич и Струмица, като осигуряват съпоставимост и интегрираност на резултатите.</w:t>
      </w:r>
    </w:p>
    <w:p w14:paraId="32A08D3E" w14:textId="77777777" w:rsidR="004F1E0E" w:rsidRPr="004F1E0E" w:rsidRDefault="004F1E0E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Изисквания към изпълнението на дейността:</w:t>
      </w:r>
    </w:p>
    <w:p w14:paraId="54574529" w14:textId="77777777" w:rsidR="004F1E0E" w:rsidRPr="004F1E0E" w:rsidRDefault="004F1E0E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Изпълнителят следва да разработи детайлна методология за анализ на данните, която да включва подходи, техники и инструменти, приложими за оценка на различните типове екосистемни услуги. Анализът трябва да бъде структуриран така, че да бъде надежден, репродуктивен и приложим от различни заинтересовани страни (местни власти, научни институции, екологични организации и др.).</w:t>
      </w:r>
    </w:p>
    <w:p w14:paraId="3305143B" w14:textId="77777777" w:rsidR="004F1E0E" w:rsidRPr="004F1E0E" w:rsidRDefault="004F1E0E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Задачи към дейността:</w:t>
      </w:r>
    </w:p>
    <w:p w14:paraId="64E5E935" w14:textId="77777777" w:rsidR="004F1E0E" w:rsidRPr="004F1E0E" w:rsidRDefault="004F1E0E" w:rsidP="007674B5">
      <w:pPr>
        <w:spacing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1. Дефиниране на аналитичните методи за обработка на данните</w:t>
      </w:r>
    </w:p>
    <w:p w14:paraId="633084EC" w14:textId="77777777" w:rsidR="004F1E0E" w:rsidRPr="004F1E0E" w:rsidRDefault="004F1E0E" w:rsidP="007674B5">
      <w:pPr>
        <w:numPr>
          <w:ilvl w:val="0"/>
          <w:numId w:val="15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Определяне на основните статистически методи за обработка на данни, включително:</w:t>
      </w:r>
    </w:p>
    <w:p w14:paraId="57683670" w14:textId="77777777" w:rsidR="004F1E0E" w:rsidRPr="004F1E0E" w:rsidRDefault="004F1E0E" w:rsidP="007674B5">
      <w:pPr>
        <w:numPr>
          <w:ilvl w:val="1"/>
          <w:numId w:val="15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Описание на данните (средни стойности, медиани, стандартни отклонения, разпределения).</w:t>
      </w:r>
    </w:p>
    <w:p w14:paraId="53FD4552" w14:textId="77777777" w:rsidR="004F1E0E" w:rsidRPr="004F1E0E" w:rsidRDefault="004F1E0E" w:rsidP="007674B5">
      <w:pPr>
        <w:numPr>
          <w:ilvl w:val="1"/>
          <w:numId w:val="15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Корелационен анализ за определяне на връзките между различните показатели на екосистемните услуги.</w:t>
      </w:r>
    </w:p>
    <w:p w14:paraId="36594470" w14:textId="77777777" w:rsidR="004F1E0E" w:rsidRPr="004F1E0E" w:rsidRDefault="004F1E0E" w:rsidP="007674B5">
      <w:pPr>
        <w:numPr>
          <w:ilvl w:val="1"/>
          <w:numId w:val="15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>Трендови анализи за оценка на динамиката на екосистемните услуги във времето.</w:t>
      </w:r>
    </w:p>
    <w:p w14:paraId="19A35AE0" w14:textId="77777777" w:rsidR="004F1E0E" w:rsidRPr="004F1E0E" w:rsidRDefault="004F1E0E" w:rsidP="007674B5">
      <w:pPr>
        <w:numPr>
          <w:ilvl w:val="1"/>
          <w:numId w:val="15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Факторен анализ за идентифициране на основните фактори, влияещи върху EsS.</w:t>
      </w:r>
    </w:p>
    <w:p w14:paraId="2AE20337" w14:textId="77777777" w:rsidR="004F1E0E" w:rsidRPr="004F1E0E" w:rsidRDefault="004F1E0E" w:rsidP="007674B5">
      <w:pPr>
        <w:numPr>
          <w:ilvl w:val="1"/>
          <w:numId w:val="15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Пространствен анализ с ГИС технологии за картографиране и пространствено моделиране на данните.</w:t>
      </w:r>
    </w:p>
    <w:p w14:paraId="3BA22587" w14:textId="77777777" w:rsidR="004F1E0E" w:rsidRPr="004F1E0E" w:rsidRDefault="004F1E0E" w:rsidP="007674B5">
      <w:pPr>
        <w:numPr>
          <w:ilvl w:val="0"/>
          <w:numId w:val="15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Разработване на конкретни аналитични процедури за всеки тип екосистемна услуга, като се вземат предвид специфичните показатели, идентифицирани в Дейност 2.</w:t>
      </w:r>
    </w:p>
    <w:p w14:paraId="56868FFF" w14:textId="77777777" w:rsidR="004F1E0E" w:rsidRPr="004F1E0E" w:rsidRDefault="004F1E0E" w:rsidP="007674B5">
      <w:pPr>
        <w:numPr>
          <w:ilvl w:val="0"/>
          <w:numId w:val="15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Определяне на етапите за обработка на данните, включително почистване на данните, идентифициране на липсващи стойности и стандартни методи за попълването им.</w:t>
      </w:r>
    </w:p>
    <w:p w14:paraId="034F0F52" w14:textId="77777777" w:rsidR="004F1E0E" w:rsidRPr="004F1E0E" w:rsidRDefault="004F1E0E" w:rsidP="007674B5">
      <w:pPr>
        <w:spacing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2. Разработване на методи за пространствен анализ и картографиране</w:t>
      </w:r>
    </w:p>
    <w:p w14:paraId="0B0B5C90" w14:textId="77777777" w:rsidR="004F1E0E" w:rsidRPr="004F1E0E" w:rsidRDefault="004F1E0E" w:rsidP="007674B5">
      <w:pPr>
        <w:numPr>
          <w:ilvl w:val="0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Определяне на ГИС-базирани методи за анализ на пространственото разпределение на екосистемните услуги:</w:t>
      </w:r>
    </w:p>
    <w:p w14:paraId="4DEAB464" w14:textId="77777777" w:rsidR="004F1E0E" w:rsidRPr="004F1E0E" w:rsidRDefault="004F1E0E" w:rsidP="007674B5">
      <w:pPr>
        <w:numPr>
          <w:ilvl w:val="1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Геостатистически анализи за оценка на териториалната диференциация.</w:t>
      </w:r>
    </w:p>
    <w:p w14:paraId="40173404" w14:textId="77777777" w:rsidR="004F1E0E" w:rsidRPr="004F1E0E" w:rsidRDefault="004F1E0E" w:rsidP="007674B5">
      <w:pPr>
        <w:numPr>
          <w:ilvl w:val="1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Използване на дистанционни данни (сателитни изображения, дронови наблюдения) за оценка на покритието и качеството на зелената инфраструктура.</w:t>
      </w:r>
    </w:p>
    <w:p w14:paraId="553343E2" w14:textId="77777777" w:rsidR="004F1E0E" w:rsidRPr="004F1E0E" w:rsidRDefault="004F1E0E" w:rsidP="007674B5">
      <w:pPr>
        <w:numPr>
          <w:ilvl w:val="1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Пространствени модели за прогнозиране на тенденции и сценарии за бъдещо развитие на екосистемите.</w:t>
      </w:r>
    </w:p>
    <w:p w14:paraId="2AC02B6A" w14:textId="295810C2" w:rsidR="004F1E0E" w:rsidRPr="004F1E0E" w:rsidRDefault="004F1E0E" w:rsidP="007674B5">
      <w:pPr>
        <w:numPr>
          <w:ilvl w:val="0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Дефиниране на методология за визуализация на резултатите, включваща карти, инфографики и диаграми</w:t>
      </w:r>
    </w:p>
    <w:p w14:paraId="294E5415" w14:textId="77777777" w:rsidR="004F1E0E" w:rsidRPr="004F1E0E" w:rsidRDefault="004F1E0E" w:rsidP="007674B5">
      <w:pPr>
        <w:spacing w:after="12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3. Разработване на методи за интегрирана оценка на екосистемните услуги</w:t>
      </w:r>
    </w:p>
    <w:p w14:paraId="3CFC638D" w14:textId="77777777" w:rsidR="004F1E0E" w:rsidRPr="004F1E0E" w:rsidRDefault="004F1E0E" w:rsidP="007674B5">
      <w:pPr>
        <w:numPr>
          <w:ilvl w:val="0"/>
          <w:numId w:val="17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Определяне на многокритериални методи за оценка на EsS, като например:</w:t>
      </w:r>
    </w:p>
    <w:p w14:paraId="3983DB5C" w14:textId="77777777" w:rsidR="004F1E0E" w:rsidRPr="004F1E0E" w:rsidRDefault="004F1E0E" w:rsidP="007674B5">
      <w:pPr>
        <w:numPr>
          <w:ilvl w:val="1"/>
          <w:numId w:val="17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Матрици за оценка, базирани на експертни мнения и емпирични данни.</w:t>
      </w:r>
    </w:p>
    <w:p w14:paraId="128328AC" w14:textId="77777777" w:rsidR="004F1E0E" w:rsidRPr="004F1E0E" w:rsidRDefault="004F1E0E" w:rsidP="007674B5">
      <w:pPr>
        <w:numPr>
          <w:ilvl w:val="1"/>
          <w:numId w:val="17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Индекси и агрегирани показатели, които позволяват интегрирана оценка на състоянието на градските екосистеми.</w:t>
      </w:r>
    </w:p>
    <w:p w14:paraId="4CBC1691" w14:textId="77777777" w:rsidR="004F1E0E" w:rsidRPr="004F1E0E" w:rsidRDefault="004F1E0E" w:rsidP="007674B5">
      <w:pPr>
        <w:numPr>
          <w:ilvl w:val="1"/>
          <w:numId w:val="17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Икономически подходи за оценка на стойността на екосистемните услуги (например методи за контингентно оценяване и разходен анализ).</w:t>
      </w:r>
    </w:p>
    <w:p w14:paraId="66BA8879" w14:textId="77777777" w:rsidR="004F1E0E" w:rsidRPr="004F1E0E" w:rsidRDefault="004F1E0E" w:rsidP="007674B5">
      <w:pPr>
        <w:numPr>
          <w:ilvl w:val="0"/>
          <w:numId w:val="17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Определяне на методи за оценка на екосистемните рискове, като загуба на биоразнообразие, замърсяване, климатични промени и други заплахи за градските екосистеми.</w:t>
      </w:r>
    </w:p>
    <w:p w14:paraId="523DE5CE" w14:textId="77777777" w:rsidR="004F1E0E" w:rsidRPr="004F1E0E" w:rsidRDefault="004F1E0E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Очаквани резултати от изпълнението:</w:t>
      </w:r>
    </w:p>
    <w:p w14:paraId="2BA5F1C5" w14:textId="77777777" w:rsidR="004F1E0E" w:rsidRPr="004F1E0E" w:rsidRDefault="004F1E0E" w:rsidP="007674B5">
      <w:pPr>
        <w:numPr>
          <w:ilvl w:val="0"/>
          <w:numId w:val="2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>Разработени детайлни методологически насоки за анализ на данни, които осигуряват еднородност и научна достоверност на извършените анализи.</w:t>
      </w:r>
    </w:p>
    <w:p w14:paraId="1838D58E" w14:textId="77777777" w:rsidR="004F1E0E" w:rsidRPr="004F1E0E" w:rsidRDefault="004F1E0E" w:rsidP="007674B5">
      <w:pPr>
        <w:numPr>
          <w:ilvl w:val="0"/>
          <w:numId w:val="2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Определени аналитични подходи, които позволяват оценка на градските екосистемни услуги в различни пространствени и времеви мащаби.</w:t>
      </w:r>
    </w:p>
    <w:p w14:paraId="57656AE5" w14:textId="77777777" w:rsidR="004F1E0E" w:rsidRPr="004F1E0E" w:rsidRDefault="004F1E0E" w:rsidP="007674B5">
      <w:pPr>
        <w:numPr>
          <w:ilvl w:val="0"/>
          <w:numId w:val="2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Разработени и валидирани интегрирани методи за оценка на EsS, приложими в трансграничния контекст.</w:t>
      </w:r>
    </w:p>
    <w:p w14:paraId="694A900F" w14:textId="77777777" w:rsidR="004F1E0E" w:rsidRPr="004F1E0E" w:rsidRDefault="004F1E0E" w:rsidP="007674B5">
      <w:pPr>
        <w:spacing w:after="12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Допълнителни изисквания към изпълнителя:</w:t>
      </w:r>
    </w:p>
    <w:p w14:paraId="6C857AD2" w14:textId="77777777" w:rsidR="004F1E0E" w:rsidRPr="004F1E0E" w:rsidRDefault="004F1E0E" w:rsidP="007674B5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Изпълнителят следва да гарантира високо научно ниво и практическа приложимост на разработените насоки.</w:t>
      </w:r>
    </w:p>
    <w:p w14:paraId="72C9697D" w14:textId="59DA21B9" w:rsidR="004F1E0E" w:rsidRPr="004F1E0E" w:rsidRDefault="004F1E0E" w:rsidP="007674B5">
      <w:pPr>
        <w:numPr>
          <w:ilvl w:val="0"/>
          <w:numId w:val="21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Всички анализи трябва да бъдат съобразени със съществуващите международни стандарти и научни изследвания в областта на оценката на екосистемните услуги.</w:t>
      </w:r>
    </w:p>
    <w:p w14:paraId="33E0E675" w14:textId="77777777" w:rsidR="004F1E0E" w:rsidRPr="004F1E0E" w:rsidRDefault="004F1E0E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4F1E0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Тази дейност е от съществено значение за осигуряване на обективен и надежден анализ на градските екосистемни услуги, като резултатите ще подпомогнат разработването на политики за устойчиво управление на градските екосистеми в трансграничния регион.</w:t>
      </w:r>
    </w:p>
    <w:p w14:paraId="540FFD58" w14:textId="77777777" w:rsidR="007D46EA" w:rsidRPr="007D46EA" w:rsidRDefault="007D46EA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Дейност 4: Разработване на насоки за картографиране и визуализация</w:t>
      </w:r>
    </w:p>
    <w:p w14:paraId="0476F908" w14:textId="77777777" w:rsidR="007D46EA" w:rsidRPr="007D46EA" w:rsidRDefault="007D46EA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Цел на дейността:</w:t>
      </w:r>
    </w:p>
    <w:p w14:paraId="633C5623" w14:textId="37BB9B62" w:rsidR="007D46EA" w:rsidRPr="007D46EA" w:rsidRDefault="007D46EA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Дейността има за цел да създаде стандартизирани насоки за картографиране и визуализация на резултатите от анализа на градските екосистемни услуги (EsS) в трансграничния регион България – Северна Македония. Тези насоки ще осигурят единна методология за пространствено представяне на данните, което ще улесни разбирането, интерпретацията и използването на информацията от различни заинтересовани страни – местни власти, научни институции, неправителствени организации и граждани.</w:t>
      </w:r>
    </w:p>
    <w:p w14:paraId="1CC15954" w14:textId="77777777" w:rsidR="007D46EA" w:rsidRPr="007D46EA" w:rsidRDefault="007D46EA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Разработените насоки трябва да включват конкретни методи, технологии и добри практики за визуализиране на екосистемните услуги, като се гарантира яснота, достоверност и приложимост на представената информация.</w:t>
      </w:r>
    </w:p>
    <w:p w14:paraId="408CB279" w14:textId="77777777" w:rsidR="007D46EA" w:rsidRPr="007D46EA" w:rsidRDefault="007D46EA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Изисквания към изпълнението на дейността:</w:t>
      </w:r>
    </w:p>
    <w:p w14:paraId="70A7A651" w14:textId="77777777" w:rsidR="007D46EA" w:rsidRPr="007D46EA" w:rsidRDefault="007D46EA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Изпълнителят следва да разработи детайлна методология за картографиране и визуализация, която да включва подходи, техники и инструменти за географско представяне на екосистемните услуги. Визуализацията трябва да бъде достъпна, интуитивна и адаптирана към различните целеви групи, като се използват съвременни технологии за геопространствен анализ и уеб-базирани платформи за интерактивно картографиране.</w:t>
      </w:r>
    </w:p>
    <w:p w14:paraId="6AA473E0" w14:textId="77777777" w:rsidR="007D46EA" w:rsidRPr="007D46EA" w:rsidRDefault="007D46EA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Задачи към дейността:</w:t>
      </w:r>
    </w:p>
    <w:p w14:paraId="41FE3B5B" w14:textId="77777777" w:rsidR="007D46EA" w:rsidRPr="007D46EA" w:rsidRDefault="007D46EA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1. Определяне на картографските параметри и стандарти</w:t>
      </w:r>
    </w:p>
    <w:p w14:paraId="5137E9E0" w14:textId="3344CCD4" w:rsidR="007D46EA" w:rsidRPr="007D46EA" w:rsidRDefault="007D46EA" w:rsidP="007674B5">
      <w:pPr>
        <w:numPr>
          <w:ilvl w:val="0"/>
          <w:numId w:val="22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lastRenderedPageBreak/>
        <w:t xml:space="preserve">Избор на географска проекция и координатна система, съобразена с трансграничния характер на анализа </w:t>
      </w:r>
    </w:p>
    <w:p w14:paraId="69140BB7" w14:textId="77777777" w:rsidR="007D46EA" w:rsidRPr="007D46EA" w:rsidRDefault="007D46EA" w:rsidP="007674B5">
      <w:pPr>
        <w:numPr>
          <w:ilvl w:val="0"/>
          <w:numId w:val="22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Определяне на стандартизирани картографски слоеве, които да бъдат използвани за визуализация на EsS.</w:t>
      </w:r>
    </w:p>
    <w:p w14:paraId="4112676A" w14:textId="77777777" w:rsidR="007D46EA" w:rsidRPr="007D46EA" w:rsidRDefault="007D46EA" w:rsidP="007674B5">
      <w:pPr>
        <w:numPr>
          <w:ilvl w:val="0"/>
          <w:numId w:val="22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Разработване на легенди, цветови схеми и символика, които да осигурят еднородност и лесно разбиране на картите.</w:t>
      </w:r>
    </w:p>
    <w:p w14:paraId="7A16119D" w14:textId="77777777" w:rsidR="007D46EA" w:rsidRPr="007D46EA" w:rsidRDefault="007D46EA" w:rsidP="007674B5">
      <w:pPr>
        <w:numPr>
          <w:ilvl w:val="0"/>
          <w:numId w:val="22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Дефиниране на мащабни нива и резолюция за различните видове карти (локални, регионални, трансгранични).</w:t>
      </w:r>
    </w:p>
    <w:p w14:paraId="3BAEB882" w14:textId="77777777" w:rsidR="007D46EA" w:rsidRPr="007D46EA" w:rsidRDefault="007D46EA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2. Разработване на ГИС-базирани методи за картографиране</w:t>
      </w:r>
    </w:p>
    <w:p w14:paraId="38E93276" w14:textId="77777777" w:rsidR="007D46EA" w:rsidRPr="007D46EA" w:rsidRDefault="007D46EA" w:rsidP="007674B5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Определяне на методи за пространствен анализ и геостатистика, приложими за оценка на екосистемните услуги:</w:t>
      </w:r>
    </w:p>
    <w:p w14:paraId="6541AD89" w14:textId="77777777" w:rsidR="007D46EA" w:rsidRPr="007D46EA" w:rsidRDefault="007D46EA" w:rsidP="007674B5">
      <w:pPr>
        <w:numPr>
          <w:ilvl w:val="1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Картографиране на екосистемните услуги чрез ГИС анализ.</w:t>
      </w:r>
    </w:p>
    <w:p w14:paraId="23AB445A" w14:textId="7172ACC4" w:rsidR="007D46EA" w:rsidRPr="007D46EA" w:rsidRDefault="007D46EA" w:rsidP="007674B5">
      <w:pPr>
        <w:numPr>
          <w:ilvl w:val="1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Използване на пространствени интерполации за оценка на пространственото разпределение на EsS.</w:t>
      </w:r>
    </w:p>
    <w:p w14:paraId="7C69F387" w14:textId="77777777" w:rsidR="007D46EA" w:rsidRPr="007D46EA" w:rsidRDefault="007D46EA" w:rsidP="007674B5">
      <w:pPr>
        <w:numPr>
          <w:ilvl w:val="1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Анализ на пространствени зависимости между различни екологични и антропогенни фактори.</w:t>
      </w:r>
    </w:p>
    <w:p w14:paraId="58E88C45" w14:textId="321C551B" w:rsidR="007D46EA" w:rsidRPr="007D46EA" w:rsidRDefault="007D46EA" w:rsidP="007674B5">
      <w:pPr>
        <w:numPr>
          <w:ilvl w:val="1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Интегриране на данни от дистанционни изследвания (сателитни изображения, дронови наблюдения).</w:t>
      </w:r>
    </w:p>
    <w:p w14:paraId="6C5A0CAE" w14:textId="1F386C23" w:rsidR="007D46EA" w:rsidRPr="007D46EA" w:rsidRDefault="007D46EA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3</w:t>
      </w:r>
      <w:r w:rsidRPr="007D46EA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. Определяне на техники за визуализация на резултатите</w:t>
      </w:r>
    </w:p>
    <w:p w14:paraId="55A55257" w14:textId="77777777" w:rsidR="007D46EA" w:rsidRPr="007D46EA" w:rsidRDefault="007D46EA" w:rsidP="007674B5">
      <w:pPr>
        <w:numPr>
          <w:ilvl w:val="0"/>
          <w:numId w:val="25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Разработване на графични методи за представяне на пространствени данни:</w:t>
      </w:r>
    </w:p>
    <w:p w14:paraId="209DDFCB" w14:textId="64A0F2CF" w:rsidR="007D46EA" w:rsidRPr="007D46EA" w:rsidRDefault="007D46EA" w:rsidP="007674B5">
      <w:pPr>
        <w:numPr>
          <w:ilvl w:val="0"/>
          <w:numId w:val="25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Разработване на таблици и графики, съпътстващи картографската информация, за да подпомогнат интерпретацията на резултатите.</w:t>
      </w:r>
    </w:p>
    <w:p w14:paraId="639F4357" w14:textId="77777777" w:rsidR="007D46EA" w:rsidRPr="007D46EA" w:rsidRDefault="007D46EA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Очаквани резултати от изпълнението:</w:t>
      </w:r>
    </w:p>
    <w:p w14:paraId="6FE73D37" w14:textId="77777777" w:rsidR="007D46EA" w:rsidRPr="007D46EA" w:rsidRDefault="007D46EA" w:rsidP="007674B5">
      <w:pPr>
        <w:numPr>
          <w:ilvl w:val="0"/>
          <w:numId w:val="27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Разработени методологически насоки за картографиране и визуализация на екосистемните услуги в трансграничния регион.</w:t>
      </w:r>
    </w:p>
    <w:p w14:paraId="2DC2E86A" w14:textId="77777777" w:rsidR="007D46EA" w:rsidRPr="007D46EA" w:rsidRDefault="007D46EA" w:rsidP="007674B5">
      <w:pPr>
        <w:numPr>
          <w:ilvl w:val="0"/>
          <w:numId w:val="27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7D46EA">
        <w:rPr>
          <w:rFonts w:ascii="Times New Roman" w:eastAsia="Calibri" w:hAnsi="Times New Roman" w:cs="Times New Roman"/>
          <w:kern w:val="0"/>
          <w:lang w:val="bg-BG"/>
          <w14:ligatures w14:val="none"/>
        </w:rPr>
        <w:t>Осигурена съпоставимост и еднородност на визуализираните данни, чрез прилагане на стандартизирани картографски параметри.</w:t>
      </w:r>
    </w:p>
    <w:p w14:paraId="30B8848C" w14:textId="15C5A97F" w:rsidR="00A541A5" w:rsidRPr="00A541A5" w:rsidRDefault="00A541A5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Дейност </w:t>
      </w:r>
      <w:r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5</w:t>
      </w:r>
      <w:r w:rsidRPr="00A541A5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: Съставяне на „Съвместна Методология за оценка на градските екосистемни услуги“</w:t>
      </w:r>
    </w:p>
    <w:p w14:paraId="31C1B3A5" w14:textId="77777777" w:rsidR="00A541A5" w:rsidRPr="00A541A5" w:rsidRDefault="00A541A5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Цел на дейността:</w:t>
      </w:r>
    </w:p>
    <w:p w14:paraId="6F15910A" w14:textId="77777777" w:rsidR="00A541A5" w:rsidRPr="00A541A5" w:rsidRDefault="00A541A5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Целта на тази дейност е да обедини всички предходни разработки в единна, всеобхватна и приложима Съвместна Методология за оценка на градските екосистемни услуги (EsS). Методологията ще служи като ръководство за местните власти, градоустройствените специалисти, екологичните организации и други заинтересовани страни при оценката, </w:t>
      </w: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lastRenderedPageBreak/>
        <w:t>мониторинга и подобряването на екосистемните услуги в градските райони на трансграничния регион България – Северна Македония.</w:t>
      </w:r>
    </w:p>
    <w:p w14:paraId="46BA2A15" w14:textId="6486F61E" w:rsidR="00CB1466" w:rsidRDefault="00A541A5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Разработената методология трябва да осигури стандартизирани насоки за оценка на екосистемните услуги, да включва практически инструменти за прилагане, както и препоръки за интегриране на резултатите в процесите на градско планиране, устойчиво развитие и опазване на околната среда.</w:t>
      </w:r>
    </w:p>
    <w:p w14:paraId="10A9FB55" w14:textId="77777777" w:rsidR="00A541A5" w:rsidRPr="00A541A5" w:rsidRDefault="00A541A5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Изисквания към изпълнението на дейността:</w:t>
      </w:r>
    </w:p>
    <w:p w14:paraId="641B9709" w14:textId="77777777" w:rsidR="00A541A5" w:rsidRPr="00A541A5" w:rsidRDefault="00A541A5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Избраният изпълнител следва да разработи и структурира методологията, като гарантира нейната научна обоснованост, практическа приложимост и съвместимост с европейските и международните стандарти за екологична оценка.</w:t>
      </w:r>
    </w:p>
    <w:p w14:paraId="117E2617" w14:textId="77777777" w:rsidR="00A541A5" w:rsidRPr="00A541A5" w:rsidRDefault="00A541A5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Методологията трябва да бъде ясно структурирана и лесна за прилагане, като включва:</w:t>
      </w:r>
    </w:p>
    <w:p w14:paraId="2F87F076" w14:textId="77777777" w:rsidR="00A541A5" w:rsidRPr="00A541A5" w:rsidRDefault="00A541A5" w:rsidP="007674B5">
      <w:pPr>
        <w:numPr>
          <w:ilvl w:val="0"/>
          <w:numId w:val="36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Въведение – определение и обхват на екосистемните услуги, тяхната роля в градската среда.</w:t>
      </w:r>
    </w:p>
    <w:p w14:paraId="0D20A9E0" w14:textId="77777777" w:rsidR="00A541A5" w:rsidRPr="00A541A5" w:rsidRDefault="00A541A5" w:rsidP="007674B5">
      <w:pPr>
        <w:numPr>
          <w:ilvl w:val="0"/>
          <w:numId w:val="36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Описание на използваните подходи и методи – източници на данни, методи за събиране и анализ, включително ГИС технологии.</w:t>
      </w:r>
    </w:p>
    <w:p w14:paraId="3921A308" w14:textId="77777777" w:rsidR="00A541A5" w:rsidRPr="00A541A5" w:rsidRDefault="00A541A5" w:rsidP="007674B5">
      <w:pPr>
        <w:numPr>
          <w:ilvl w:val="0"/>
          <w:numId w:val="36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Протоколи за оценка – стандартизирани стъпки за идентифициране и картографиране на ключови </w:t>
      </w:r>
      <w:proofErr w:type="spellStart"/>
      <w:r w:rsidRPr="00A541A5">
        <w:rPr>
          <w:rFonts w:ascii="Times New Roman" w:eastAsia="Calibri" w:hAnsi="Times New Roman" w:cs="Times New Roman"/>
          <w:kern w:val="0"/>
          <w14:ligatures w14:val="none"/>
        </w:rPr>
        <w:t>EsS</w:t>
      </w:r>
      <w:proofErr w:type="spellEnd"/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.</w:t>
      </w:r>
    </w:p>
    <w:p w14:paraId="5A784DA2" w14:textId="77777777" w:rsidR="00A541A5" w:rsidRPr="00A541A5" w:rsidRDefault="00A541A5" w:rsidP="007674B5">
      <w:pPr>
        <w:numPr>
          <w:ilvl w:val="0"/>
          <w:numId w:val="36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Критерии за анализ и оценка – индикатори, скали за измерване, статистически методи за обработка на данни.</w:t>
      </w:r>
    </w:p>
    <w:p w14:paraId="544736FD" w14:textId="77777777" w:rsidR="00A541A5" w:rsidRPr="00A541A5" w:rsidRDefault="00A541A5" w:rsidP="007674B5">
      <w:pPr>
        <w:numPr>
          <w:ilvl w:val="0"/>
          <w:numId w:val="36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Насоки за картографиране и визуализация – методи за пространствен анализ и представяне на данни чрез ГИС.</w:t>
      </w:r>
    </w:p>
    <w:p w14:paraId="4B155A68" w14:textId="77777777" w:rsidR="00A541A5" w:rsidRPr="00A541A5" w:rsidRDefault="00A541A5" w:rsidP="007674B5">
      <w:pPr>
        <w:numPr>
          <w:ilvl w:val="0"/>
          <w:numId w:val="36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Препоръки за интегриране на резултатите – как да бъдат използвани оценките при вземане на решения за градско планиране, зелена инфраструктура и политики за устойчиво развитие.</w:t>
      </w:r>
    </w:p>
    <w:p w14:paraId="0D3A2119" w14:textId="77777777" w:rsidR="00A541A5" w:rsidRPr="00A541A5" w:rsidRDefault="00A541A5" w:rsidP="007674B5">
      <w:pPr>
        <w:numPr>
          <w:ilvl w:val="0"/>
          <w:numId w:val="36"/>
        </w:num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Приложения – примери за добри практики, списък с използваните индикатори, инструменти и източници на данни.</w:t>
      </w:r>
    </w:p>
    <w:p w14:paraId="4FFF707A" w14:textId="77777777" w:rsidR="00A541A5" w:rsidRPr="00A541A5" w:rsidRDefault="00A541A5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Очаквани резултати:</w:t>
      </w:r>
    </w:p>
    <w:p w14:paraId="7894483C" w14:textId="77777777" w:rsidR="00A541A5" w:rsidRPr="00A541A5" w:rsidRDefault="00A541A5" w:rsidP="007674B5">
      <w:pPr>
        <w:pStyle w:val="a9"/>
        <w:numPr>
          <w:ilvl w:val="0"/>
          <w:numId w:val="37"/>
        </w:numPr>
        <w:spacing w:after="120" w:line="240" w:lineRule="auto"/>
        <w:contextualSpacing w:val="0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Разработена и предадена цялостна Съвместна Методология за оценка на градските екосистемни услуги във формат, удобен за печат и дигитално разпространение.</w:t>
      </w:r>
    </w:p>
    <w:p w14:paraId="6BDA63BA" w14:textId="77777777" w:rsidR="00A541A5" w:rsidRPr="00A541A5" w:rsidRDefault="00A541A5" w:rsidP="007674B5">
      <w:pPr>
        <w:pStyle w:val="a9"/>
        <w:numPr>
          <w:ilvl w:val="0"/>
          <w:numId w:val="37"/>
        </w:numPr>
        <w:spacing w:after="120" w:line="240" w:lineRule="auto"/>
        <w:contextualSpacing w:val="0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Методологията включва конкретни инструменти и ръководства, които могат да се прилагат от различни институции и експерти.</w:t>
      </w:r>
    </w:p>
    <w:p w14:paraId="65F1B29A" w14:textId="77777777" w:rsidR="00A541A5" w:rsidRPr="00A541A5" w:rsidRDefault="00A541A5" w:rsidP="007674B5">
      <w:pPr>
        <w:pStyle w:val="a9"/>
        <w:numPr>
          <w:ilvl w:val="0"/>
          <w:numId w:val="37"/>
        </w:numPr>
        <w:spacing w:after="120" w:line="240" w:lineRule="auto"/>
        <w:contextualSpacing w:val="0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Създадени стандартизирани протоколи за събиране и анализ на данни, които да осигурят съпоставимост на резултатите между различните градове.</w:t>
      </w:r>
    </w:p>
    <w:p w14:paraId="0B2404DD" w14:textId="77777777" w:rsidR="00A541A5" w:rsidRPr="00A541A5" w:rsidRDefault="00A541A5" w:rsidP="007674B5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lastRenderedPageBreak/>
        <w:t xml:space="preserve">Тази методология ще бъде основен инструмент за развитие на Мрежата от градски екосистемни услуги – </w:t>
      </w:r>
      <w:r w:rsidRPr="00A541A5">
        <w:rPr>
          <w:rFonts w:ascii="Times New Roman" w:eastAsia="Calibri" w:hAnsi="Times New Roman" w:cs="Times New Roman"/>
          <w:kern w:val="0"/>
          <w14:ligatures w14:val="none"/>
        </w:rPr>
        <w:t>G</w:t>
      </w: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-</w:t>
      </w:r>
      <w:r w:rsidRPr="00A541A5">
        <w:rPr>
          <w:rFonts w:ascii="Times New Roman" w:eastAsia="Calibri" w:hAnsi="Times New Roman" w:cs="Times New Roman"/>
          <w:kern w:val="0"/>
          <w14:ligatures w14:val="none"/>
        </w:rPr>
        <w:t>PACT</w:t>
      </w:r>
      <w:r w:rsidRPr="00A541A5">
        <w:rPr>
          <w:rFonts w:ascii="Times New Roman" w:eastAsia="Calibri" w:hAnsi="Times New Roman" w:cs="Times New Roman"/>
          <w:kern w:val="0"/>
          <w:lang w:val="bg-BG"/>
          <w14:ligatures w14:val="none"/>
        </w:rPr>
        <w:t>, като осигури единен и устойчив подход за оценка и управление на екосистемните услуги в трансграничния регион.</w:t>
      </w:r>
    </w:p>
    <w:p w14:paraId="0C24423C" w14:textId="0D353B03" w:rsidR="00BB318F" w:rsidRPr="00AB7A2E" w:rsidRDefault="002177A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За изпълнение на дейностите по настоящата обособена позиция, Изпълнителят следва да осигури минимум следните експерти </w:t>
      </w:r>
    </w:p>
    <w:p w14:paraId="00BC3C16" w14:textId="1F7CAC5C" w:rsidR="002177A7" w:rsidRPr="00AB7A2E" w:rsidRDefault="002177A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1. Експерт „</w:t>
      </w:r>
      <w:r w:rsidR="00A541A5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Еколог</w:t>
      </w: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“</w:t>
      </w:r>
      <w:r w:rsidR="00BC3199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 или еквивалент</w:t>
      </w:r>
    </w:p>
    <w:p w14:paraId="2F79898C" w14:textId="77777777" w:rsidR="00A541A5" w:rsidRPr="00AB7A2E" w:rsidRDefault="002177A7" w:rsidP="007674B5">
      <w:pPr>
        <w:spacing w:after="120" w:line="240" w:lineRule="auto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Основни задачи и отговорности:</w:t>
      </w:r>
    </w:p>
    <w:p w14:paraId="2228CC0A" w14:textId="75C5B05A" w:rsidR="00A541A5" w:rsidRPr="00AB7A2E" w:rsidRDefault="00A541A5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- Идентифициране на основни елементи и компоненти на EsS.</w:t>
      </w:r>
    </w:p>
    <w:p w14:paraId="2FF9B0A3" w14:textId="5523E0A1" w:rsidR="00A541A5" w:rsidRPr="00AB7A2E" w:rsidRDefault="00A541A5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- Анализ на влиянието на антропогенни дейности върху екосистемните услуги и предложени мерки за тяхното възстановяване и управление.</w:t>
      </w:r>
    </w:p>
    <w:p w14:paraId="18FA309D" w14:textId="6A6B7778" w:rsidR="00A541A5" w:rsidRPr="00AB7A2E" w:rsidRDefault="00A541A5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- Разработване на насоки за интеграция на резултати от оценката на екосистемни услуги в процесите на устойчиво развитие и градско планиране.</w:t>
      </w:r>
    </w:p>
    <w:p w14:paraId="5127B0E1" w14:textId="3B603380" w:rsidR="00A541A5" w:rsidRPr="00AB7A2E" w:rsidRDefault="00A541A5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- Предоставяне на екологични препоръки относно използването на методологията за оценка на EsS в съответствие с екологичните стандарти и цели на проекта.</w:t>
      </w:r>
    </w:p>
    <w:p w14:paraId="219FF818" w14:textId="098640A7" w:rsidR="002177A7" w:rsidRPr="00AB7A2E" w:rsidRDefault="002177A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2. Експерт „</w:t>
      </w:r>
      <w:r w:rsidR="00A541A5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Статистически и екологични анализи</w:t>
      </w: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“</w:t>
      </w:r>
      <w:r w:rsidR="00BC3199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 или еквивалент</w:t>
      </w:r>
    </w:p>
    <w:p w14:paraId="06F4526C" w14:textId="77777777" w:rsidR="002177A7" w:rsidRPr="00AB7A2E" w:rsidRDefault="002177A7" w:rsidP="007674B5">
      <w:pPr>
        <w:spacing w:after="120" w:line="240" w:lineRule="auto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Основни задачи и отговорности:</w:t>
      </w:r>
    </w:p>
    <w:p w14:paraId="564D6FEC" w14:textId="5C476CB6" w:rsidR="00A541A5" w:rsidRPr="00AB7A2E" w:rsidRDefault="00A541A5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- Разработване на методология за анализ на данни относно екосистемните услуги (EsS), включително подходящи статистически модели и аналитични инструменти.</w:t>
      </w:r>
    </w:p>
    <w:p w14:paraId="73CB85B3" w14:textId="30FAAE7F" w:rsidR="00A541A5" w:rsidRPr="00AB7A2E" w:rsidRDefault="00A541A5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- Установяване на ключови индикатори за оценка на EsS и тяхната връзка с социално-икономическите фактори в целевите територии.</w:t>
      </w:r>
    </w:p>
    <w:p w14:paraId="56FB600C" w14:textId="77777777" w:rsidR="00A541A5" w:rsidRPr="00AB7A2E" w:rsidRDefault="00A541A5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- Съставяне на пълни доклади с количествени и качествени анализи, които да бъдат включени в финалната методология и препоръки за градско планиране.</w:t>
      </w:r>
      <w:r w:rsidRPr="00AB7A2E">
        <w:rPr>
          <w:rFonts w:ascii="Times New Roman" w:eastAsia="Times New Roman" w:hAnsi="Times New Roman" w:cs="Times New Roman"/>
          <w:b/>
          <w:kern w:val="0"/>
          <w:lang w:val="bg-BG"/>
          <w14:ligatures w14:val="none"/>
        </w:rPr>
        <w:t xml:space="preserve"> </w:t>
      </w:r>
    </w:p>
    <w:p w14:paraId="32A2C283" w14:textId="01EF5E25" w:rsidR="002177A7" w:rsidRPr="00AB7A2E" w:rsidRDefault="002177A7" w:rsidP="007674B5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3. Експерт „</w:t>
      </w:r>
      <w:r w:rsidR="00A541A5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Градско планиране и зелена инфраструктура</w:t>
      </w: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“</w:t>
      </w:r>
      <w:r w:rsidR="00BC3199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 или еквивалент</w:t>
      </w:r>
    </w:p>
    <w:p w14:paraId="4C59675D" w14:textId="77777777" w:rsidR="002177A7" w:rsidRPr="00AB7A2E" w:rsidRDefault="002177A7" w:rsidP="007674B5">
      <w:pPr>
        <w:spacing w:after="120" w:line="240" w:lineRule="auto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Основни задачи и отговорности:</w:t>
      </w:r>
    </w:p>
    <w:p w14:paraId="27B78840" w14:textId="0EF8E742" w:rsidR="00A541A5" w:rsidRPr="00AB7A2E" w:rsidRDefault="00AB7A2E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="00A541A5" w:rsidRPr="00AB7A2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Предоставяне на експертни съвети по въпросите на градското планиране и интеграцията на екосистемните услуги в процесите на устойчивото развитие на градските райони.</w:t>
      </w:r>
    </w:p>
    <w:p w14:paraId="6BA7AE3C" w14:textId="2C3950D8" w:rsidR="00A541A5" w:rsidRPr="00A541A5" w:rsidRDefault="00AB7A2E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="00A541A5" w:rsidRPr="00AB7A2E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Разработване на препоръки за интеграция</w:t>
      </w:r>
      <w:r w:rsidR="00A541A5" w:rsidRPr="00A541A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на екосистемните услуги в градското планиране, с фокус върху намаляване на замърсяването, създаване на зелена инфраструктура и подобряване на жизнената среда.</w:t>
      </w:r>
    </w:p>
    <w:p w14:paraId="57970FDF" w14:textId="789F07F4" w:rsidR="00A541A5" w:rsidRDefault="00AB7A2E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="00A541A5" w:rsidRPr="00A541A5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Съветване относно използването на зелената инфраструктура като инструмент за устойчиво управление на екосистемни услуги, включително зелени покриви, градини и паркове.</w:t>
      </w:r>
    </w:p>
    <w:p w14:paraId="080125F6" w14:textId="77777777" w:rsidR="00007096" w:rsidRPr="00A541A5" w:rsidRDefault="00007096" w:rsidP="007674B5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079C28DE" w14:textId="03BF2EDB" w:rsidR="00FF2B9E" w:rsidRPr="007E62AF" w:rsidRDefault="00724E20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 w:rsidRPr="00975C4B">
        <w:rPr>
          <w:rFonts w:ascii="Times New Roman" w:hAnsi="Times New Roman" w:cs="Times New Roman"/>
          <w:b/>
          <w:bCs/>
          <w:lang w:val="bg-BG"/>
        </w:rPr>
        <w:t>II</w:t>
      </w:r>
      <w:r>
        <w:rPr>
          <w:rFonts w:ascii="Times New Roman" w:hAnsi="Times New Roman" w:cs="Times New Roman"/>
          <w:b/>
          <w:bCs/>
        </w:rPr>
        <w:t>I</w:t>
      </w:r>
      <w:r w:rsidR="00FF2B9E" w:rsidRPr="007E62AF">
        <w:rPr>
          <w:rFonts w:ascii="Times New Roman" w:hAnsi="Times New Roman" w:cs="Times New Roman"/>
          <w:b/>
          <w:bCs/>
          <w:lang w:val="bg-BG"/>
        </w:rPr>
        <w:t xml:space="preserve">.  СРОК ЗА ИЗПЪЛНЕНИЕ </w:t>
      </w:r>
    </w:p>
    <w:p w14:paraId="2D27495C" w14:textId="0F13C8DE" w:rsidR="007E62AF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7E62AF">
        <w:rPr>
          <w:rFonts w:ascii="Times New Roman" w:hAnsi="Times New Roman" w:cs="Times New Roman"/>
          <w:lang w:val="bg-BG"/>
        </w:rPr>
        <w:lastRenderedPageBreak/>
        <w:t xml:space="preserve">Услугата в рамките на настоящата </w:t>
      </w:r>
      <w:r w:rsidR="007E62AF" w:rsidRPr="007E62AF">
        <w:rPr>
          <w:rFonts w:ascii="Times New Roman" w:hAnsi="Times New Roman" w:cs="Times New Roman"/>
          <w:lang w:val="bg-BG"/>
        </w:rPr>
        <w:t>обособена позиция</w:t>
      </w:r>
      <w:r w:rsidRPr="007E62AF">
        <w:rPr>
          <w:rFonts w:ascii="Times New Roman" w:hAnsi="Times New Roman" w:cs="Times New Roman"/>
          <w:lang w:val="bg-BG"/>
        </w:rPr>
        <w:t xml:space="preserve"> трябва да бъде предоставена в срок от </w:t>
      </w:r>
      <w:r w:rsidR="004A3105">
        <w:rPr>
          <w:rFonts w:ascii="Times New Roman" w:hAnsi="Times New Roman" w:cs="Times New Roman"/>
          <w:lang w:val="bg-BG"/>
        </w:rPr>
        <w:t>12</w:t>
      </w:r>
      <w:r w:rsidRPr="007E62AF">
        <w:rPr>
          <w:rFonts w:ascii="Times New Roman" w:hAnsi="Times New Roman" w:cs="Times New Roman"/>
          <w:lang w:val="bg-BG"/>
        </w:rPr>
        <w:t>0 (</w:t>
      </w:r>
      <w:r w:rsidR="004A3105">
        <w:rPr>
          <w:rFonts w:ascii="Times New Roman" w:hAnsi="Times New Roman" w:cs="Times New Roman"/>
          <w:lang w:val="bg-BG"/>
        </w:rPr>
        <w:t>сто и двадесет</w:t>
      </w:r>
      <w:r w:rsidRPr="007E62AF">
        <w:rPr>
          <w:rFonts w:ascii="Times New Roman" w:hAnsi="Times New Roman" w:cs="Times New Roman"/>
          <w:lang w:val="bg-BG"/>
        </w:rPr>
        <w:t>) календарни дни от датата на сключване на договора за услуга с избрания изпълнител</w:t>
      </w:r>
      <w:r w:rsidR="007E62AF" w:rsidRPr="007E62AF">
        <w:rPr>
          <w:rFonts w:ascii="Times New Roman" w:hAnsi="Times New Roman" w:cs="Times New Roman"/>
          <w:lang w:val="bg-BG"/>
        </w:rPr>
        <w:t xml:space="preserve"> и получаване на </w:t>
      </w:r>
      <w:proofErr w:type="spellStart"/>
      <w:r w:rsidR="007E62AF" w:rsidRPr="007E62AF">
        <w:rPr>
          <w:rFonts w:ascii="Times New Roman" w:hAnsi="Times New Roman" w:cs="Times New Roman"/>
          <w:lang w:val="bg-BG"/>
        </w:rPr>
        <w:t>Възлагателно</w:t>
      </w:r>
      <w:proofErr w:type="spellEnd"/>
      <w:r w:rsidR="007E62AF" w:rsidRPr="007E62AF">
        <w:rPr>
          <w:rFonts w:ascii="Times New Roman" w:hAnsi="Times New Roman" w:cs="Times New Roman"/>
          <w:lang w:val="bg-BG"/>
        </w:rPr>
        <w:t xml:space="preserve"> писмо </w:t>
      </w:r>
      <w:r w:rsidR="004A3105">
        <w:rPr>
          <w:rFonts w:ascii="Times New Roman" w:hAnsi="Times New Roman" w:cs="Times New Roman"/>
          <w:lang w:val="bg-BG"/>
        </w:rPr>
        <w:t>от Възложителя.</w:t>
      </w:r>
    </w:p>
    <w:p w14:paraId="050DAC7E" w14:textId="77777777" w:rsidR="00007096" w:rsidRPr="007E62AF" w:rsidRDefault="00007096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</w:p>
    <w:p w14:paraId="0799DF16" w14:textId="58754779" w:rsidR="00FF2B9E" w:rsidRPr="007E62AF" w:rsidRDefault="00724E20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>
        <w:rPr>
          <w:rFonts w:ascii="Times New Roman" w:hAnsi="Times New Roman" w:cs="Times New Roman"/>
          <w:b/>
          <w:bCs/>
        </w:rPr>
        <w:t>I</w:t>
      </w:r>
      <w:r w:rsidR="00FF2B9E" w:rsidRPr="007E62AF">
        <w:rPr>
          <w:rFonts w:ascii="Times New Roman" w:hAnsi="Times New Roman" w:cs="Times New Roman"/>
          <w:b/>
          <w:bCs/>
          <w:lang w:val="bg-BG"/>
        </w:rPr>
        <w:t>V. АДМИНИСТРАТИВНИ ИЗИСКВАНИЯ КЪМ ИЗПЪЛНИТЕЛЯ</w:t>
      </w:r>
    </w:p>
    <w:p w14:paraId="35100624" w14:textId="77777777" w:rsidR="00FF2B9E" w:rsidRPr="007E62AF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7E62AF">
        <w:rPr>
          <w:rFonts w:ascii="Times New Roman" w:hAnsi="Times New Roman" w:cs="Times New Roman"/>
          <w:lang w:val="bg-BG"/>
        </w:rPr>
        <w:t>Изпълнителят  е длъжен:</w:t>
      </w:r>
    </w:p>
    <w:p w14:paraId="42C860EE" w14:textId="77777777" w:rsidR="00FF2B9E" w:rsidRPr="0063679C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 xml:space="preserve">1. Да започне изпълнението по Договора след подписването на договора от двете страни. </w:t>
      </w:r>
    </w:p>
    <w:p w14:paraId="1C3B59BD" w14:textId="77777777" w:rsidR="00FF2B9E" w:rsidRPr="0063679C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 xml:space="preserve">2. Да предаде на  Възложителя резултата от изпълнената дейност. </w:t>
      </w:r>
    </w:p>
    <w:p w14:paraId="2BEE61E2" w14:textId="77777777" w:rsidR="00FF2B9E" w:rsidRPr="0063679C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3. Да информира Възложителя и посочени от него представители за всички потенциални проблеми, които възникват и биха могли да възникнат в хода на изпълнение на дейностите, като предложи адекватни решения за тях.</w:t>
      </w:r>
    </w:p>
    <w:p w14:paraId="732DD3BF" w14:textId="77777777" w:rsidR="00FF2B9E" w:rsidRPr="0063679C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4. При приключване на договора да предостави на Възложителя цялата информация и документи и/или получени материали, събирани и подготвени от него при и по повод изпълнението на настоящия Договор.</w:t>
      </w:r>
    </w:p>
    <w:p w14:paraId="40212C84" w14:textId="77777777" w:rsidR="00FF2B9E" w:rsidRPr="0063679C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5. Да не използва по никакъв начин, включително за свои нужди или като разгласява пред трети лица, каквато и да било информация за Възложителя, негови служители или контрагенти, станала му известна при или по повод изпълнението на този договор.</w:t>
      </w:r>
    </w:p>
    <w:p w14:paraId="53B58D9B" w14:textId="77777777" w:rsidR="00FF2B9E" w:rsidRPr="0063679C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6. Да изпълнява и други дейности, изрично не упоменати, но следващи от договора за изпълнение и българското законодателство.</w:t>
      </w:r>
    </w:p>
    <w:p w14:paraId="77066259" w14:textId="76297971" w:rsidR="00FF2B9E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7. Да оказва съдействие и предоставяне на информация и документация при посещение на обекта от страна на Възложителя, органи на ЕК, одитиращи институции и др. контролни органи.</w:t>
      </w:r>
    </w:p>
    <w:p w14:paraId="3024CE86" w14:textId="77777777" w:rsidR="00007096" w:rsidRPr="0063679C" w:rsidRDefault="00007096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</w:p>
    <w:p w14:paraId="4AF7F7E1" w14:textId="5E7D6C6F" w:rsidR="00FF2B9E" w:rsidRPr="0063679C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 w:rsidRPr="0063679C">
        <w:rPr>
          <w:rFonts w:ascii="Times New Roman" w:hAnsi="Times New Roman" w:cs="Times New Roman"/>
          <w:b/>
          <w:bCs/>
          <w:lang w:val="bg-BG"/>
        </w:rPr>
        <w:t>V</w:t>
      </w:r>
      <w:r w:rsidR="00724E20" w:rsidRPr="00724E20">
        <w:rPr>
          <w:rFonts w:ascii="Times New Roman" w:hAnsi="Times New Roman" w:cs="Times New Roman"/>
          <w:b/>
          <w:bCs/>
          <w:lang w:val="bg-BG"/>
        </w:rPr>
        <w:t>.</w:t>
      </w:r>
      <w:r w:rsidRPr="0063679C">
        <w:rPr>
          <w:rFonts w:ascii="Times New Roman" w:hAnsi="Times New Roman" w:cs="Times New Roman"/>
          <w:b/>
          <w:bCs/>
          <w:lang w:val="bg-BG"/>
        </w:rPr>
        <w:t xml:space="preserve"> ИЗИСКВАНИЯ КЪМ ТЕХНИЧЕСКОТО ПРЕДЛОЖЕНИЕ НА УЧАСТНИЦИТЕ</w:t>
      </w:r>
    </w:p>
    <w:p w14:paraId="25ED3CD8" w14:textId="77777777" w:rsidR="00FF2B9E" w:rsidRPr="0063679C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При изготвянето на техническото предложение участниците следва да се съобразят с изискванията на Възложителя.</w:t>
      </w:r>
    </w:p>
    <w:p w14:paraId="1943F699" w14:textId="77777777" w:rsidR="00FF2B9E" w:rsidRPr="0063679C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При изготвяне на „Техническото предложение“ участниците следва да представят своето Предложение относно организацията на работата на персонала, в съответствие с техническите спецификации и изискванията на настоящата документация. Участникът описва в свободен текст предложението си.</w:t>
      </w:r>
    </w:p>
    <w:p w14:paraId="5F581409" w14:textId="77777777" w:rsidR="00FF2B9E" w:rsidRPr="00FF2B9E" w:rsidRDefault="00FF2B9E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Частта от техническото предложение - „Предложение относно организацията на работата на персонала“ не подлежи на оценяване, но участници, които не са представили изискуемата от Възложителя част следва да бъдат предложени за отстраняване в случаите, в които липсва предложение относно организацията на работата на персонала.</w:t>
      </w:r>
    </w:p>
    <w:p w14:paraId="63F5F93A" w14:textId="77777777" w:rsidR="002177A7" w:rsidRPr="00AF2086" w:rsidRDefault="002177A7" w:rsidP="007674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</w:p>
    <w:sectPr w:rsidR="002177A7" w:rsidRPr="00AF2086" w:rsidSect="00A7124E">
      <w:headerReference w:type="default" r:id="rId8"/>
      <w:footerReference w:type="default" r:id="rId9"/>
      <w:pgSz w:w="12240" w:h="15840"/>
      <w:pgMar w:top="1440" w:right="1440" w:bottom="1440" w:left="1440" w:header="720" w:footer="5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36D29" w14:textId="77777777" w:rsidR="00EC54E8" w:rsidRDefault="00EC54E8" w:rsidP="00A7124E">
      <w:pPr>
        <w:spacing w:after="0" w:line="240" w:lineRule="auto"/>
      </w:pPr>
      <w:r>
        <w:separator/>
      </w:r>
    </w:p>
  </w:endnote>
  <w:endnote w:type="continuationSeparator" w:id="0">
    <w:p w14:paraId="7F306B21" w14:textId="77777777" w:rsidR="00EC54E8" w:rsidRDefault="00EC54E8" w:rsidP="00A71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39421" w14:textId="77777777" w:rsidR="00A7124E" w:rsidRPr="00A7124E" w:rsidRDefault="00A7124E" w:rsidP="00A7124E">
    <w:pPr>
      <w:pStyle w:val="af0"/>
      <w:jc w:val="center"/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</w:pPr>
    <w:r w:rsidRPr="00A7124E"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  <w:t>Проект № BGMK0300051 „Трансграничен пакт за зелен пулс“ с акроним: G-Pact</w:t>
    </w:r>
  </w:p>
  <w:p w14:paraId="6F1698E4" w14:textId="77777777" w:rsidR="00A7124E" w:rsidRPr="00A7124E" w:rsidRDefault="00A7124E" w:rsidP="00A7124E">
    <w:pPr>
      <w:pStyle w:val="af0"/>
      <w:jc w:val="center"/>
      <w:rPr>
        <w:rFonts w:ascii="Times New Roman" w:hAnsi="Times New Roman" w:cs="Times New Roman"/>
        <w:i/>
        <w:iCs/>
        <w:sz w:val="32"/>
        <w:szCs w:val="32"/>
        <w:lang w:val="bg-BG"/>
      </w:rPr>
    </w:pPr>
    <w:r w:rsidRPr="00A7124E"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  <w:t>Съдържанието на този материал не представлява непременно официалната позиция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1CD1F" w14:textId="77777777" w:rsidR="00EC54E8" w:rsidRDefault="00EC54E8" w:rsidP="00A7124E">
      <w:pPr>
        <w:spacing w:after="0" w:line="240" w:lineRule="auto"/>
      </w:pPr>
      <w:r>
        <w:separator/>
      </w:r>
    </w:p>
  </w:footnote>
  <w:footnote w:type="continuationSeparator" w:id="0">
    <w:p w14:paraId="6DF433A4" w14:textId="77777777" w:rsidR="00EC54E8" w:rsidRDefault="00EC54E8" w:rsidP="00A71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7B8F3" w14:textId="0562BD7F" w:rsidR="00A7124E" w:rsidRDefault="00A7124E">
    <w:pPr>
      <w:pStyle w:val="ae"/>
    </w:pPr>
    <w:r>
      <w:rPr>
        <w:noProof/>
      </w:rPr>
      <w:drawing>
        <wp:inline distT="0" distB="0" distL="0" distR="0" wp14:anchorId="2344EBCF" wp14:editId="2D7A5A8F">
          <wp:extent cx="4701540" cy="1192128"/>
          <wp:effectExtent l="0" t="0" r="3810" b="8255"/>
          <wp:docPr id="631408383" name="Picture 1" descr="A blue flag with yellow stars and a blue circle with a yellow sta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3796808" name="Picture 1" descr="A blue flag with yellow stars and a blue circle with a yellow sta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9607" cy="1194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78C0"/>
    <w:multiLevelType w:val="multilevel"/>
    <w:tmpl w:val="52E4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A95AC7"/>
    <w:multiLevelType w:val="multilevel"/>
    <w:tmpl w:val="95C4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AD5C69"/>
    <w:multiLevelType w:val="multilevel"/>
    <w:tmpl w:val="E47C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C53E52"/>
    <w:multiLevelType w:val="multilevel"/>
    <w:tmpl w:val="0C22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1354BC"/>
    <w:multiLevelType w:val="multilevel"/>
    <w:tmpl w:val="E6E4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226A13"/>
    <w:multiLevelType w:val="multilevel"/>
    <w:tmpl w:val="38CC6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283FA4"/>
    <w:multiLevelType w:val="multilevel"/>
    <w:tmpl w:val="4D029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112141"/>
    <w:multiLevelType w:val="multilevel"/>
    <w:tmpl w:val="D9A63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8D09B2"/>
    <w:multiLevelType w:val="multilevel"/>
    <w:tmpl w:val="5C768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A01D0"/>
    <w:multiLevelType w:val="hybridMultilevel"/>
    <w:tmpl w:val="5994D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6F5B77"/>
    <w:multiLevelType w:val="multilevel"/>
    <w:tmpl w:val="66E0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0F55B5"/>
    <w:multiLevelType w:val="multilevel"/>
    <w:tmpl w:val="B448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124B26"/>
    <w:multiLevelType w:val="multilevel"/>
    <w:tmpl w:val="5564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A64649"/>
    <w:multiLevelType w:val="multilevel"/>
    <w:tmpl w:val="4E92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EC6197"/>
    <w:multiLevelType w:val="multilevel"/>
    <w:tmpl w:val="4BFE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230530"/>
    <w:multiLevelType w:val="multilevel"/>
    <w:tmpl w:val="61D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F56646"/>
    <w:multiLevelType w:val="hybridMultilevel"/>
    <w:tmpl w:val="CBA4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872DF5"/>
    <w:multiLevelType w:val="multilevel"/>
    <w:tmpl w:val="A3E41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246869"/>
    <w:multiLevelType w:val="multilevel"/>
    <w:tmpl w:val="A28E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6046E9"/>
    <w:multiLevelType w:val="multilevel"/>
    <w:tmpl w:val="5BD68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A54352"/>
    <w:multiLevelType w:val="multilevel"/>
    <w:tmpl w:val="D28E3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4A5756"/>
    <w:multiLevelType w:val="multilevel"/>
    <w:tmpl w:val="6B7A8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FA78ED"/>
    <w:multiLevelType w:val="hybridMultilevel"/>
    <w:tmpl w:val="B8065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7B2833"/>
    <w:multiLevelType w:val="multilevel"/>
    <w:tmpl w:val="D3BE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8345E7"/>
    <w:multiLevelType w:val="multilevel"/>
    <w:tmpl w:val="D6062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59127D"/>
    <w:multiLevelType w:val="multilevel"/>
    <w:tmpl w:val="D25A4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546B1F"/>
    <w:multiLevelType w:val="multilevel"/>
    <w:tmpl w:val="8D30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151DBA"/>
    <w:multiLevelType w:val="multilevel"/>
    <w:tmpl w:val="1A96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1E2EF2"/>
    <w:multiLevelType w:val="multilevel"/>
    <w:tmpl w:val="4D44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6747C4"/>
    <w:multiLevelType w:val="hybridMultilevel"/>
    <w:tmpl w:val="FEC6BA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8E439A0"/>
    <w:multiLevelType w:val="multilevel"/>
    <w:tmpl w:val="F44E1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C54337"/>
    <w:multiLevelType w:val="multilevel"/>
    <w:tmpl w:val="B088F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0703DE"/>
    <w:multiLevelType w:val="multilevel"/>
    <w:tmpl w:val="3C60A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983F86"/>
    <w:multiLevelType w:val="hybridMultilevel"/>
    <w:tmpl w:val="520AC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31001E"/>
    <w:multiLevelType w:val="hybridMultilevel"/>
    <w:tmpl w:val="7BFC17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362CA3"/>
    <w:multiLevelType w:val="multilevel"/>
    <w:tmpl w:val="6308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B03A5C"/>
    <w:multiLevelType w:val="multilevel"/>
    <w:tmpl w:val="5670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9"/>
  </w:num>
  <w:num w:numId="3">
    <w:abstractNumId w:val="22"/>
  </w:num>
  <w:num w:numId="4">
    <w:abstractNumId w:val="33"/>
  </w:num>
  <w:num w:numId="5">
    <w:abstractNumId w:val="29"/>
  </w:num>
  <w:num w:numId="6">
    <w:abstractNumId w:val="0"/>
  </w:num>
  <w:num w:numId="7">
    <w:abstractNumId w:val="13"/>
  </w:num>
  <w:num w:numId="8">
    <w:abstractNumId w:val="14"/>
  </w:num>
  <w:num w:numId="9">
    <w:abstractNumId w:val="12"/>
  </w:num>
  <w:num w:numId="10">
    <w:abstractNumId w:val="8"/>
  </w:num>
  <w:num w:numId="11">
    <w:abstractNumId w:val="19"/>
  </w:num>
  <w:num w:numId="12">
    <w:abstractNumId w:val="32"/>
  </w:num>
  <w:num w:numId="13">
    <w:abstractNumId w:val="3"/>
  </w:num>
  <w:num w:numId="14">
    <w:abstractNumId w:val="10"/>
  </w:num>
  <w:num w:numId="15">
    <w:abstractNumId w:val="23"/>
  </w:num>
  <w:num w:numId="16">
    <w:abstractNumId w:val="17"/>
  </w:num>
  <w:num w:numId="17">
    <w:abstractNumId w:val="25"/>
  </w:num>
  <w:num w:numId="18">
    <w:abstractNumId w:val="27"/>
  </w:num>
  <w:num w:numId="19">
    <w:abstractNumId w:val="18"/>
  </w:num>
  <w:num w:numId="20">
    <w:abstractNumId w:val="15"/>
  </w:num>
  <w:num w:numId="21">
    <w:abstractNumId w:val="35"/>
  </w:num>
  <w:num w:numId="22">
    <w:abstractNumId w:val="1"/>
  </w:num>
  <w:num w:numId="23">
    <w:abstractNumId w:val="21"/>
  </w:num>
  <w:num w:numId="24">
    <w:abstractNumId w:val="5"/>
  </w:num>
  <w:num w:numId="25">
    <w:abstractNumId w:val="2"/>
  </w:num>
  <w:num w:numId="26">
    <w:abstractNumId w:val="4"/>
  </w:num>
  <w:num w:numId="27">
    <w:abstractNumId w:val="36"/>
  </w:num>
  <w:num w:numId="28">
    <w:abstractNumId w:val="24"/>
  </w:num>
  <w:num w:numId="29">
    <w:abstractNumId w:val="28"/>
  </w:num>
  <w:num w:numId="30">
    <w:abstractNumId w:val="30"/>
  </w:num>
  <w:num w:numId="31">
    <w:abstractNumId w:val="31"/>
  </w:num>
  <w:num w:numId="32">
    <w:abstractNumId w:val="26"/>
  </w:num>
  <w:num w:numId="33">
    <w:abstractNumId w:val="20"/>
  </w:num>
  <w:num w:numId="34">
    <w:abstractNumId w:val="11"/>
  </w:num>
  <w:num w:numId="35">
    <w:abstractNumId w:val="7"/>
  </w:num>
  <w:num w:numId="36">
    <w:abstractNumId w:val="6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0D"/>
    <w:rsid w:val="00007096"/>
    <w:rsid w:val="00016771"/>
    <w:rsid w:val="000A481B"/>
    <w:rsid w:val="000C39CF"/>
    <w:rsid w:val="00111116"/>
    <w:rsid w:val="00175005"/>
    <w:rsid w:val="002177A7"/>
    <w:rsid w:val="00233AFC"/>
    <w:rsid w:val="00243E8E"/>
    <w:rsid w:val="00261906"/>
    <w:rsid w:val="002B4D72"/>
    <w:rsid w:val="00401C04"/>
    <w:rsid w:val="00423524"/>
    <w:rsid w:val="004445C4"/>
    <w:rsid w:val="00451ADD"/>
    <w:rsid w:val="004A3105"/>
    <w:rsid w:val="004B0ABE"/>
    <w:rsid w:val="004E2A1A"/>
    <w:rsid w:val="004E56A6"/>
    <w:rsid w:val="004F1E0E"/>
    <w:rsid w:val="00543AE4"/>
    <w:rsid w:val="005D3A63"/>
    <w:rsid w:val="005E3FCF"/>
    <w:rsid w:val="005F01E3"/>
    <w:rsid w:val="0063679C"/>
    <w:rsid w:val="00694A02"/>
    <w:rsid w:val="0070265B"/>
    <w:rsid w:val="00724E20"/>
    <w:rsid w:val="007674B5"/>
    <w:rsid w:val="007D46EA"/>
    <w:rsid w:val="007D6040"/>
    <w:rsid w:val="007E62AF"/>
    <w:rsid w:val="00841824"/>
    <w:rsid w:val="00841C9A"/>
    <w:rsid w:val="00914E45"/>
    <w:rsid w:val="00975C4B"/>
    <w:rsid w:val="00984B16"/>
    <w:rsid w:val="009914B0"/>
    <w:rsid w:val="009B1996"/>
    <w:rsid w:val="009E2D4B"/>
    <w:rsid w:val="009E3787"/>
    <w:rsid w:val="00A34D41"/>
    <w:rsid w:val="00A46E5D"/>
    <w:rsid w:val="00A541A5"/>
    <w:rsid w:val="00A62819"/>
    <w:rsid w:val="00A7124E"/>
    <w:rsid w:val="00A949F7"/>
    <w:rsid w:val="00AB1C2B"/>
    <w:rsid w:val="00AB7A2E"/>
    <w:rsid w:val="00AF2086"/>
    <w:rsid w:val="00B73F0D"/>
    <w:rsid w:val="00B86411"/>
    <w:rsid w:val="00BB318F"/>
    <w:rsid w:val="00BB5E1B"/>
    <w:rsid w:val="00BC3199"/>
    <w:rsid w:val="00BD5CAF"/>
    <w:rsid w:val="00C3778A"/>
    <w:rsid w:val="00C52E59"/>
    <w:rsid w:val="00CB1466"/>
    <w:rsid w:val="00D46A83"/>
    <w:rsid w:val="00D6295A"/>
    <w:rsid w:val="00D81378"/>
    <w:rsid w:val="00DD3F9A"/>
    <w:rsid w:val="00E32CEC"/>
    <w:rsid w:val="00E34A62"/>
    <w:rsid w:val="00EC54E8"/>
    <w:rsid w:val="00EC6B04"/>
    <w:rsid w:val="00F11C6C"/>
    <w:rsid w:val="00F903B7"/>
    <w:rsid w:val="00FC6080"/>
    <w:rsid w:val="00FF2B9E"/>
    <w:rsid w:val="00F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96840"/>
  <w15:chartTrackingRefBased/>
  <w15:docId w15:val="{DDBFC6EB-0669-40A9-9449-A83C5DA9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3F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3F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3F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3F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3F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3F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3F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3F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3F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B73F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B73F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B73F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B73F0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B73F0D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B73F0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B73F0D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B73F0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B73F0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3F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B73F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3F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B73F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3F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B73F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3F0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73F0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3F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B73F0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3F0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71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A7124E"/>
  </w:style>
  <w:style w:type="paragraph" w:styleId="af0">
    <w:name w:val="footer"/>
    <w:basedOn w:val="a"/>
    <w:link w:val="af1"/>
    <w:uiPriority w:val="99"/>
    <w:unhideWhenUsed/>
    <w:rsid w:val="00A71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A7124E"/>
  </w:style>
  <w:style w:type="character" w:styleId="af2">
    <w:name w:val="Hyperlink"/>
    <w:basedOn w:val="a0"/>
    <w:uiPriority w:val="99"/>
    <w:unhideWhenUsed/>
    <w:rsid w:val="00AF2086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AF20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420AA-6C57-4714-8CBA-DF1BFF87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4452</Words>
  <Characters>25379</Characters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2025-03-27T09:40:00Z</dcterms:created>
  <dcterms:modified xsi:type="dcterms:W3CDTF">2025-06-30T20:05:00Z</dcterms:modified>
</cp:coreProperties>
</file>