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1EA8" w14:textId="77777777" w:rsidR="00272223" w:rsidRPr="00097A75" w:rsidRDefault="00272223" w:rsidP="00272223">
      <w:pPr>
        <w:spacing w:after="0" w:line="276" w:lineRule="auto"/>
        <w:jc w:val="center"/>
        <w:rPr>
          <w:b/>
          <w:bCs/>
          <w:snapToGrid w:val="0"/>
          <w:sz w:val="36"/>
          <w:szCs w:val="36"/>
          <w:lang w:val="en-US"/>
        </w:rPr>
      </w:pPr>
      <w:bookmarkStart w:id="0" w:name="_Toc218246111"/>
      <w:bookmarkStart w:id="1" w:name="_Toc387997538"/>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541C7E3C" w14:textId="77777777" w:rsidR="006E10DC"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467DD2">
        <w:rPr>
          <w:rFonts w:eastAsia="Times New Roman"/>
          <w:b/>
          <w:bCs/>
          <w:szCs w:val="28"/>
        </w:rPr>
        <w:t xml:space="preserve">дбор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6E10DC">
        <w:rPr>
          <w:rFonts w:eastAsiaTheme="majorEastAsia"/>
          <w:b/>
          <w:bCs/>
        </w:rPr>
        <w:t>“</w:t>
      </w:r>
    </w:p>
    <w:p w14:paraId="2F43ED7E" w14:textId="084B843B" w:rsidR="00A4201E" w:rsidRDefault="00E86D60" w:rsidP="008251DE">
      <w:pPr>
        <w:tabs>
          <w:tab w:val="left" w:pos="-180"/>
        </w:tabs>
        <w:spacing w:after="0" w:line="360" w:lineRule="auto"/>
        <w:jc w:val="center"/>
        <w:rPr>
          <w:rFonts w:eastAsiaTheme="majorEastAsia"/>
          <w:b/>
          <w:bCs/>
        </w:rPr>
      </w:pPr>
      <w:r w:rsidRPr="006D244C">
        <w:rPr>
          <w:rFonts w:eastAsia="Times New Roman"/>
          <w:b/>
          <w:bCs/>
          <w:szCs w:val="28"/>
        </w:rPr>
        <w:t>по</w:t>
      </w:r>
      <w:r w:rsidR="004D66A0" w:rsidRPr="006D244C">
        <w:rPr>
          <w:b/>
        </w:rPr>
        <w:t xml:space="preserve"> </w:t>
      </w:r>
      <w:r w:rsidR="0076356D" w:rsidRPr="00B641E6">
        <w:rPr>
          <w:rFonts w:eastAsiaTheme="majorEastAsia"/>
          <w:b/>
          <w:bCs/>
        </w:rPr>
        <w:t>подмярка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467DD2">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r w:rsidR="00467DD2">
        <w:rPr>
          <w:rFonts w:eastAsiaTheme="majorEastAsia"/>
          <w:b/>
          <w:bCs/>
        </w:rPr>
        <w:t xml:space="preserve"> </w:t>
      </w:r>
      <w:r w:rsidR="0076356D" w:rsidRPr="00B641E6">
        <w:rPr>
          <w:rFonts w:eastAsiaTheme="majorEastAsia"/>
          <w:b/>
          <w:bCs/>
        </w:rPr>
        <w:t>от Програма за развитие на селските райони за периода 2014-2020 г.</w:t>
      </w: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bookmarkStart w:id="2" w:name="_GoBack"/>
            <w:bookmarkEnd w:id="2"/>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79854CF1"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77777777"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 храните и горите</w:t>
      </w:r>
      <w:r w:rsidR="00D83AF2" w:rsidRPr="006D244C">
        <w:t>,</w:t>
      </w:r>
    </w:p>
    <w:p w14:paraId="37D8C196" w14:textId="77777777"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r w:rsidR="002B5399" w:rsidRPr="002B5399">
        <w:t>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 от </w:t>
      </w:r>
      <w:r w:rsidR="0061362C" w:rsidRPr="009E6F75">
        <w:rPr>
          <w:lang w:eastAsia="fr-FR"/>
        </w:rPr>
        <w:lastRenderedPageBreak/>
        <w:t>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77777777"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 xml:space="preserve">договора/ите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310B9FC"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14:paraId="77652230" w14:textId="0D43DF8F"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552AAF">
        <w:t>дванадесет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14:paraId="7DDD94C7" w14:textId="272931A1"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14:paraId="38A1948C" w14:textId="7FE420C0"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и ПМС № 160 от 2016 г.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14:paraId="296C984E" w14:textId="5B6EAE43"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xml:space="preserve">, когато бенефициентът е подал искане за междинно плащане не по-късно от четири </w:t>
      </w:r>
      <w:r w:rsidRPr="0087275E">
        <w:rPr>
          <w:shd w:val="clear" w:color="auto" w:fill="FEFEFE"/>
        </w:rPr>
        <w:lastRenderedPageBreak/>
        <w:t>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всички изисквания по този дoгoвoр,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77777777"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3F0B14">
        <w:rPr>
          <w:snapToGrid w:val="0"/>
        </w:rPr>
        <w:t>1</w:t>
      </w:r>
      <w:r w:rsidR="007432E6">
        <w:rPr>
          <w:snapToGrid w:val="0"/>
        </w:rPr>
        <w:t>5</w:t>
      </w:r>
      <w:r w:rsidR="002A42F5" w:rsidRPr="003F0B14">
        <w:rPr>
          <w:snapToGrid w:val="0"/>
        </w:rPr>
        <w:t xml:space="preserve"> </w:t>
      </w:r>
      <w:r w:rsidR="00E33838" w:rsidRPr="003F0B14">
        <w:rPr>
          <w:snapToGrid w:val="0"/>
        </w:rPr>
        <w:t>септември</w:t>
      </w:r>
      <w:r w:rsidR="002A42F5" w:rsidRPr="003F0B14">
        <w:rPr>
          <w:snapToGrid w:val="0"/>
        </w:rPr>
        <w:t xml:space="preserve"> 2023 г.</w:t>
      </w:r>
    </w:p>
    <w:p w14:paraId="2CABFC3A" w14:textId="42599F3D"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0F77FD">
        <w:t>.</w:t>
      </w:r>
    </w:p>
    <w:p w14:paraId="5CF80779" w14:textId="1CA647F4"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77777777"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lastRenderedPageBreak/>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2293FF55"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77777777"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lastRenderedPageBreak/>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6098FD61"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мониторинговия период</w:t>
      </w:r>
      <w:r w:rsidR="00D45185" w:rsidRPr="00EA476C">
        <w:t>.</w:t>
      </w:r>
    </w:p>
    <w:p w14:paraId="765D48B8" w14:textId="77777777"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73BBA803" w14:textId="79A741B4" w:rsidR="00FD1ECA" w:rsidRPr="00EA476C" w:rsidRDefault="009033DD" w:rsidP="0076356D">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Pr="00EA476C">
        <w:rPr>
          <w:b/>
        </w:rPr>
        <w:t xml:space="preserve">, </w:t>
      </w:r>
      <w:r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2A59602E" w:rsidR="00E277C5" w:rsidRPr="003F0B14" w:rsidRDefault="009033DD" w:rsidP="0076356D">
      <w:pPr>
        <w:spacing w:after="0" w:line="276" w:lineRule="auto"/>
        <w:ind w:firstLine="709"/>
        <w:jc w:val="both"/>
      </w:pPr>
      <w:r w:rsidRPr="00EA476C">
        <w:rPr>
          <w:shd w:val="clear" w:color="auto" w:fill="FEFEFE"/>
        </w:rPr>
        <w:t>7</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Pr="003F0B14">
        <w:rPr>
          <w:b/>
        </w:rPr>
        <w:t>Фонда</w:t>
      </w:r>
      <w:r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77777777" w:rsidR="00FD1ECA" w:rsidRPr="003F0B14" w:rsidRDefault="009033DD" w:rsidP="0076356D">
      <w:pPr>
        <w:spacing w:after="0" w:line="276" w:lineRule="auto"/>
        <w:ind w:firstLine="709"/>
        <w:jc w:val="both"/>
      </w:pPr>
      <w:r>
        <w:t>8</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Pr>
          <w:b/>
        </w:rPr>
        <w:t xml:space="preserve"> и </w:t>
      </w:r>
      <w:r w:rsidRPr="003F0B14">
        <w:rPr>
          <w:b/>
          <w:shd w:val="clear" w:color="auto" w:fill="FEFEFE"/>
        </w:rPr>
        <w:t>Управляващия орган</w:t>
      </w:r>
      <w:r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77777777" w:rsidR="0075248E" w:rsidRPr="003F0B14" w:rsidRDefault="004F1BD9" w:rsidP="0076356D">
      <w:pPr>
        <w:spacing w:after="0" w:line="276" w:lineRule="auto"/>
        <w:ind w:firstLine="709"/>
        <w:jc w:val="both"/>
        <w:rPr>
          <w:shd w:val="clear" w:color="auto" w:fill="FEFEFE"/>
        </w:rPr>
      </w:pPr>
      <w:r>
        <w:rPr>
          <w:shd w:val="clear" w:color="auto" w:fill="FEFEFE"/>
        </w:rPr>
        <w:t>9</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xml:space="preserve">, </w:t>
      </w:r>
      <w:r w:rsidR="00AA467C" w:rsidRPr="003F0B14">
        <w:rPr>
          <w:shd w:val="clear" w:color="auto" w:fill="FEFEFE"/>
        </w:rPr>
        <w:lastRenderedPageBreak/>
        <w:t>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а) да са извършени срещу съответните разхо</w:t>
      </w:r>
      <w:r w:rsidR="00731365" w:rsidRPr="003F0B14">
        <w:t>д</w:t>
      </w:r>
      <w:r w:rsidRPr="003F0B14">
        <w:t>о</w:t>
      </w:r>
      <w:r w:rsidR="00E277C5" w:rsidRPr="003F0B14">
        <w:t>о</w:t>
      </w:r>
      <w:r w:rsidRPr="003F0B14">
        <w:t>правдателни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Евратом)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lastRenderedPageBreak/>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3EF5AAC6" w:rsidR="000C56AA" w:rsidRPr="003F0B14" w:rsidRDefault="00174771" w:rsidP="0076356D">
      <w:pPr>
        <w:spacing w:after="0" w:line="276" w:lineRule="auto"/>
        <w:ind w:firstLine="709"/>
        <w:jc w:val="both"/>
      </w:pPr>
      <w:r w:rsidRPr="003F0B14">
        <w:t>9</w:t>
      </w:r>
      <w:r w:rsidR="000C56AA" w:rsidRPr="003F0B14">
        <w:t xml:space="preserve">. </w:t>
      </w:r>
      <w:r w:rsidR="00515AF7" w:rsidRPr="00515AF7">
        <w:t>Подпомаганите активи не се използват единствено и само за дейностите по проекта, свързани с доставка на вода за напояване</w:t>
      </w:r>
      <w:r w:rsidR="00BD6F32" w:rsidRPr="003F0B14">
        <w:rPr>
          <w:shd w:val="clear" w:color="auto" w:fill="FEFEFE"/>
        </w:rPr>
        <w:t>.</w:t>
      </w:r>
    </w:p>
    <w:p w14:paraId="656E828F" w14:textId="4A66D31B" w:rsidR="00E30750" w:rsidRPr="00994156" w:rsidRDefault="00E30750" w:rsidP="0076356D">
      <w:pPr>
        <w:pStyle w:val="BodyText"/>
        <w:spacing w:line="276" w:lineRule="auto"/>
        <w:ind w:firstLine="709"/>
        <w:rPr>
          <w:rFonts w:cs="Times New Roman"/>
          <w:strike/>
          <w:szCs w:val="24"/>
          <w:lang w:val="bg-BG"/>
        </w:rPr>
      </w:pP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77777777"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lastRenderedPageBreak/>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270B788D"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515AF7">
        <w:rPr>
          <w:rFonts w:cs="Times New Roman"/>
          <w:b/>
          <w:szCs w:val="24"/>
          <w:lang w:val="bg-BG"/>
        </w:rPr>
        <w:t>(1)</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353D5117" w14:textId="71A547D7" w:rsidR="00700170" w:rsidRDefault="00515AF7" w:rsidP="0076356D">
      <w:pPr>
        <w:pStyle w:val="BodyText"/>
        <w:spacing w:line="276" w:lineRule="auto"/>
        <w:ind w:firstLine="709"/>
        <w:rPr>
          <w:rFonts w:cs="Times New Roman"/>
          <w:szCs w:val="24"/>
          <w:shd w:val="clear" w:color="auto" w:fill="FEFEFE"/>
          <w:lang w:val="bg-BG"/>
        </w:rPr>
      </w:pPr>
      <w:r w:rsidRPr="00515AF7">
        <w:rPr>
          <w:rFonts w:cs="Times New Roman"/>
          <w:szCs w:val="24"/>
          <w:shd w:val="clear" w:color="auto" w:fill="FEFEFE"/>
          <w:lang w:val="bg-BG"/>
        </w:rPr>
        <w:t>(2) Бенефициентът е длъжен да използва подпомаганите активи единствено и само за дейностите по проекта, свързани с доставка на вода за напояване на земеделски култури</w:t>
      </w:r>
      <w:r>
        <w:rPr>
          <w:rFonts w:cs="Times New Roman"/>
          <w:szCs w:val="24"/>
          <w:shd w:val="clear" w:color="auto" w:fill="FEFEFE"/>
          <w:lang w:val="bg-BG"/>
        </w:rPr>
        <w:t>.</w:t>
      </w:r>
      <w:r w:rsidR="00A60AA0"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045A1C4B"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54966602"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 xml:space="preserve">азване на компонентите </w:t>
      </w:r>
      <w:r w:rsidRPr="0063105E">
        <w:rPr>
          <w:i/>
          <w:lang w:val="bg-BG"/>
        </w:rPr>
        <w:lastRenderedPageBreak/>
        <w:t>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7082C6F4" w14:textId="513318EB" w:rsidR="00C32938" w:rsidRPr="00853B10" w:rsidRDefault="00C32938" w:rsidP="00C32938">
      <w:pPr>
        <w:pStyle w:val="BodyText"/>
        <w:spacing w:line="276" w:lineRule="auto"/>
        <w:ind w:firstLine="709"/>
        <w:rPr>
          <w:lang w:val="bg-BG"/>
        </w:rPr>
      </w:pPr>
      <w:r w:rsidRPr="00853B10">
        <w:rPr>
          <w:lang w:val="bg-BG"/>
        </w:rPr>
        <w:t>(5) Бенефициентът се задължава:</w:t>
      </w:r>
    </w:p>
    <w:p w14:paraId="2DEB1A72" w14:textId="3F2D6340" w:rsidR="00C32938" w:rsidRPr="00853B10" w:rsidRDefault="00C32938" w:rsidP="00C32938">
      <w:pPr>
        <w:pStyle w:val="BodyText"/>
        <w:spacing w:line="276" w:lineRule="auto"/>
        <w:ind w:firstLine="709"/>
        <w:rPr>
          <w:lang w:val="bg-BG"/>
        </w:rPr>
      </w:pPr>
      <w:r w:rsidRPr="00853B10">
        <w:rPr>
          <w:lang w:val="bg-BG"/>
        </w:rPr>
        <w:t>т.1 да води счетоводна отчетност, въз основа на която да се определи проектът генерира ли нетни приходи за периода от изпъл</w:t>
      </w:r>
      <w:r w:rsidR="005C3EBB" w:rsidRPr="00853B10">
        <w:rPr>
          <w:lang w:val="bg-BG"/>
        </w:rPr>
        <w:t>нението му до изтичане на мониторинговия период</w:t>
      </w:r>
      <w:r w:rsidRPr="00853B10">
        <w:rPr>
          <w:lang w:val="bg-BG"/>
        </w:rPr>
        <w:t>. Изискването не се прилага, когато размерът на допустимите за финансово подпомагане разходи за проекта не надхвърля левовата равностойност на 50 000 евро;</w:t>
      </w:r>
    </w:p>
    <w:p w14:paraId="2F624CE0" w14:textId="228F1214" w:rsidR="00C32938" w:rsidRPr="00853B10" w:rsidRDefault="005C3EBB" w:rsidP="00C32938">
      <w:pPr>
        <w:pStyle w:val="BodyText"/>
        <w:spacing w:line="276" w:lineRule="auto"/>
        <w:ind w:firstLine="709"/>
        <w:rPr>
          <w:lang w:val="bg-BG"/>
        </w:rPr>
      </w:pPr>
      <w:r w:rsidRPr="00853B10">
        <w:rPr>
          <w:lang w:val="bg-BG"/>
        </w:rPr>
        <w:t>т.2</w:t>
      </w:r>
      <w:r w:rsidR="00C32938" w:rsidRPr="00853B10">
        <w:rPr>
          <w:lang w:val="bg-BG"/>
        </w:rPr>
        <w:t xml:space="preserve">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50 000 евро,;</w:t>
      </w:r>
    </w:p>
    <w:p w14:paraId="5955B5BE" w14:textId="6C936F1D" w:rsidR="00C32938" w:rsidRPr="00853B10" w:rsidRDefault="005C3EBB" w:rsidP="00C32938">
      <w:pPr>
        <w:pStyle w:val="BodyText"/>
        <w:spacing w:line="276" w:lineRule="auto"/>
        <w:ind w:firstLine="709"/>
        <w:rPr>
          <w:lang w:val="bg-BG"/>
        </w:rPr>
      </w:pPr>
      <w:r w:rsidRPr="00853B10">
        <w:rPr>
          <w:lang w:val="bg-BG"/>
        </w:rPr>
        <w:t>т.3</w:t>
      </w:r>
      <w:r w:rsidR="00C32938" w:rsidRPr="00853B10">
        <w:rPr>
          <w:lang w:val="bg-BG"/>
        </w:rPr>
        <w:t xml:space="preserve"> при генерирани нетни приходи при изпълнението на проекта, за периода от подаване на заявка за плащане до изтичане на </w:t>
      </w:r>
      <w:r w:rsidRPr="00853B10">
        <w:rPr>
          <w:lang w:val="bg-BG"/>
        </w:rPr>
        <w:t>мониторинговия период</w:t>
      </w:r>
      <w:r w:rsidR="00C32938" w:rsidRPr="00853B10">
        <w:rPr>
          <w:lang w:val="bg-BG"/>
        </w:rPr>
        <w:t>, да извърши частично възстановяване на получената финансова помощ в същия размер;</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lastRenderedPageBreak/>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70E4BE4F"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 </w:t>
      </w:r>
      <w:r w:rsidR="00C37173" w:rsidRPr="003F0B14">
        <w:rPr>
          <w:shd w:val="clear" w:color="auto" w:fill="FEFEFE"/>
        </w:rPr>
        <w:t xml:space="preserve">което </w:t>
      </w:r>
      <w:r w:rsidR="00533A90" w:rsidRPr="003F0B14">
        <w:rPr>
          <w:shd w:val="clear" w:color="auto" w:fill="FEFEFE"/>
        </w:rPr>
        <w:t>е</w:t>
      </w:r>
      <w:r w:rsidR="009A25EF" w:rsidRPr="003F0B14">
        <w:rPr>
          <w:shd w:val="clear" w:color="auto" w:fill="FEFEFE"/>
        </w:rPr>
        <w:t xml:space="preserve"> извършено в н</w:t>
      </w:r>
      <w:r w:rsidR="00C37173" w:rsidRPr="003F0B14">
        <w:rPr>
          <w:shd w:val="clear" w:color="auto" w:fill="FEFEFE"/>
        </w:rPr>
        <w:t>арушение</w:t>
      </w:r>
      <w:r w:rsidR="00533A90" w:rsidRPr="003F0B14">
        <w:rPr>
          <w:shd w:val="clear" w:color="auto" w:fill="FEFEFE"/>
        </w:rPr>
        <w:t xml:space="preserve"> на </w:t>
      </w:r>
      <w:r w:rsidR="00C37173" w:rsidRPr="003F0B14">
        <w:rPr>
          <w:shd w:val="clear" w:color="auto" w:fill="FEFEFE"/>
        </w:rPr>
        <w:t xml:space="preserve">разпоредбите на </w:t>
      </w:r>
      <w:r w:rsidR="00655495" w:rsidRPr="003F0B14">
        <w:rPr>
          <w:shd w:val="clear" w:color="auto" w:fill="FEFEFE"/>
        </w:rPr>
        <w:t>Постановление</w:t>
      </w:r>
      <w:r w:rsidR="003F06DA" w:rsidRPr="003F0B14">
        <w:rPr>
          <w:shd w:val="clear" w:color="auto" w:fill="FEFEFE"/>
        </w:rPr>
        <w:t xml:space="preserve"> </w:t>
      </w:r>
      <w:r w:rsidR="009A25EF" w:rsidRPr="003F0B14">
        <w:rPr>
          <w:bCs/>
          <w:shd w:val="clear" w:color="auto" w:fill="FEFEFE"/>
        </w:rPr>
        <w:t xml:space="preserve">№ 160 на </w:t>
      </w:r>
      <w:r w:rsidR="00655495" w:rsidRPr="003F0B14">
        <w:rPr>
          <w:bCs/>
          <w:shd w:val="clear" w:color="auto" w:fill="FEFEFE"/>
        </w:rPr>
        <w:t xml:space="preserve">Министерския съвет </w:t>
      </w:r>
      <w:r w:rsidR="009A25EF" w:rsidRPr="003F0B14">
        <w:rPr>
          <w:bCs/>
          <w:shd w:val="clear" w:color="auto" w:fill="FEFEFE"/>
        </w:rPr>
        <w:t>от</w:t>
      </w:r>
      <w:r w:rsidR="00AA4E8C" w:rsidRPr="003F0B14">
        <w:rPr>
          <w:bCs/>
          <w:shd w:val="clear" w:color="auto" w:fill="FEFEFE"/>
        </w:rPr>
        <w:t xml:space="preserve"> </w:t>
      </w:r>
      <w:r w:rsidR="009A25EF" w:rsidRPr="003F0B14">
        <w:rPr>
          <w:bCs/>
          <w:shd w:val="clear" w:color="auto" w:fill="FEFEFE"/>
        </w:rPr>
        <w:t>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D64763">
        <w:rPr>
          <w:bCs/>
          <w:shd w:val="clear" w:color="auto" w:fill="FEFEFE"/>
        </w:rPr>
        <w:t xml:space="preserve"> или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77777777" w:rsidR="00E51A81" w:rsidRPr="003F0B14" w:rsidRDefault="004A0D14" w:rsidP="0076356D">
      <w:pPr>
        <w:spacing w:after="0" w:line="276" w:lineRule="auto"/>
        <w:ind w:firstLine="709"/>
        <w:jc w:val="both"/>
        <w:rPr>
          <w:shd w:val="clear" w:color="auto" w:fill="FEFEFE"/>
        </w:rPr>
      </w:pPr>
      <w:r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14:paraId="6A2ACC72" w14:textId="77777777"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77777777"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14:paraId="0F530687" w14:textId="677436BA"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77777777"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14:paraId="2AD9CA92" w14:textId="4F1B3E3C"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lastRenderedPageBreak/>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но удължаването не може да изтича след 15.09.2023г.</w:t>
      </w:r>
    </w:p>
    <w:p w14:paraId="003CFADD" w14:textId="75EC6500"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8F3B73">
        <w:rPr>
          <w:rFonts w:cs="Times New Roman"/>
          <w:szCs w:val="24"/>
          <w:lang w:val="bg-BG"/>
        </w:rPr>
        <w:t xml:space="preserve"> </w:t>
      </w:r>
      <w:r w:rsidR="002B4AC0" w:rsidRPr="002448F4">
        <w:rPr>
          <w:rFonts w:cs="Times New Roman"/>
          <w:szCs w:val="24"/>
          <w:lang w:val="bg-BG"/>
        </w:rPr>
        <w:t>и ПМС № 160 от 2016 г.</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5CDBB00"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6DE87382"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36DBD45F"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lastRenderedPageBreak/>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22D44C7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w:t>
      </w:r>
      <w:r w:rsidR="00391B0F" w:rsidRPr="003F0B14">
        <w:rPr>
          <w:rFonts w:cs="Times New Roman"/>
          <w:iCs/>
          <w:sz w:val="24"/>
          <w:szCs w:val="24"/>
          <w:lang w:val="bg-BG"/>
        </w:rPr>
        <w:lastRenderedPageBreak/>
        <w:t>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77777777"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lastRenderedPageBreak/>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50C2F512"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77777777"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104033EA"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w:t>
      </w:r>
      <w:r w:rsidR="00467DD2" w:rsidRPr="003F0B14">
        <w:rPr>
          <w:rFonts w:eastAsia="Times New Roman"/>
          <w:bCs/>
        </w:rPr>
        <w:t xml:space="preserve">по </w:t>
      </w:r>
      <w:r w:rsidR="00467DD2" w:rsidRPr="003F0B14">
        <w:rPr>
          <w:rFonts w:eastAsia="Times New Roman"/>
          <w:bCs/>
          <w:color w:val="000000" w:themeColor="text1"/>
        </w:rPr>
        <w:t xml:space="preserve">процедура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 xml:space="preserve">“ </w:t>
      </w:r>
      <w:r w:rsidR="002A42F5" w:rsidRPr="003F0B14">
        <w:rPr>
          <w:rFonts w:eastAsia="Times New Roman"/>
          <w:bCs/>
        </w:rPr>
        <w:t xml:space="preserve">по </w:t>
      </w:r>
      <w:r w:rsidR="00AF475C" w:rsidRPr="003F0B14">
        <w:rPr>
          <w:rFonts w:eastAsia="Times New Roman"/>
          <w:bCs/>
        </w:rPr>
        <w:t xml:space="preserve">подмярка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w:t>
      </w:r>
      <w:r w:rsidR="002A42F5" w:rsidRPr="003F0B14">
        <w:rPr>
          <w:rFonts w:eastAsia="Times New Roman"/>
          <w:bCs/>
        </w:rPr>
        <w:lastRenderedPageBreak/>
        <w:t xml:space="preserve">2020 Приложение № </w:t>
      </w:r>
      <w:r w:rsidR="00467DD2">
        <w:rPr>
          <w:rFonts w:eastAsia="Times New Roman"/>
          <w:bCs/>
        </w:rPr>
        <w:t>1</w:t>
      </w:r>
      <w:r w:rsidR="002A42F5" w:rsidRPr="003F0B14">
        <w:rPr>
          <w:rFonts w:eastAsia="Times New Roman"/>
          <w:bCs/>
        </w:rPr>
        <w:t xml:space="preserve"> към Заповед № .................. (посочва се заповедта за обявяване на съответния прием по подмярката и утвърждаване на до</w:t>
      </w:r>
      <w:r w:rsidRPr="003F0B14">
        <w:rPr>
          <w:rFonts w:eastAsia="Times New Roman"/>
          <w:bCs/>
        </w:rPr>
        <w:t>кументите по чл. 26 от ЗУСЕСИФ);</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745652CE"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p w14:paraId="065D6A5D" w14:textId="77777777"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77777777" w:rsidR="00A83B51" w:rsidRPr="003F0B14"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77777777" w:rsidR="00A83B51" w:rsidRPr="003F0B14" w:rsidRDefault="00220EC5" w:rsidP="0076356D">
      <w:pPr>
        <w:tabs>
          <w:tab w:val="left" w:pos="-180"/>
        </w:tabs>
        <w:spacing w:after="0" w:line="276" w:lineRule="auto"/>
        <w:ind w:firstLine="709"/>
        <w:jc w:val="both"/>
      </w:pPr>
      <w:r w:rsidRPr="003F0B14">
        <w:rPr>
          <w:b/>
        </w:rPr>
        <w:t xml:space="preserve">Чл. </w:t>
      </w:r>
      <w:r w:rsidR="008C59AC" w:rsidRPr="003F0B14">
        <w:rPr>
          <w:b/>
        </w:rPr>
        <w:t>2</w:t>
      </w:r>
      <w:r w:rsidR="00103BFF">
        <w:rPr>
          <w:b/>
        </w:rPr>
        <w:t>6</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77777777"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77777777"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14:paraId="13F99F9C" w14:textId="7AF30F61"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59A20235"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5725A55D" w:rsidR="00233394" w:rsidRDefault="00233394" w:rsidP="00233394">
      <w:pPr>
        <w:spacing w:after="0" w:line="276" w:lineRule="auto"/>
        <w:ind w:firstLine="709"/>
        <w:jc w:val="both"/>
      </w:pPr>
      <w:r>
        <w:t xml:space="preserve">7. Приложение № 7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097A75">
        <w:rPr>
          <w:i/>
        </w:rPr>
        <w:t>– важи когато предметът на договора включва извършване на строително-монтажни работи</w:t>
      </w:r>
      <w:r w:rsidR="000D6ADB" w:rsidRPr="000D6ADB">
        <w:t>.</w:t>
      </w: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lastRenderedPageBreak/>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B2C4F" w14:textId="77777777" w:rsidR="00AA355B" w:rsidRDefault="00AA355B" w:rsidP="004B466E">
      <w:pPr>
        <w:spacing w:after="0" w:line="240" w:lineRule="auto"/>
      </w:pPr>
      <w:r>
        <w:separator/>
      </w:r>
    </w:p>
  </w:endnote>
  <w:endnote w:type="continuationSeparator" w:id="0">
    <w:p w14:paraId="0B22D453" w14:textId="77777777" w:rsidR="00AA355B" w:rsidRDefault="00AA355B"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DA31" w14:textId="77777777" w:rsidR="00A825E5" w:rsidRDefault="00A825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62BB8" w14:textId="7D0DC1BE"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6E10DC">
      <w:rPr>
        <w:noProof/>
        <w:sz w:val="20"/>
        <w:szCs w:val="20"/>
      </w:rPr>
      <w:t>2</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0A7E4" w14:textId="77777777" w:rsidR="00A825E5" w:rsidRDefault="00A825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324E6" w14:textId="77777777" w:rsidR="00AA355B" w:rsidRDefault="00AA355B" w:rsidP="004B466E">
      <w:pPr>
        <w:spacing w:after="0" w:line="240" w:lineRule="auto"/>
      </w:pPr>
      <w:r>
        <w:separator/>
      </w:r>
    </w:p>
  </w:footnote>
  <w:footnote w:type="continuationSeparator" w:id="0">
    <w:p w14:paraId="0CF7DB39" w14:textId="77777777" w:rsidR="00AA355B" w:rsidRDefault="00AA355B"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94D8" w14:textId="02B158D5" w:rsidR="00A825E5" w:rsidRDefault="00A825E5">
    <w:pPr>
      <w:pStyle w:val="Header"/>
    </w:pPr>
    <w:r>
      <w:rPr>
        <w:noProof/>
      </w:rPr>
      <w:pict w14:anchorId="21137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413110"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9CFD" w14:textId="380C5C31" w:rsidR="005F05C1" w:rsidRDefault="00A825E5" w:rsidP="005415AD">
    <w:pPr>
      <w:pStyle w:val="Header"/>
      <w:jc w:val="right"/>
    </w:pPr>
    <w:r>
      <w:rPr>
        <w:noProof/>
      </w:rPr>
      <w:pict w14:anchorId="68DB16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413111"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853" w14:textId="27E6A396" w:rsidR="005F05C1" w:rsidRDefault="00A825E5" w:rsidP="0076356D">
    <w:pPr>
      <w:pStyle w:val="Header"/>
      <w:tabs>
        <w:tab w:val="clear" w:pos="4536"/>
        <w:tab w:val="clear" w:pos="9072"/>
      </w:tabs>
      <w:jc w:val="center"/>
    </w:pPr>
    <w:r>
      <w:rPr>
        <w:noProof/>
      </w:rPr>
      <w:pict w14:anchorId="7E47E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413109" o:spid="_x0000_s2049" type="#_x0000_t136" style="position:absolute;left:0;text-align:left;margin-left:0;margin-top:0;width:524.65pt;height:174.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5F05C1">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5F05C1">
      <w:tab/>
    </w:r>
    <w:r w:rsidR="005F05C1">
      <w:tab/>
    </w:r>
    <w:r w:rsidR="005F05C1">
      <w:tab/>
    </w:r>
    <w:r w:rsidR="005F05C1"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rsidR="005F05C1">
      <w:tab/>
    </w:r>
    <w:r w:rsidR="005F05C1">
      <w:tab/>
    </w:r>
    <w:r w:rsidR="005F05C1">
      <w:tab/>
    </w:r>
    <w:r w:rsidR="005F05C1">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A75"/>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F6E"/>
    <w:rsid w:val="000F457A"/>
    <w:rsid w:val="000F5D08"/>
    <w:rsid w:val="000F77FD"/>
    <w:rsid w:val="00103BFF"/>
    <w:rsid w:val="00104526"/>
    <w:rsid w:val="00116FD4"/>
    <w:rsid w:val="00117AA3"/>
    <w:rsid w:val="00117D93"/>
    <w:rsid w:val="001202FB"/>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3EA"/>
    <w:rsid w:val="00157B28"/>
    <w:rsid w:val="001600E8"/>
    <w:rsid w:val="0016207D"/>
    <w:rsid w:val="00163F3A"/>
    <w:rsid w:val="00164200"/>
    <w:rsid w:val="0016666E"/>
    <w:rsid w:val="00167186"/>
    <w:rsid w:val="0016721A"/>
    <w:rsid w:val="00171034"/>
    <w:rsid w:val="00173D66"/>
    <w:rsid w:val="00174771"/>
    <w:rsid w:val="00176051"/>
    <w:rsid w:val="0017786A"/>
    <w:rsid w:val="00180410"/>
    <w:rsid w:val="00181D06"/>
    <w:rsid w:val="00181D57"/>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1CE3"/>
    <w:rsid w:val="00293DAC"/>
    <w:rsid w:val="00293FA0"/>
    <w:rsid w:val="00296561"/>
    <w:rsid w:val="002A178F"/>
    <w:rsid w:val="002A221B"/>
    <w:rsid w:val="002A3BCB"/>
    <w:rsid w:val="002A42F5"/>
    <w:rsid w:val="002A54E3"/>
    <w:rsid w:val="002A6066"/>
    <w:rsid w:val="002A6FA2"/>
    <w:rsid w:val="002B15A9"/>
    <w:rsid w:val="002B1F07"/>
    <w:rsid w:val="002B23A9"/>
    <w:rsid w:val="002B2ABF"/>
    <w:rsid w:val="002B3269"/>
    <w:rsid w:val="002B3341"/>
    <w:rsid w:val="002B4AC0"/>
    <w:rsid w:val="002B5399"/>
    <w:rsid w:val="002B6EEC"/>
    <w:rsid w:val="002C0248"/>
    <w:rsid w:val="002C0B16"/>
    <w:rsid w:val="002C17FA"/>
    <w:rsid w:val="002C340B"/>
    <w:rsid w:val="002C608E"/>
    <w:rsid w:val="002C7034"/>
    <w:rsid w:val="002C7071"/>
    <w:rsid w:val="002D4F72"/>
    <w:rsid w:val="002D4FA7"/>
    <w:rsid w:val="002D5EFA"/>
    <w:rsid w:val="002E070C"/>
    <w:rsid w:val="002E142A"/>
    <w:rsid w:val="002E4AA4"/>
    <w:rsid w:val="002E5C87"/>
    <w:rsid w:val="002F1901"/>
    <w:rsid w:val="002F20A9"/>
    <w:rsid w:val="002F5B6F"/>
    <w:rsid w:val="002F7CA1"/>
    <w:rsid w:val="00300319"/>
    <w:rsid w:val="00305B24"/>
    <w:rsid w:val="003072DA"/>
    <w:rsid w:val="0031137E"/>
    <w:rsid w:val="00312DCB"/>
    <w:rsid w:val="00316605"/>
    <w:rsid w:val="00316E45"/>
    <w:rsid w:val="003203EF"/>
    <w:rsid w:val="00320CC9"/>
    <w:rsid w:val="003213A6"/>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67DD2"/>
    <w:rsid w:val="00470AE9"/>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E7323"/>
    <w:rsid w:val="004F1BD9"/>
    <w:rsid w:val="004F1F56"/>
    <w:rsid w:val="00500290"/>
    <w:rsid w:val="005015B8"/>
    <w:rsid w:val="005018BF"/>
    <w:rsid w:val="00502C8D"/>
    <w:rsid w:val="005032E7"/>
    <w:rsid w:val="00506B3A"/>
    <w:rsid w:val="0051114C"/>
    <w:rsid w:val="00511BF0"/>
    <w:rsid w:val="00511ECC"/>
    <w:rsid w:val="0051305C"/>
    <w:rsid w:val="00515AF7"/>
    <w:rsid w:val="005163CD"/>
    <w:rsid w:val="00516F10"/>
    <w:rsid w:val="00517D9B"/>
    <w:rsid w:val="00520109"/>
    <w:rsid w:val="005203F0"/>
    <w:rsid w:val="00520779"/>
    <w:rsid w:val="00520809"/>
    <w:rsid w:val="005213DE"/>
    <w:rsid w:val="00523001"/>
    <w:rsid w:val="00525909"/>
    <w:rsid w:val="00525CBF"/>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111BF"/>
    <w:rsid w:val="00611394"/>
    <w:rsid w:val="00612531"/>
    <w:rsid w:val="0061362C"/>
    <w:rsid w:val="00613E38"/>
    <w:rsid w:val="006141DB"/>
    <w:rsid w:val="00614F19"/>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A24D0"/>
    <w:rsid w:val="006A4D7C"/>
    <w:rsid w:val="006A5E2A"/>
    <w:rsid w:val="006A6A4B"/>
    <w:rsid w:val="006B3568"/>
    <w:rsid w:val="006B3694"/>
    <w:rsid w:val="006B6C10"/>
    <w:rsid w:val="006C0AE4"/>
    <w:rsid w:val="006C34B4"/>
    <w:rsid w:val="006C3C3F"/>
    <w:rsid w:val="006C743C"/>
    <w:rsid w:val="006D1124"/>
    <w:rsid w:val="006D180B"/>
    <w:rsid w:val="006D1D59"/>
    <w:rsid w:val="006D244C"/>
    <w:rsid w:val="006D46A4"/>
    <w:rsid w:val="006D7117"/>
    <w:rsid w:val="006E10DC"/>
    <w:rsid w:val="006E1CA8"/>
    <w:rsid w:val="006E2D3C"/>
    <w:rsid w:val="006E37C9"/>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226"/>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B09"/>
    <w:rsid w:val="00827D90"/>
    <w:rsid w:val="0083079B"/>
    <w:rsid w:val="00830E8A"/>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28F6"/>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B73"/>
    <w:rsid w:val="008F3C08"/>
    <w:rsid w:val="008F5CCB"/>
    <w:rsid w:val="008F6450"/>
    <w:rsid w:val="008F6C40"/>
    <w:rsid w:val="009008A6"/>
    <w:rsid w:val="009008E4"/>
    <w:rsid w:val="009010E0"/>
    <w:rsid w:val="009033DD"/>
    <w:rsid w:val="009038E8"/>
    <w:rsid w:val="00904EC9"/>
    <w:rsid w:val="00905939"/>
    <w:rsid w:val="0090628B"/>
    <w:rsid w:val="009068F7"/>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6438"/>
    <w:rsid w:val="0095657A"/>
    <w:rsid w:val="00956F61"/>
    <w:rsid w:val="00957CC3"/>
    <w:rsid w:val="00957D49"/>
    <w:rsid w:val="009609B4"/>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201E"/>
    <w:rsid w:val="00A4403B"/>
    <w:rsid w:val="00A45BD0"/>
    <w:rsid w:val="00A46F6D"/>
    <w:rsid w:val="00A4787B"/>
    <w:rsid w:val="00A5046E"/>
    <w:rsid w:val="00A52087"/>
    <w:rsid w:val="00A549D9"/>
    <w:rsid w:val="00A55C79"/>
    <w:rsid w:val="00A605C9"/>
    <w:rsid w:val="00A60AA0"/>
    <w:rsid w:val="00A60C53"/>
    <w:rsid w:val="00A6282B"/>
    <w:rsid w:val="00A636F7"/>
    <w:rsid w:val="00A67230"/>
    <w:rsid w:val="00A7021D"/>
    <w:rsid w:val="00A72473"/>
    <w:rsid w:val="00A72DFA"/>
    <w:rsid w:val="00A73296"/>
    <w:rsid w:val="00A73949"/>
    <w:rsid w:val="00A80DA7"/>
    <w:rsid w:val="00A825E5"/>
    <w:rsid w:val="00A83B51"/>
    <w:rsid w:val="00A84421"/>
    <w:rsid w:val="00A84BF8"/>
    <w:rsid w:val="00A87A10"/>
    <w:rsid w:val="00A91584"/>
    <w:rsid w:val="00A91A28"/>
    <w:rsid w:val="00A9352B"/>
    <w:rsid w:val="00A93FC0"/>
    <w:rsid w:val="00A95413"/>
    <w:rsid w:val="00A96E0C"/>
    <w:rsid w:val="00AA0559"/>
    <w:rsid w:val="00AA355B"/>
    <w:rsid w:val="00AA4443"/>
    <w:rsid w:val="00AA467C"/>
    <w:rsid w:val="00AA48F5"/>
    <w:rsid w:val="00AA4E8C"/>
    <w:rsid w:val="00AA5E0C"/>
    <w:rsid w:val="00AA72E8"/>
    <w:rsid w:val="00AA7A00"/>
    <w:rsid w:val="00AB183B"/>
    <w:rsid w:val="00AB47E2"/>
    <w:rsid w:val="00AB6CC4"/>
    <w:rsid w:val="00AB74F7"/>
    <w:rsid w:val="00AC0137"/>
    <w:rsid w:val="00AC025C"/>
    <w:rsid w:val="00AC0933"/>
    <w:rsid w:val="00AC0F25"/>
    <w:rsid w:val="00AC3FFA"/>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641F"/>
    <w:rsid w:val="00B476BE"/>
    <w:rsid w:val="00B52072"/>
    <w:rsid w:val="00B5374D"/>
    <w:rsid w:val="00B56614"/>
    <w:rsid w:val="00B57056"/>
    <w:rsid w:val="00B575DF"/>
    <w:rsid w:val="00B60B78"/>
    <w:rsid w:val="00B62F6E"/>
    <w:rsid w:val="00B64783"/>
    <w:rsid w:val="00B648B2"/>
    <w:rsid w:val="00B66DBC"/>
    <w:rsid w:val="00B71FC8"/>
    <w:rsid w:val="00B757C5"/>
    <w:rsid w:val="00B75AC2"/>
    <w:rsid w:val="00B75C3D"/>
    <w:rsid w:val="00B75FCD"/>
    <w:rsid w:val="00B75FD8"/>
    <w:rsid w:val="00B80CAD"/>
    <w:rsid w:val="00B82DFA"/>
    <w:rsid w:val="00B837CE"/>
    <w:rsid w:val="00B85E92"/>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67A"/>
    <w:rsid w:val="00BD0DCF"/>
    <w:rsid w:val="00BD2471"/>
    <w:rsid w:val="00BD2911"/>
    <w:rsid w:val="00BD3276"/>
    <w:rsid w:val="00BD6F32"/>
    <w:rsid w:val="00BD75CD"/>
    <w:rsid w:val="00BD7D45"/>
    <w:rsid w:val="00BD7D9E"/>
    <w:rsid w:val="00BE0060"/>
    <w:rsid w:val="00BE00B9"/>
    <w:rsid w:val="00BE13AE"/>
    <w:rsid w:val="00BE2374"/>
    <w:rsid w:val="00BE252D"/>
    <w:rsid w:val="00BE28A2"/>
    <w:rsid w:val="00BE2A7F"/>
    <w:rsid w:val="00BE5B08"/>
    <w:rsid w:val="00BE5F75"/>
    <w:rsid w:val="00BE718A"/>
    <w:rsid w:val="00BF09E1"/>
    <w:rsid w:val="00BF14F9"/>
    <w:rsid w:val="00BF2D25"/>
    <w:rsid w:val="00BF4CDA"/>
    <w:rsid w:val="00BF5393"/>
    <w:rsid w:val="00BF5FC6"/>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475E"/>
    <w:rsid w:val="00D15957"/>
    <w:rsid w:val="00D15A37"/>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54C9"/>
    <w:rsid w:val="00DA570F"/>
    <w:rsid w:val="00DB0566"/>
    <w:rsid w:val="00DB0E0A"/>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6007F"/>
    <w:rsid w:val="00E657B2"/>
    <w:rsid w:val="00E66AE2"/>
    <w:rsid w:val="00E71612"/>
    <w:rsid w:val="00E72D74"/>
    <w:rsid w:val="00E73AEB"/>
    <w:rsid w:val="00E74BDD"/>
    <w:rsid w:val="00E75554"/>
    <w:rsid w:val="00E76EF2"/>
    <w:rsid w:val="00E84E03"/>
    <w:rsid w:val="00E86D60"/>
    <w:rsid w:val="00E87A8C"/>
    <w:rsid w:val="00E90081"/>
    <w:rsid w:val="00E9102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D2015"/>
    <w:rsid w:val="00ED2A5A"/>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CB5FB12"/>
  <w15:docId w15:val="{A72AEE27-DAF8-463F-808D-F5E58F9E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294DE-6231-470F-84EC-C06A940D9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7998</Words>
  <Characters>45589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Iskra Botseva</cp:lastModifiedBy>
  <cp:revision>7</cp:revision>
  <cp:lastPrinted>2020-03-05T15:54:00Z</cp:lastPrinted>
  <dcterms:created xsi:type="dcterms:W3CDTF">2020-03-12T18:19:00Z</dcterms:created>
  <dcterms:modified xsi:type="dcterms:W3CDTF">2020-03-13T12:10:00Z</dcterms:modified>
</cp:coreProperties>
</file>