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P="003C7F32" w:rsidR="003C7F32" w:rsidRDefault="003C7F32">
      <w:pPr>
        <w:ind w:hanging="850" w:left="8647"/>
        <w:rPr>
          <w:rFonts w:ascii="Times New Roman" w:cs="Times New Roman" w:hAnsi="Times New Roman"/>
          <w:b/>
          <w:sz w:val="24"/>
          <w:szCs w:val="24"/>
          <w:lang w:val="en-US"/>
        </w:rPr>
      </w:pPr>
      <w:r w:rsidRPr="00D7411B">
        <w:rPr>
          <w:rFonts w:ascii="Times New Roman" w:cs="Times New Roman" w:hAnsi="Times New Roman"/>
          <w:b/>
          <w:sz w:val="24"/>
          <w:szCs w:val="24"/>
        </w:rPr>
        <w:t>Утвърдил:</w:t>
      </w:r>
    </w:p>
    <w:p w:rsidP="003C7F32" w:rsidR="003C7F32" w:rsidRDefault="00157F9A" w:rsidRPr="000503AA">
      <w:pPr>
        <w:ind w:hanging="850" w:left="8647"/>
        <w:rPr>
          <w:rFonts w:ascii="Times New Roman" w:cs="Times New Roman" w:hAnsi="Times New Roman"/>
          <w:b/>
          <w:sz w:val="24"/>
          <w:szCs w:val="24"/>
          <w:lang w:val="en-US"/>
        </w:rPr>
      </w:pPr>
      <w:r>
        <w:rPr>
          <w:rFonts w:ascii="Times New Roman" w:cs="Times New Roman" w:hAnsi="Times New Roman"/>
          <w:b/>
          <w:sz w:val="24"/>
          <w:szCs w:val="24"/>
          <w:lang w:val="en-US"/>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Ред за подпис на Microsoft Office..." id="_x0000_i1030" style="width:192pt;height:96pt" type="#_x0000_t75">
            <v:imagedata o:title="" r:id="rId6"/>
            <o:lock cropping="t" grouping="t" rotation="t" text="t" ungrouping="t" v:ext="edit" verticies="t"/>
            <o:signatureline id="{EBC4A6DD-B401-4777-90D3-7578081D338B}" issignatureline="t" o:suggestedsigner="Д-Р ЛОЗАНА ВАСИЛЕВА" o:suggestedsigner2="Заместник-министър на земеделието, храните и горите и ръководител на УО на ПРСР" provid="{00000000-0000-0000-0000-000000000000}" v:ext="edit"/>
          </v:shape>
        </w:pict>
      </w:r>
    </w:p>
    <w:tbl>
      <w:tblPr>
        <w:tblStyle w:val="a3"/>
        <w:tblW w:type="dxa" w:w="14283"/>
        <w:tblLook w:firstColumn="1" w:firstRow="1" w:lastColumn="0" w:lastRow="0" w:noHBand="0" w:noVBand="1" w:val="04A0"/>
      </w:tblPr>
      <w:tblGrid>
        <w:gridCol w:w="14283"/>
      </w:tblGrid>
      <w:tr w:rsidR="003C7F32" w:rsidRPr="00D7411B" w:rsidTr="00C01447">
        <w:tc>
          <w:tcPr>
            <w:tcW w:type="dxa" w:w="14283"/>
            <w:shd w:color="auto" w:fill="D6E3BC" w:themeFill="accent3" w:themeFillTint="66" w:val="clear"/>
          </w:tcPr>
          <w:p w:rsidP="00C01447" w:rsidR="003C7F32" w:rsidRDefault="003C7F32" w:rsidRPr="00AB08FA">
            <w:pPr>
              <w:spacing w:line="360" w:lineRule="auto"/>
              <w:jc w:val="center"/>
              <w:rPr>
                <w:rFonts w:ascii="Times New Roman" w:cs="Times New Roman" w:hAnsi="Times New Roman"/>
                <w:b/>
                <w:sz w:val="24"/>
                <w:szCs w:val="24"/>
              </w:rPr>
            </w:pPr>
            <w:bookmarkStart w:id="0" w:name="_GoBack"/>
            <w:bookmarkEnd w:id="0"/>
          </w:p>
          <w:p w:rsidP="00C01447" w:rsidR="003C7F32" w:rsidRDefault="003C7F32" w:rsidRPr="00AB08FA">
            <w:pPr>
              <w:spacing w:line="360" w:lineRule="auto"/>
              <w:jc w:val="center"/>
              <w:rPr>
                <w:rFonts w:ascii="Times New Roman" w:cs="Times New Roman" w:hAnsi="Times New Roman"/>
                <w:b/>
                <w:sz w:val="24"/>
                <w:szCs w:val="24"/>
              </w:rPr>
            </w:pPr>
            <w:r w:rsidRPr="00D7411B">
              <w:rPr>
                <w:rFonts w:ascii="Times New Roman" w:cs="Times New Roman" w:hAnsi="Times New Roman"/>
                <w:b/>
                <w:sz w:val="24"/>
                <w:szCs w:val="24"/>
              </w:rPr>
              <w:t xml:space="preserve">Таблица за направените предложения и </w:t>
            </w:r>
            <w:r>
              <w:rPr>
                <w:rFonts w:ascii="Times New Roman" w:cs="Times New Roman" w:hAnsi="Times New Roman"/>
                <w:b/>
                <w:sz w:val="24"/>
                <w:szCs w:val="24"/>
              </w:rPr>
              <w:t>възражения</w:t>
            </w:r>
            <w:r w:rsidRPr="00D7411B">
              <w:rPr>
                <w:rFonts w:ascii="Times New Roman" w:cs="Times New Roman" w:hAnsi="Times New Roman"/>
                <w:b/>
                <w:sz w:val="24"/>
                <w:szCs w:val="24"/>
              </w:rPr>
              <w:t xml:space="preserve"> в процеса на обществено обсъждане на проект на условия за кандидатстване, условия за </w:t>
            </w:r>
            <w:r w:rsidRPr="00394725">
              <w:rPr>
                <w:rFonts w:ascii="Times New Roman" w:cs="Times New Roman" w:hAnsi="Times New Roman"/>
                <w:b/>
                <w:sz w:val="24"/>
                <w:szCs w:val="24"/>
              </w:rPr>
              <w:t>изпълнение и пакет за процедура чрез подбор на п</w:t>
            </w:r>
            <w:r w:rsidR="00660708" w:rsidRPr="00394725">
              <w:rPr>
                <w:rFonts w:ascii="Times New Roman" w:cs="Times New Roman" w:hAnsi="Times New Roman"/>
                <w:b/>
                <w:sz w:val="24"/>
                <w:szCs w:val="24"/>
              </w:rPr>
              <w:t xml:space="preserve">роектни предложения </w:t>
            </w:r>
            <w:r w:rsidR="00AB08FA" w:rsidRPr="00AB08FA">
              <w:rPr>
                <w:rFonts w:ascii="Times New Roman" w:cs="Times New Roman" w:hAnsi="Times New Roman"/>
                <w:b/>
                <w:sz w:val="24"/>
                <w:szCs w:val="24"/>
              </w:rPr>
              <w:t xml:space="preserve">BG06RDNP001-4.011 </w:t>
            </w:r>
            <w:r w:rsidR="00AB08FA">
              <w:rPr>
                <w:rFonts w:ascii="Times New Roman" w:cs="Times New Roman" w:hAnsi="Times New Roman"/>
                <w:b/>
                <w:sz w:val="24"/>
                <w:szCs w:val="24"/>
              </w:rPr>
              <w:t>–</w:t>
            </w:r>
            <w:r w:rsidR="00AB08FA" w:rsidRPr="00AB08FA">
              <w:rPr>
                <w:rFonts w:ascii="Times New Roman" w:cs="Times New Roman" w:hAnsi="Times New Roman"/>
                <w:b/>
                <w:sz w:val="24"/>
                <w:szCs w:val="24"/>
              </w:rPr>
              <w:t xml:space="preserve"> </w:t>
            </w:r>
            <w:r w:rsidR="00AB08FA">
              <w:rPr>
                <w:rFonts w:ascii="Times New Roman" w:cs="Times New Roman" w:hAnsi="Times New Roman"/>
                <w:b/>
                <w:sz w:val="24"/>
                <w:szCs w:val="24"/>
              </w:rPr>
              <w:t>„</w:t>
            </w:r>
            <w:r w:rsidR="00AB08FA" w:rsidRPr="00AB08FA">
              <w:rPr>
                <w:rFonts w:ascii="Times New Roman" w:cs="Times New Roman" w:hAnsi="Times New Roman"/>
                <w:b/>
                <w:sz w:val="24"/>
                <w:szCs w:val="24"/>
              </w:rPr>
              <w:t>Проектни предложения от сдружения за напояване и други юридически лица за възстановяване на съществуващи хидромелиоративни съоръжения за напояване</w:t>
            </w:r>
            <w:r w:rsidR="00AB08FA">
              <w:rPr>
                <w:rFonts w:ascii="Times New Roman" w:cs="Times New Roman" w:hAnsi="Times New Roman"/>
                <w:b/>
                <w:sz w:val="24"/>
                <w:szCs w:val="24"/>
              </w:rPr>
              <w:t>“</w:t>
            </w:r>
            <w:r w:rsidR="00AB08FA" w:rsidRPr="00AB08FA">
              <w:rPr>
                <w:rFonts w:ascii="Times New Roman" w:cs="Times New Roman" w:hAnsi="Times New Roman"/>
                <w:b/>
                <w:sz w:val="24"/>
                <w:szCs w:val="24"/>
              </w:rPr>
              <w:t xml:space="preserve"> </w:t>
            </w:r>
            <w:r w:rsidR="00660708" w:rsidRPr="00394725">
              <w:rPr>
                <w:rFonts w:ascii="Times New Roman" w:cs="Times New Roman" w:hAnsi="Times New Roman"/>
                <w:b/>
                <w:sz w:val="24"/>
                <w:szCs w:val="24"/>
              </w:rPr>
              <w:t>по подмярка 4.</w:t>
            </w:r>
            <w:r w:rsidR="00AB08FA" w:rsidRPr="00AB08FA">
              <w:rPr>
                <w:rFonts w:ascii="Times New Roman" w:cs="Times New Roman" w:hAnsi="Times New Roman"/>
                <w:b/>
                <w:sz w:val="24"/>
                <w:szCs w:val="24"/>
              </w:rPr>
              <w:t>3</w:t>
            </w:r>
            <w:r w:rsidR="00660708" w:rsidRPr="00394725">
              <w:rPr>
                <w:rFonts w:ascii="Times New Roman" w:cs="Times New Roman" w:hAnsi="Times New Roman"/>
                <w:b/>
                <w:sz w:val="24"/>
                <w:szCs w:val="24"/>
              </w:rPr>
              <w:t xml:space="preserve"> </w:t>
            </w:r>
            <w:r w:rsidR="00AB08FA">
              <w:rPr>
                <w:rFonts w:ascii="Times New Roman" w:cs="Times New Roman" w:eastAsiaTheme="majorEastAsia" w:hAnsi="Times New Roman"/>
                <w:b/>
                <w:bCs/>
                <w:sz w:val="24"/>
                <w:szCs w:val="24"/>
              </w:rPr>
              <w:t>„Подкрепа за инвестиции в инфраструктура, свързана с развитието, модернизирането или адаптирането на селското и горското стопанство“</w:t>
            </w:r>
            <w:r w:rsidR="00660708" w:rsidRPr="00394725">
              <w:rPr>
                <w:rFonts w:ascii="Times New Roman" w:cs="Times New Roman" w:hAnsi="Times New Roman"/>
                <w:b/>
                <w:sz w:val="24"/>
                <w:szCs w:val="24"/>
              </w:rPr>
              <w:t xml:space="preserve"> от мярка 4 „Инвестиции в материални активи“ от </w:t>
            </w:r>
            <w:r w:rsidRPr="00394725">
              <w:rPr>
                <w:rFonts w:ascii="Times New Roman" w:cs="Times New Roman" w:hAnsi="Times New Roman"/>
                <w:b/>
                <w:sz w:val="24"/>
                <w:szCs w:val="24"/>
              </w:rPr>
              <w:t>Програма за развитие на селските райони 2014-2020 г</w:t>
            </w:r>
            <w:r w:rsidRPr="00D7411B">
              <w:rPr>
                <w:rFonts w:ascii="Times New Roman" w:cs="Times New Roman" w:hAnsi="Times New Roman"/>
                <w:b/>
                <w:sz w:val="24"/>
                <w:szCs w:val="24"/>
              </w:rPr>
              <w:t>.</w:t>
            </w:r>
          </w:p>
          <w:p w:rsidP="00C01447" w:rsidR="003C7F32" w:rsidRDefault="003C7F32" w:rsidRPr="00AB08FA">
            <w:pPr>
              <w:spacing w:line="360" w:lineRule="auto"/>
              <w:jc w:val="center"/>
              <w:rPr>
                <w:rFonts w:ascii="Times New Roman" w:cs="Times New Roman" w:hAnsi="Times New Roman"/>
                <w:sz w:val="24"/>
                <w:szCs w:val="24"/>
              </w:rPr>
            </w:pPr>
          </w:p>
        </w:tc>
      </w:tr>
    </w:tbl>
    <w:p w:rsidR="00DE7826" w:rsidRDefault="00DE7826" w:rsidRPr="00AB08FA"/>
    <w:tbl>
      <w:tblPr>
        <w:tblStyle w:val="a3"/>
        <w:tblW w:type="dxa" w:w="14283"/>
        <w:tblLayout w:type="fixed"/>
        <w:tblLook w:firstColumn="1" w:firstRow="1" w:lastColumn="0" w:lastRow="0" w:noHBand="0" w:noVBand="1" w:val="04A0"/>
      </w:tblPr>
      <w:tblGrid>
        <w:gridCol w:w="534"/>
        <w:gridCol w:w="2126"/>
        <w:gridCol w:w="1559"/>
        <w:gridCol w:w="5103"/>
        <w:gridCol w:w="4961"/>
      </w:tblGrid>
      <w:tr w:rsidR="00DE7826" w:rsidRPr="00D7411B" w:rsidTr="00B54DCA">
        <w:tc>
          <w:tcPr>
            <w:tcW w:type="dxa" w:w="534"/>
            <w:vAlign w:val="center"/>
          </w:tcPr>
          <w:p w:rsidP="00C01447" w:rsidR="00DE7826" w:rsidRDefault="00DE7826" w:rsidRPr="00D7411B">
            <w:pPr>
              <w:jc w:val="center"/>
              <w:rPr>
                <w:rFonts w:ascii="Times New Roman" w:cs="Times New Roman" w:hAnsi="Times New Roman"/>
                <w:b/>
                <w:sz w:val="24"/>
                <w:szCs w:val="24"/>
              </w:rPr>
            </w:pPr>
            <w:r w:rsidRPr="00D7411B">
              <w:rPr>
                <w:rFonts w:ascii="Times New Roman" w:cs="Times New Roman" w:hAnsi="Times New Roman"/>
                <w:b/>
                <w:sz w:val="24"/>
                <w:szCs w:val="24"/>
              </w:rPr>
              <w:t>№</w:t>
            </w:r>
          </w:p>
        </w:tc>
        <w:tc>
          <w:tcPr>
            <w:tcW w:type="dxa" w:w="2126"/>
            <w:vAlign w:val="center"/>
          </w:tcPr>
          <w:p w:rsidP="00C01447" w:rsidR="00DE7826" w:rsidRDefault="00DE7826" w:rsidRPr="00D7411B">
            <w:pPr>
              <w:jc w:val="center"/>
              <w:rPr>
                <w:rFonts w:ascii="Times New Roman" w:cs="Times New Roman" w:hAnsi="Times New Roman"/>
                <w:b/>
                <w:sz w:val="24"/>
                <w:szCs w:val="24"/>
              </w:rPr>
            </w:pPr>
            <w:r w:rsidRPr="00D7411B">
              <w:rPr>
                <w:rFonts w:ascii="Times New Roman" w:cs="Times New Roman" w:hAnsi="Times New Roman"/>
                <w:b/>
                <w:sz w:val="24"/>
                <w:szCs w:val="24"/>
              </w:rPr>
              <w:t>Данни на подателя</w:t>
            </w:r>
          </w:p>
        </w:tc>
        <w:tc>
          <w:tcPr>
            <w:tcW w:type="dxa" w:w="1559"/>
            <w:vAlign w:val="center"/>
          </w:tcPr>
          <w:p w:rsidP="00C01447" w:rsidR="00DE7826" w:rsidRDefault="00DE7826" w:rsidRPr="00D7411B">
            <w:pPr>
              <w:jc w:val="center"/>
              <w:rPr>
                <w:rFonts w:ascii="Times New Roman" w:cs="Times New Roman" w:hAnsi="Times New Roman"/>
                <w:b/>
                <w:sz w:val="24"/>
                <w:szCs w:val="24"/>
              </w:rPr>
            </w:pPr>
            <w:r w:rsidRPr="00D7411B">
              <w:rPr>
                <w:rFonts w:ascii="Times New Roman" w:cs="Times New Roman" w:hAnsi="Times New Roman"/>
                <w:b/>
                <w:sz w:val="24"/>
                <w:szCs w:val="24"/>
              </w:rPr>
              <w:t>Дата на получаване</w:t>
            </w:r>
          </w:p>
        </w:tc>
        <w:tc>
          <w:tcPr>
            <w:tcW w:type="dxa" w:w="5103"/>
            <w:vAlign w:val="center"/>
          </w:tcPr>
          <w:p w:rsidP="00C01447" w:rsidR="00DE7826" w:rsidRDefault="00DE7826" w:rsidRPr="00D7411B">
            <w:pPr>
              <w:jc w:val="center"/>
              <w:rPr>
                <w:rFonts w:ascii="Times New Roman" w:cs="Times New Roman" w:hAnsi="Times New Roman"/>
                <w:b/>
                <w:sz w:val="24"/>
                <w:szCs w:val="24"/>
              </w:rPr>
            </w:pPr>
            <w:r w:rsidRPr="00D7411B">
              <w:rPr>
                <w:rFonts w:ascii="Times New Roman" w:cs="Times New Roman" w:hAnsi="Times New Roman"/>
                <w:b/>
                <w:sz w:val="24"/>
                <w:szCs w:val="24"/>
              </w:rPr>
              <w:t>Коментар/Предложение</w:t>
            </w:r>
          </w:p>
        </w:tc>
        <w:tc>
          <w:tcPr>
            <w:tcW w:type="dxa" w:w="4961"/>
            <w:vAlign w:val="center"/>
          </w:tcPr>
          <w:p w:rsidP="00C01447" w:rsidR="00DE7826" w:rsidRDefault="00DE7826" w:rsidRPr="00D7411B">
            <w:pPr>
              <w:jc w:val="center"/>
              <w:rPr>
                <w:rFonts w:ascii="Times New Roman" w:cs="Times New Roman" w:hAnsi="Times New Roman"/>
                <w:b/>
                <w:sz w:val="24"/>
                <w:szCs w:val="24"/>
              </w:rPr>
            </w:pPr>
            <w:r w:rsidRPr="00D7411B">
              <w:rPr>
                <w:rFonts w:ascii="Times New Roman" w:cs="Times New Roman" w:hAnsi="Times New Roman"/>
                <w:b/>
                <w:sz w:val="24"/>
                <w:szCs w:val="24"/>
              </w:rPr>
              <w:t>Становище на УО на ПРСР</w:t>
            </w:r>
          </w:p>
        </w:tc>
      </w:tr>
      <w:tr w:rsidR="00DE7826" w:rsidRPr="003C11CC" w:rsidTr="00B2544E">
        <w:tc>
          <w:tcPr>
            <w:tcW w:type="dxa" w:w="534"/>
            <w:shd w:color="auto" w:fill="auto" w:val="clear"/>
            <w:vAlign w:val="center"/>
          </w:tcPr>
          <w:p w:rsidP="00C01447" w:rsidR="00DE7826" w:rsidRDefault="003C7F32" w:rsidRPr="003C7F32">
            <w:pPr>
              <w:jc w:val="center"/>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type="dxa" w:w="2126"/>
            <w:shd w:color="auto" w:fill="auto" w:val="clear"/>
            <w:vAlign w:val="center"/>
          </w:tcPr>
          <w:p w:rsidP="00AB08FA" w:rsidR="00AB08FA" w:rsidRDefault="00AB08FA">
            <w:pPr>
              <w:jc w:val="center"/>
              <w:rPr>
                <w:rFonts w:ascii="Times New Roman" w:cs="Times New Roman" w:hAnsi="Times New Roman"/>
                <w:sz w:val="24"/>
                <w:szCs w:val="24"/>
              </w:rPr>
            </w:pPr>
            <w:r w:rsidRPr="00E745F9">
              <w:rPr>
                <w:rFonts w:ascii="Times New Roman" w:cs="Times New Roman" w:hAnsi="Times New Roman"/>
                <w:sz w:val="24"/>
                <w:szCs w:val="24"/>
              </w:rPr>
              <w:t xml:space="preserve">Явор Гечев – председател на комисията по аграрна политика към НС на Асоциация на индустриалния </w:t>
            </w:r>
            <w:r w:rsidRPr="00E745F9">
              <w:rPr>
                <w:rFonts w:ascii="Times New Roman" w:cs="Times New Roman" w:hAnsi="Times New Roman"/>
                <w:sz w:val="24"/>
                <w:szCs w:val="24"/>
              </w:rPr>
              <w:lastRenderedPageBreak/>
              <w:t>капитал в България и председател на НСЗКБ</w:t>
            </w:r>
          </w:p>
          <w:p w:rsidP="00AB08FA" w:rsidR="00DE7826" w:rsidRDefault="00BE3A4B" w:rsidRPr="003C7F32">
            <w:pPr>
              <w:jc w:val="center"/>
              <w:rPr>
                <w:rFonts w:ascii="Times New Roman" w:cs="Times New Roman" w:hAnsi="Times New Roman"/>
                <w:sz w:val="24"/>
                <w:szCs w:val="24"/>
              </w:rPr>
            </w:pPr>
            <w:r w:rsidRPr="00BE3A4B">
              <w:rPr>
                <w:rFonts w:ascii="Times New Roman" w:cs="Times New Roman" w:hAnsi="Times New Roman"/>
                <w:sz w:val="24"/>
                <w:szCs w:val="24"/>
              </w:rPr>
              <w:t>[mailto:</w:t>
            </w:r>
            <w:r w:rsidR="00AB08FA" w:rsidRPr="00E745F9">
              <w:rPr>
                <w:rFonts w:ascii="Times New Roman" w:cs="Times New Roman" w:hAnsi="Times New Roman"/>
                <w:b/>
                <w:sz w:val="24"/>
                <w:szCs w:val="24"/>
              </w:rPr>
              <w:t xml:space="preserve"> nszkb@abv.bg</w:t>
            </w:r>
            <w:r w:rsidRPr="00BE3A4B">
              <w:rPr>
                <w:rFonts w:ascii="Times New Roman" w:cs="Times New Roman" w:hAnsi="Times New Roman"/>
                <w:sz w:val="24"/>
                <w:szCs w:val="24"/>
              </w:rPr>
              <w:t>]</w:t>
            </w:r>
          </w:p>
        </w:tc>
        <w:tc>
          <w:tcPr>
            <w:tcW w:type="dxa" w:w="1559"/>
            <w:shd w:color="auto" w:fill="auto" w:val="clear"/>
            <w:vAlign w:val="center"/>
          </w:tcPr>
          <w:p w:rsidP="00AB08FA" w:rsidR="00DE7826" w:rsidRDefault="00AB08FA" w:rsidRPr="00270946">
            <w:pPr>
              <w:jc w:val="center"/>
              <w:rPr>
                <w:rFonts w:ascii="Times New Roman" w:cs="Times New Roman" w:hAnsi="Times New Roman"/>
                <w:sz w:val="24"/>
                <w:szCs w:val="24"/>
              </w:rPr>
            </w:pPr>
            <w:r>
              <w:rPr>
                <w:rFonts w:ascii="Times New Roman" w:cs="Times New Roman" w:hAnsi="Times New Roman"/>
                <w:sz w:val="24"/>
                <w:szCs w:val="24"/>
              </w:rPr>
              <w:lastRenderedPageBreak/>
              <w:t>24.03</w:t>
            </w:r>
            <w:r w:rsidR="003C7F32">
              <w:rPr>
                <w:rFonts w:ascii="Times New Roman" w:cs="Times New Roman" w:hAnsi="Times New Roman"/>
                <w:sz w:val="24"/>
                <w:szCs w:val="24"/>
              </w:rPr>
              <w:t>.20</w:t>
            </w:r>
            <w:r>
              <w:rPr>
                <w:rFonts w:ascii="Times New Roman" w:cs="Times New Roman" w:hAnsi="Times New Roman"/>
                <w:sz w:val="24"/>
                <w:szCs w:val="24"/>
              </w:rPr>
              <w:t>20 г.</w:t>
            </w:r>
          </w:p>
        </w:tc>
        <w:tc>
          <w:tcPr>
            <w:tcW w:type="dxa" w:w="5103"/>
            <w:shd w:color="auto" w:fill="auto" w:val="clear"/>
          </w:tcPr>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 xml:space="preserve">В рамките на законоустановения срок представям на Вашето внимание становището на АИКБ и НСЗКБ по така представеният за обществено обсъждане Проек на процедура за кандидатстване BG06RDNP001-4.011 – Проектни предложения от сдружения за напояване и други юридически лица за </w:t>
            </w:r>
            <w:r w:rsidRPr="00E745F9">
              <w:rPr>
                <w:rFonts w:ascii="Times New Roman" w:cs="Times New Roman" w:hAnsi="Times New Roman"/>
                <w:sz w:val="24"/>
                <w:szCs w:val="24"/>
              </w:rPr>
              <w:lastRenderedPageBreak/>
              <w:t>възстановяване на съществуващи хидромелиоративни съоръжения за напояване по Мярка4.3 от ПРСР 2014-20204 г. :</w:t>
            </w: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1.</w:t>
            </w:r>
            <w:r w:rsidRPr="00E745F9">
              <w:rPr>
                <w:rFonts w:ascii="Times New Roman" w:cs="Times New Roman" w:hAnsi="Times New Roman"/>
                <w:sz w:val="24"/>
                <w:szCs w:val="24"/>
              </w:rPr>
              <w:tab/>
              <w:t>Национлния съюз на кооперциите в България изразява своето категорично несъгласие с така определения бюджет в размер на 9 870 112,90 лева, който считаме за крайно недостатъчен. Предмета на инвестиции по тази процедура обхваща рекунструкция/рехабилитация на определен тип инфраструктура, който е изключително скъп. Определеният максимален праг в размер на левовата равностойност на 1 500 000 ЕВРО е приблизително релният размер на един проект, при който ще се извършва цялостна реконструкция в определено землище. При така определения бюджет той ще стигне едва за 4-5 проекта, което на фона на състоянието на хидромелиоративната инфраструктура в страната е крайно недостатъчно. Ето защо предлагаме размера да бъде удвоен и да бъде в размер на левовата равностойност на 10 000 000 ЕВРО.</w:t>
            </w:r>
          </w:p>
          <w:p w:rsidP="00AB08FA" w:rsidR="00AB08FA" w:rsidRDefault="00AB08FA" w:rsidRPr="00E745F9">
            <w:pPr>
              <w:jc w:val="both"/>
              <w:rPr>
                <w:rFonts w:ascii="Times New Roman" w:cs="Times New Roman" w:hAnsi="Times New Roman"/>
                <w:sz w:val="24"/>
                <w:szCs w:val="24"/>
              </w:rPr>
            </w:pP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2.</w:t>
            </w:r>
            <w:r w:rsidRPr="00E745F9">
              <w:rPr>
                <w:rFonts w:ascii="Times New Roman" w:cs="Times New Roman" w:hAnsi="Times New Roman"/>
                <w:sz w:val="24"/>
                <w:szCs w:val="24"/>
              </w:rPr>
              <w:tab/>
              <w:t xml:space="preserve">В раздел 13.2: Условия за допустимост на дейностите: т. 12.1. се въвежда задължително изискване за предоставяне на учредено право на строеж върху обекта за срок не по-малко от 15.09.2023 г. за проекти, които не са реализирани на собственост на кандидата. Понеже мярката е нова и може би е направена фактическа грешка при разписването но това </w:t>
            </w:r>
            <w:r w:rsidRPr="00E745F9">
              <w:rPr>
                <w:rFonts w:ascii="Times New Roman" w:cs="Times New Roman" w:hAnsi="Times New Roman"/>
                <w:sz w:val="24"/>
                <w:szCs w:val="24"/>
              </w:rPr>
              <w:lastRenderedPageBreak/>
              <w:t>изискване, като същото противоречи на законодателството и не е изпълнимо поради няколко причини:</w:t>
            </w: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w:t>
            </w:r>
            <w:r w:rsidRPr="00E745F9">
              <w:rPr>
                <w:rFonts w:ascii="Times New Roman" w:cs="Times New Roman" w:hAnsi="Times New Roman"/>
                <w:sz w:val="24"/>
                <w:szCs w:val="24"/>
              </w:rPr>
              <w:tab/>
              <w:t xml:space="preserve">„Уредено право на строеж“ е обект на закона на собствеността, а не на ЗУТ, защото касае права на собственост. В почти всички случаи, когато няма собственост на съоръженията от страна на кандидата, то те са или публична държавна или публична общинска собственост. Няма как да бъде издадено уредено право на строеж на друго лице освен на притежателя на публичната собственост. Независимо дали става въпрос за постройки или за линейна инфраструктура. </w:t>
            </w: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w:t>
            </w:r>
            <w:r w:rsidRPr="00E745F9">
              <w:rPr>
                <w:rFonts w:ascii="Times New Roman" w:cs="Times New Roman" w:hAnsi="Times New Roman"/>
                <w:sz w:val="24"/>
                <w:szCs w:val="24"/>
              </w:rPr>
              <w:tab/>
              <w:t xml:space="preserve">Видно от предмета на процедурата, както и на посочените допустими инвестиционни разходи, не се предвижда изграждане на нова инфраструктура. Ето защо недоумение буди заложеното в текста на Условията за кандидатстване изискване да се представя „Уредено право на строеж върху обекта за срок не по-малко от 15.09.2023 г.”. Съгласно Закона за собствеността правото на строеж представлява ограничено вещно право върху чужд недвижим имот, по силата на което притежаващото го лице може да построи определена постройка/обект в този имот и да стане нейн собственик, като основната цел е да се създаде една нова бъдеща вещ. Във въпросния случай става въпрос само за обекти, които вече са построени, с построяването на тази вещ това правото се счита за упражнено и </w:t>
            </w:r>
            <w:r w:rsidRPr="00E745F9">
              <w:rPr>
                <w:rFonts w:ascii="Times New Roman" w:cs="Times New Roman" w:hAnsi="Times New Roman"/>
                <w:sz w:val="24"/>
                <w:szCs w:val="24"/>
              </w:rPr>
              <w:lastRenderedPageBreak/>
              <w:t xml:space="preserve">изчерпано, като няма как да бъде издадено отново за същата вещ. </w:t>
            </w: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w:t>
            </w:r>
            <w:r w:rsidRPr="00E745F9">
              <w:rPr>
                <w:rFonts w:ascii="Times New Roman" w:cs="Times New Roman" w:hAnsi="Times New Roman"/>
                <w:sz w:val="24"/>
                <w:szCs w:val="24"/>
              </w:rPr>
              <w:tab/>
              <w:t>Дали има права за реализиране на строителство се преценява от главния архитект на общината, като това е част от процедурата по издаване на разрешително за строеж или за реконструкция. Ако кандидата няма права то той няма да получи разрешение за строеж. От друга страна в т. 12.2. на раздел  13.2 се изисква документ за право на ползване на обекта за срок не по-малко от 15.09.2023 г.. По този начин се вижда основанието и срока на правата. А от разрешителното за строеж се вижда законовото право.</w:t>
            </w: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В тази връзка предлагаме в текста на Условията за кандидатстване и въобще в теста на процедурата това изискване да бъде премахнато. В противен случай насоките ще съдържат незаконосъобразни текстове, които ще направят невъзможно кандидатстването на всички кандидати, които съоръженията не са тяхна собственост.</w:t>
            </w: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3.</w:t>
            </w:r>
            <w:r w:rsidRPr="00E745F9">
              <w:rPr>
                <w:rFonts w:ascii="Times New Roman" w:cs="Times New Roman" w:hAnsi="Times New Roman"/>
                <w:sz w:val="24"/>
                <w:szCs w:val="24"/>
              </w:rPr>
              <w:tab/>
              <w:t xml:space="preserve">В текста на Условията за кандидатстване е посочено, че трябва да се представи „Влязло в сила Разрешение за строеж на името на кандидата”. Съгласно чл.148, ал.4 от Закона за устройството на територията Разрешението за строеж се издава на Възложителя. Съгласно чл. 161, ал.1 от същия закон  Възложител е собственикът на имота, лицето, на което е учредено право на строеж в чужд имот, и лицето, което има право да строи в чужд имот </w:t>
            </w:r>
            <w:r w:rsidRPr="00E745F9">
              <w:rPr>
                <w:rFonts w:ascii="Times New Roman" w:cs="Times New Roman" w:hAnsi="Times New Roman"/>
                <w:sz w:val="24"/>
                <w:szCs w:val="24"/>
              </w:rPr>
              <w:lastRenderedPageBreak/>
              <w:t>по силата на закон. Изхождайки от хипотезата посочена в предходната точка от настоящотостановище, а именно, че ново строителство не е допустимо по процедурата, то тогава следва да се има предвид, че в случаите, когато инфраструктурата, предмет на инвестицията не е собственост на кандидата, то тогава Разрешението за строеж няма как да бъде издадено на името на кандидата. В тази връзка следва в текста на Условията за кандидатстване и въобще в текста на процедурата да бъде посочено единствено „Влязло в сила Разрешение за строеж” с уточнението, че то касае дейностите по проекта.</w:t>
            </w:r>
          </w:p>
          <w:p w:rsidP="00AB08FA" w:rsidR="00AB08FA" w:rsidRDefault="00AB08FA" w:rsidRPr="00E745F9">
            <w:pPr>
              <w:jc w:val="both"/>
              <w:rPr>
                <w:rFonts w:ascii="Times New Roman" w:cs="Times New Roman" w:hAnsi="Times New Roman"/>
                <w:sz w:val="24"/>
                <w:szCs w:val="24"/>
              </w:rPr>
            </w:pPr>
            <w:r w:rsidRPr="00E745F9">
              <w:rPr>
                <w:rFonts w:ascii="Times New Roman" w:cs="Times New Roman" w:hAnsi="Times New Roman"/>
                <w:sz w:val="24"/>
                <w:szCs w:val="24"/>
              </w:rPr>
              <w:t>4.</w:t>
            </w:r>
            <w:r w:rsidRPr="00E745F9">
              <w:rPr>
                <w:rFonts w:ascii="Times New Roman" w:cs="Times New Roman" w:hAnsi="Times New Roman"/>
                <w:sz w:val="24"/>
                <w:szCs w:val="24"/>
              </w:rPr>
              <w:tab/>
              <w:t xml:space="preserve">Не можем да се съгласим с редакцията на т. 14.1.2.5, където разходите за инвестиции за производство на енергия от ВЕИ не може да надхвърля 2%, тъй като така определената суме е изключително малка. Голяма част от инвестициите в ХМСН ще бъдат извършени в труднодостъпни райони, където няма достъп до електричество. Невъзможността да се финансира производство на енергия от ВЕИ  по цялото трасе на ХМСН, кдето е необходимо, може да застраши правилното изпълнение и последваща екслоатация на хидромелиоративната мрежа. 2% при максималният размер от 6 000 000 евро при кандидат НС ЕАД е относително достатъчен до при кандидати различни от НС ЕАД, 2% от 1 500 000 евро възлиза на до 30 000 евро. 30 000 евро е крайно недостатъчно за оборудване на </w:t>
            </w:r>
            <w:r w:rsidRPr="00E745F9">
              <w:rPr>
                <w:rFonts w:ascii="Times New Roman" w:cs="Times New Roman" w:hAnsi="Times New Roman"/>
                <w:sz w:val="24"/>
                <w:szCs w:val="24"/>
              </w:rPr>
              <w:lastRenderedPageBreak/>
              <w:t xml:space="preserve">инвестиции от такова естество. Ето защо предлагаме процента да се увеличи на 10%. В краен случай сме готови да приемем следната редакция на тази точка: „Разходите за инвестиции за проеизводството на енергия от ВЕИ и/или разходите за закупуване на машини и оборудване, предназнаени за поддържане проводимостта на ХМСН не могат да надхвърлят 10 на сто от разходите по т.1.1.1. буква „а”.” </w:t>
            </w:r>
          </w:p>
          <w:p w:rsidP="00AB08FA" w:rsidR="00AB08FA" w:rsidRDefault="00AB08FA" w:rsidRPr="00D17B77">
            <w:pPr>
              <w:jc w:val="both"/>
              <w:rPr>
                <w:rFonts w:ascii="Times New Roman" w:cs="Times New Roman" w:hAnsi="Times New Roman"/>
                <w:sz w:val="24"/>
                <w:szCs w:val="24"/>
              </w:rPr>
            </w:pPr>
            <w:r w:rsidRPr="00E745F9">
              <w:rPr>
                <w:rFonts w:ascii="Times New Roman" w:cs="Times New Roman" w:hAnsi="Times New Roman"/>
                <w:sz w:val="24"/>
                <w:szCs w:val="24"/>
              </w:rPr>
              <w:t>5.</w:t>
            </w:r>
            <w:r w:rsidRPr="00E745F9">
              <w:rPr>
                <w:rFonts w:ascii="Times New Roman" w:cs="Times New Roman" w:hAnsi="Times New Roman"/>
                <w:sz w:val="24"/>
                <w:szCs w:val="24"/>
              </w:rPr>
              <w:tab/>
              <w:t xml:space="preserve">В точка 21 „Ред за оценяване на проектните предложения” от Условията за кандидатстване е посоено, че проектните предложения ще бъдат оценявани на два етапа: Етап 1: Оценка на административното съответствие и допустимостта и Етап 2: Техническ и финансова оценка. Това изискване е императивно заложено и в чл.29, ал.2, т.1 от Закон за уравление на средствата от европейските структурни и инвестиционни фондове. Видно от точка 21.1 обаче на Етап 1: Оценка на административното съответствие и допустимостта оценителната комисия ще може да извършва оценка на разходите по проекта, като ще има право и да извършва корекции в бюджета на проектното предложение. Същевременно обаче в Етап 2: Техническа и финансова  оценка, по начина по който е записана точка 21.2 оценителната комисия ще извършва оценка съгласно креитерии и методика,посочени в точка 22. В посоените критерии за оценка нито в т.22 нито в раздел 27, </w:t>
            </w:r>
            <w:r w:rsidRPr="00E745F9">
              <w:rPr>
                <w:rFonts w:ascii="Times New Roman" w:cs="Times New Roman" w:hAnsi="Times New Roman"/>
                <w:sz w:val="24"/>
                <w:szCs w:val="24"/>
              </w:rPr>
              <w:lastRenderedPageBreak/>
              <w:t>нито в Приложение 7 към Условията за кандидатстване по настоящата процедура не се предвижда финансова оценка на проектното предложение. Това от своя страна представлява пряко нарушение на императивната разпоредба на чл.29, ал.2, т.1 от Закон за уравление на средствата от европейските структурни и инвестиционни фондове, което ще доведе до опорочаване на цялата процедура.</w:t>
            </w:r>
          </w:p>
        </w:tc>
        <w:tc>
          <w:tcPr>
            <w:tcW w:type="dxa" w:w="4961"/>
            <w:shd w:color="auto" w:fill="auto" w:val="clear"/>
          </w:tcPr>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C03D07" w:rsidR="00AB08FA" w:rsidRDefault="00AB08FA" w:rsidRPr="00686FE1">
            <w:pPr>
              <w:spacing w:after="120"/>
              <w:contextualSpacing/>
              <w:jc w:val="both"/>
              <w:rPr>
                <w:rFonts w:ascii="Times New Roman" w:cs="Times New Roman" w:hAnsi="Times New Roman"/>
                <w:sz w:val="24"/>
                <w:szCs w:val="24"/>
              </w:rPr>
            </w:pPr>
          </w:p>
          <w:p w:rsidP="00EB5594" w:rsidR="00686FE1" w:rsidRDefault="00C03D07">
            <w:pPr>
              <w:contextualSpacing/>
              <w:jc w:val="both"/>
              <w:rPr>
                <w:rFonts w:ascii="Times New Roman" w:cs="Times New Roman" w:hAnsi="Times New Roman"/>
                <w:sz w:val="24"/>
                <w:szCs w:val="24"/>
              </w:rPr>
            </w:pPr>
            <w:r w:rsidRPr="00AC1EF6">
              <w:rPr>
                <w:rFonts w:ascii="Times New Roman" w:cs="Times New Roman" w:hAnsi="Times New Roman"/>
                <w:sz w:val="24"/>
                <w:szCs w:val="24"/>
              </w:rPr>
              <w:t>1. Не се приема</w:t>
            </w:r>
            <w:r w:rsidR="00AB08FA" w:rsidRPr="00AC1EF6">
              <w:rPr>
                <w:rFonts w:ascii="Times New Roman" w:cs="Times New Roman" w:hAnsi="Times New Roman"/>
                <w:sz w:val="24"/>
                <w:szCs w:val="24"/>
              </w:rPr>
              <w:t>.</w:t>
            </w:r>
          </w:p>
          <w:p w:rsidP="00EB5594" w:rsidR="00C03D07" w:rsidRDefault="00D84ED3" w:rsidRPr="00686FE1">
            <w:pPr>
              <w:pStyle w:val="Default"/>
              <w:jc w:val="both"/>
            </w:pPr>
            <w:r w:rsidRPr="00686FE1">
              <w:t>Р</w:t>
            </w:r>
            <w:r w:rsidR="00F34FFE" w:rsidRPr="00686FE1">
              <w:t>азпределени</w:t>
            </w:r>
            <w:r w:rsidR="00686FE1" w:rsidRPr="00686FE1">
              <w:t>е</w:t>
            </w:r>
            <w:r w:rsidRPr="00686FE1">
              <w:t>то на</w:t>
            </w:r>
            <w:r w:rsidR="00F34FFE" w:rsidRPr="00686FE1">
              <w:t xml:space="preserve"> бюджет</w:t>
            </w:r>
            <w:r w:rsidRPr="00686FE1">
              <w:t>ите</w:t>
            </w:r>
            <w:r w:rsidR="00F34FFE" w:rsidRPr="00686FE1">
              <w:t xml:space="preserve"> </w:t>
            </w:r>
            <w:r w:rsidRPr="00686FE1">
              <w:t>по</w:t>
            </w:r>
            <w:r w:rsidR="00F34FFE" w:rsidRPr="00686FE1">
              <w:t xml:space="preserve"> двете процедури за подбор на проектни предложения </w:t>
            </w:r>
            <w:r w:rsidRPr="00686FE1">
              <w:t>е съобразен с</w:t>
            </w:r>
            <w:r w:rsidR="00F239C0">
              <w:t xml:space="preserve"> общия размер на средствата </w:t>
            </w:r>
            <w:r w:rsidR="00F239C0" w:rsidRPr="00686FE1">
              <w:t>по подмярка 4.3</w:t>
            </w:r>
            <w:r w:rsidR="00F239C0">
              <w:t>. От друга страна определените средства за процедурите в обхвата на подмярката са съобразени и с наличните данни в О</w:t>
            </w:r>
            <w:r w:rsidR="00F239C0" w:rsidRPr="00F239C0">
              <w:t>бща</w:t>
            </w:r>
            <w:r w:rsidR="00F239C0">
              <w:t>та</w:t>
            </w:r>
            <w:r w:rsidR="00F239C0" w:rsidRPr="00F239C0">
              <w:t xml:space="preserve"> стратегия за управление и развитие на хидромелиоративния сектор</w:t>
            </w:r>
            <w:r w:rsidR="00F239C0">
              <w:t xml:space="preserve"> по отношение </w:t>
            </w:r>
            <w:r w:rsidRPr="00686FE1">
              <w:t xml:space="preserve"> </w:t>
            </w:r>
            <w:r w:rsidR="00F239C0">
              <w:t>обема</w:t>
            </w:r>
            <w:r w:rsidR="00F34FFE" w:rsidRPr="00686FE1">
              <w:t xml:space="preserve"> на </w:t>
            </w:r>
            <w:r w:rsidRPr="00686FE1">
              <w:t xml:space="preserve">напояваните площи в страната и </w:t>
            </w:r>
            <w:r w:rsidR="00F34FFE" w:rsidRPr="00686FE1">
              <w:t>стопанисван</w:t>
            </w:r>
            <w:r w:rsidRPr="00686FE1">
              <w:t>ата инфраструктура за напояване от</w:t>
            </w:r>
            <w:r w:rsidR="00F34FFE" w:rsidRPr="00686FE1">
              <w:t xml:space="preserve"> </w:t>
            </w:r>
            <w:r w:rsidR="00F239C0">
              <w:t>различните видове допустими потенциални кандидати определени във всяка една процедура</w:t>
            </w:r>
            <w:r w:rsidRPr="00686FE1">
              <w:t>.</w:t>
            </w:r>
          </w:p>
          <w:p w:rsidP="00EB5594" w:rsidR="00C03D07" w:rsidRDefault="00C03D07" w:rsidRPr="00686FE1">
            <w:pPr>
              <w:contextualSpacing/>
              <w:jc w:val="both"/>
              <w:rPr>
                <w:rFonts w:ascii="Times New Roman" w:cs="Times New Roman" w:hAnsi="Times New Roman"/>
                <w:sz w:val="24"/>
                <w:szCs w:val="24"/>
              </w:rPr>
            </w:pPr>
          </w:p>
          <w:p w:rsidP="00EB5594" w:rsidR="00DE282B" w:rsidRDefault="00DE282B" w:rsidRPr="00686FE1">
            <w:pPr>
              <w:contextualSpacing/>
              <w:jc w:val="both"/>
              <w:rPr>
                <w:rFonts w:ascii="Times New Roman" w:cs="Times New Roman" w:hAnsi="Times New Roman"/>
                <w:sz w:val="24"/>
                <w:szCs w:val="24"/>
              </w:rPr>
            </w:pPr>
          </w:p>
          <w:p w:rsidP="00EB5594" w:rsidR="00DE282B" w:rsidRDefault="00DE282B" w:rsidRPr="00686FE1">
            <w:pPr>
              <w:contextualSpacing/>
              <w:jc w:val="both"/>
              <w:rPr>
                <w:rFonts w:ascii="Times New Roman" w:cs="Times New Roman" w:hAnsi="Times New Roman"/>
                <w:sz w:val="24"/>
                <w:szCs w:val="24"/>
              </w:rPr>
            </w:pPr>
          </w:p>
          <w:p w:rsidP="00EB5594" w:rsidR="00DE282B" w:rsidRDefault="00DE282B" w:rsidRPr="00686FE1">
            <w:pPr>
              <w:contextualSpacing/>
              <w:jc w:val="both"/>
              <w:rPr>
                <w:rFonts w:ascii="Times New Roman" w:cs="Times New Roman" w:hAnsi="Times New Roman"/>
                <w:sz w:val="24"/>
                <w:szCs w:val="24"/>
              </w:rPr>
            </w:pPr>
          </w:p>
          <w:p w:rsidP="00EB5594" w:rsidR="00DE282B" w:rsidRDefault="00DE282B" w:rsidRPr="00686FE1">
            <w:pPr>
              <w:contextualSpacing/>
              <w:jc w:val="both"/>
              <w:rPr>
                <w:rFonts w:ascii="Times New Roman" w:cs="Times New Roman" w:hAnsi="Times New Roman"/>
                <w:sz w:val="24"/>
                <w:szCs w:val="24"/>
              </w:rPr>
            </w:pPr>
          </w:p>
          <w:p w:rsidP="00EB5594" w:rsidR="00DE282B" w:rsidRDefault="00DE282B" w:rsidRPr="00686FE1">
            <w:pPr>
              <w:contextualSpacing/>
              <w:jc w:val="both"/>
              <w:rPr>
                <w:rFonts w:ascii="Times New Roman" w:cs="Times New Roman" w:hAnsi="Times New Roman"/>
                <w:sz w:val="24"/>
                <w:szCs w:val="24"/>
              </w:rPr>
            </w:pPr>
          </w:p>
          <w:p w:rsidP="00C01447" w:rsidR="00686FE1" w:rsidRDefault="00F34FFE">
            <w:pPr>
              <w:spacing w:after="120"/>
              <w:contextualSpacing/>
              <w:jc w:val="both"/>
              <w:rPr>
                <w:rFonts w:ascii="Times New Roman" w:cs="Times New Roman" w:hAnsi="Times New Roman"/>
                <w:sz w:val="24"/>
                <w:szCs w:val="24"/>
              </w:rPr>
            </w:pPr>
            <w:r w:rsidRPr="00686FE1">
              <w:rPr>
                <w:rFonts w:ascii="Times New Roman" w:cs="Times New Roman" w:hAnsi="Times New Roman"/>
                <w:sz w:val="24"/>
                <w:szCs w:val="24"/>
              </w:rPr>
              <w:t xml:space="preserve">2. </w:t>
            </w:r>
            <w:r w:rsidR="00686FE1">
              <w:rPr>
                <w:rFonts w:ascii="Times New Roman" w:cs="Times New Roman" w:hAnsi="Times New Roman"/>
                <w:sz w:val="24"/>
                <w:szCs w:val="24"/>
              </w:rPr>
              <w:t>Не се приема.</w:t>
            </w:r>
          </w:p>
          <w:p w:rsidP="00C01447" w:rsidR="006E2249" w:rsidRDefault="00D61366">
            <w:pPr>
              <w:spacing w:after="120"/>
              <w:contextualSpacing/>
              <w:jc w:val="both"/>
              <w:rPr>
                <w:rFonts w:ascii="Times New Roman" w:cs="Times New Roman" w:hAnsi="Times New Roman"/>
                <w:sz w:val="24"/>
                <w:szCs w:val="24"/>
              </w:rPr>
            </w:pPr>
            <w:r w:rsidRPr="00686FE1">
              <w:rPr>
                <w:rFonts w:ascii="Times New Roman" w:cs="Times New Roman" w:hAnsi="Times New Roman"/>
                <w:sz w:val="24"/>
                <w:szCs w:val="24"/>
              </w:rPr>
              <w:t>Условието по т. 12.1. от раздел 13.2: Условия за допустимост на дейностите е задължително</w:t>
            </w:r>
            <w:r w:rsidR="00772541">
              <w:rPr>
                <w:rFonts w:ascii="Times New Roman" w:cs="Times New Roman" w:hAnsi="Times New Roman"/>
                <w:sz w:val="24"/>
                <w:szCs w:val="24"/>
              </w:rPr>
              <w:t xml:space="preserve"> само</w:t>
            </w:r>
            <w:r w:rsidRPr="00686FE1">
              <w:rPr>
                <w:rFonts w:ascii="Times New Roman" w:cs="Times New Roman" w:hAnsi="Times New Roman"/>
                <w:sz w:val="24"/>
                <w:szCs w:val="24"/>
              </w:rPr>
              <w:t xml:space="preserve"> </w:t>
            </w:r>
            <w:r w:rsidRPr="00686FE1">
              <w:rPr>
                <w:rFonts w:ascii="Times New Roman" w:cs="Times New Roman" w:hAnsi="Times New Roman"/>
                <w:i/>
                <w:sz w:val="24"/>
                <w:szCs w:val="24"/>
              </w:rPr>
              <w:t xml:space="preserve">„в случай на кандидатстване за разходи за СМР за основен ремонт, реконструкция, надстрояване и/или пристрояване на съществуващ строеж, за които се изисква разрешение за строеж, съгласно Закона за </w:t>
            </w:r>
            <w:r w:rsidRPr="00686FE1">
              <w:rPr>
                <w:rFonts w:ascii="Times New Roman" w:cs="Times New Roman" w:hAnsi="Times New Roman"/>
                <w:i/>
                <w:sz w:val="24"/>
                <w:szCs w:val="24"/>
              </w:rPr>
              <w:lastRenderedPageBreak/>
              <w:t>устройство на територията (ЗУТ)“</w:t>
            </w:r>
            <w:r w:rsidRPr="00686FE1">
              <w:rPr>
                <w:rFonts w:ascii="Times New Roman" w:cs="Times New Roman" w:hAnsi="Times New Roman"/>
                <w:sz w:val="24"/>
                <w:szCs w:val="24"/>
              </w:rPr>
              <w:t xml:space="preserve">. </w:t>
            </w:r>
            <w:r w:rsidR="006E2249" w:rsidRPr="00686FE1">
              <w:rPr>
                <w:rFonts w:ascii="Times New Roman" w:cs="Times New Roman" w:hAnsi="Times New Roman"/>
                <w:sz w:val="24"/>
                <w:szCs w:val="24"/>
              </w:rPr>
              <w:t xml:space="preserve">В останалите случаи, когато кандидатът не е собственик на обекта на инвестицията, се прилага т. 12.2. от същия раздел, според която се изисква представянето на </w:t>
            </w:r>
            <w:r w:rsidR="006E2249" w:rsidRPr="00686FE1">
              <w:rPr>
                <w:rFonts w:ascii="Times New Roman" w:cs="Times New Roman" w:hAnsi="Times New Roman"/>
                <w:i/>
                <w:sz w:val="24"/>
                <w:szCs w:val="24"/>
              </w:rPr>
              <w:t>„документ за право на ползване на обекта“</w:t>
            </w:r>
            <w:r w:rsidR="006E2249" w:rsidRPr="00686FE1">
              <w:rPr>
                <w:rFonts w:ascii="Times New Roman" w:cs="Times New Roman" w:hAnsi="Times New Roman"/>
                <w:sz w:val="24"/>
                <w:szCs w:val="24"/>
              </w:rPr>
              <w:t>, отговарящ на описаните изисквания.</w:t>
            </w:r>
          </w:p>
          <w:p w:rsidP="00C01447" w:rsidR="007B2E30" w:rsidRDefault="006E2249" w:rsidRPr="00686FE1">
            <w:pPr>
              <w:spacing w:after="120"/>
              <w:contextualSpacing/>
              <w:jc w:val="both"/>
              <w:rPr>
                <w:rFonts w:ascii="Times New Roman" w:cs="Times New Roman" w:hAnsi="Times New Roman"/>
                <w:sz w:val="24"/>
                <w:szCs w:val="24"/>
              </w:rPr>
            </w:pPr>
            <w:r>
              <w:rPr>
                <w:rFonts w:ascii="Times New Roman" w:cs="Times New Roman" w:hAnsi="Times New Roman"/>
                <w:sz w:val="24"/>
                <w:szCs w:val="24"/>
              </w:rPr>
              <w:t>Учреденото право на строеж</w:t>
            </w:r>
            <w:r w:rsidR="007B2E30" w:rsidRPr="00686FE1">
              <w:rPr>
                <w:rFonts w:ascii="Times New Roman" w:cs="Times New Roman" w:hAnsi="Times New Roman"/>
                <w:sz w:val="24"/>
                <w:szCs w:val="24"/>
              </w:rPr>
              <w:t xml:space="preserve"> </w:t>
            </w:r>
            <w:r w:rsidR="00686FE1">
              <w:rPr>
                <w:rFonts w:ascii="Times New Roman" w:cs="Times New Roman" w:hAnsi="Times New Roman"/>
                <w:sz w:val="24"/>
                <w:szCs w:val="24"/>
              </w:rPr>
              <w:t xml:space="preserve">е </w:t>
            </w:r>
            <w:r>
              <w:rPr>
                <w:rFonts w:ascii="Times New Roman" w:cs="Times New Roman" w:hAnsi="Times New Roman"/>
                <w:sz w:val="24"/>
                <w:szCs w:val="24"/>
              </w:rPr>
              <w:t xml:space="preserve">документ, </w:t>
            </w:r>
            <w:r w:rsidR="00686FE1">
              <w:rPr>
                <w:rFonts w:ascii="Times New Roman" w:cs="Times New Roman" w:hAnsi="Times New Roman"/>
                <w:sz w:val="24"/>
                <w:szCs w:val="24"/>
              </w:rPr>
              <w:t>предвиден като един от възможните варианти за доказване на право на собственост/ползване на обекта на инвестицията</w:t>
            </w:r>
            <w:r w:rsidR="00BE7B1B">
              <w:rPr>
                <w:rFonts w:ascii="Times New Roman" w:cs="Times New Roman" w:hAnsi="Times New Roman"/>
                <w:sz w:val="24"/>
                <w:szCs w:val="24"/>
              </w:rPr>
              <w:t>, а не като част от техническата документация във връзка със ЗУТ</w:t>
            </w:r>
            <w:r w:rsidR="00350688">
              <w:rPr>
                <w:rFonts w:ascii="Times New Roman" w:cs="Times New Roman" w:hAnsi="Times New Roman"/>
                <w:sz w:val="24"/>
                <w:szCs w:val="24"/>
              </w:rPr>
              <w:t>.</w:t>
            </w:r>
            <w:r w:rsidR="00686FE1">
              <w:rPr>
                <w:rFonts w:ascii="Times New Roman" w:cs="Times New Roman" w:hAnsi="Times New Roman"/>
                <w:sz w:val="24"/>
                <w:szCs w:val="24"/>
              </w:rPr>
              <w:t xml:space="preserve"> </w:t>
            </w:r>
            <w:r w:rsidR="00350688">
              <w:rPr>
                <w:rFonts w:ascii="Times New Roman" w:cs="Times New Roman" w:hAnsi="Times New Roman"/>
                <w:sz w:val="24"/>
                <w:szCs w:val="24"/>
              </w:rPr>
              <w:t>О</w:t>
            </w:r>
            <w:r w:rsidR="00686FE1">
              <w:rPr>
                <w:rFonts w:ascii="Times New Roman" w:cs="Times New Roman" w:hAnsi="Times New Roman"/>
                <w:sz w:val="24"/>
                <w:szCs w:val="24"/>
              </w:rPr>
              <w:t>бвърз</w:t>
            </w:r>
            <w:r w:rsidR="00350688">
              <w:rPr>
                <w:rFonts w:ascii="Times New Roman" w:cs="Times New Roman" w:hAnsi="Times New Roman"/>
                <w:sz w:val="24"/>
                <w:szCs w:val="24"/>
              </w:rPr>
              <w:t>ването</w:t>
            </w:r>
            <w:r w:rsidR="00686FE1">
              <w:rPr>
                <w:rFonts w:ascii="Times New Roman" w:cs="Times New Roman" w:hAnsi="Times New Roman"/>
                <w:sz w:val="24"/>
                <w:szCs w:val="24"/>
              </w:rPr>
              <w:t xml:space="preserve"> със ЗУТ </w:t>
            </w:r>
            <w:r w:rsidR="00350688">
              <w:rPr>
                <w:rFonts w:ascii="Times New Roman" w:cs="Times New Roman" w:hAnsi="Times New Roman"/>
                <w:sz w:val="24"/>
                <w:szCs w:val="24"/>
              </w:rPr>
              <w:t xml:space="preserve">е </w:t>
            </w:r>
            <w:r w:rsidR="00686FE1">
              <w:rPr>
                <w:rFonts w:ascii="Times New Roman" w:cs="Times New Roman" w:hAnsi="Times New Roman"/>
                <w:sz w:val="24"/>
                <w:szCs w:val="24"/>
              </w:rPr>
              <w:t xml:space="preserve">само по отношение на случаите, в които </w:t>
            </w:r>
            <w:r w:rsidR="00BE7B1B">
              <w:rPr>
                <w:rFonts w:ascii="Times New Roman" w:cs="Times New Roman" w:hAnsi="Times New Roman"/>
                <w:sz w:val="24"/>
                <w:szCs w:val="24"/>
              </w:rPr>
              <w:t>учреденото право на строеж е станало основание за издаване на разрешителното за строеж</w:t>
            </w:r>
            <w:r w:rsidR="007B2E30" w:rsidRPr="00686FE1">
              <w:rPr>
                <w:rFonts w:ascii="Times New Roman" w:cs="Times New Roman" w:hAnsi="Times New Roman"/>
                <w:sz w:val="24"/>
                <w:szCs w:val="24"/>
              </w:rPr>
              <w:t>.</w:t>
            </w:r>
          </w:p>
          <w:p w:rsidP="00C01447" w:rsidR="00DE282B" w:rsidRDefault="00DE282B" w:rsidRPr="00686FE1">
            <w:pPr>
              <w:spacing w:after="120"/>
              <w:contextualSpacing/>
              <w:jc w:val="both"/>
              <w:rPr>
                <w:rFonts w:ascii="Times New Roman" w:cs="Times New Roman" w:hAnsi="Times New Roman"/>
                <w:sz w:val="24"/>
                <w:szCs w:val="24"/>
              </w:rPr>
            </w:pPr>
          </w:p>
          <w:p w:rsidP="00C01447" w:rsidR="00DE282B" w:rsidRDefault="00375AB4" w:rsidRPr="00686FE1">
            <w:pPr>
              <w:spacing w:after="120"/>
              <w:contextualSpacing/>
              <w:jc w:val="both"/>
              <w:rPr>
                <w:rFonts w:ascii="Times New Roman" w:cs="Times New Roman" w:hAnsi="Times New Roman"/>
                <w:sz w:val="24"/>
                <w:szCs w:val="24"/>
              </w:rPr>
            </w:pPr>
            <w:r w:rsidRPr="00686FE1">
              <w:rPr>
                <w:rFonts w:ascii="Times New Roman" w:cs="Times New Roman" w:hAnsi="Times New Roman"/>
                <w:sz w:val="24"/>
                <w:szCs w:val="24"/>
              </w:rPr>
              <w:t>В допълнение</w:t>
            </w:r>
            <w:r w:rsidR="006E2249">
              <w:rPr>
                <w:rFonts w:ascii="Times New Roman" w:cs="Times New Roman" w:hAnsi="Times New Roman"/>
                <w:sz w:val="24"/>
                <w:szCs w:val="24"/>
              </w:rPr>
              <w:t>,</w:t>
            </w:r>
            <w:r w:rsidRPr="00686FE1">
              <w:rPr>
                <w:rFonts w:ascii="Times New Roman" w:cs="Times New Roman" w:hAnsi="Times New Roman"/>
                <w:sz w:val="24"/>
                <w:szCs w:val="24"/>
              </w:rPr>
              <w:t xml:space="preserve"> съгласно чл. 137 от ЗУТ </w:t>
            </w:r>
            <w:r w:rsidR="008924D7" w:rsidRPr="00686FE1">
              <w:rPr>
                <w:rFonts w:ascii="Times New Roman" w:cs="Times New Roman" w:hAnsi="Times New Roman"/>
                <w:sz w:val="24"/>
                <w:szCs w:val="24"/>
              </w:rPr>
              <w:t>оределянето на</w:t>
            </w:r>
            <w:r w:rsidRPr="00686FE1">
              <w:rPr>
                <w:rFonts w:ascii="Times New Roman" w:cs="Times New Roman" w:hAnsi="Times New Roman"/>
                <w:sz w:val="24"/>
                <w:szCs w:val="24"/>
              </w:rPr>
              <w:t xml:space="preserve"> категорията на строежите </w:t>
            </w:r>
            <w:r w:rsidR="008924D7" w:rsidRPr="00686FE1">
              <w:rPr>
                <w:rFonts w:ascii="Times New Roman" w:cs="Times New Roman" w:hAnsi="Times New Roman"/>
                <w:sz w:val="24"/>
                <w:szCs w:val="24"/>
              </w:rPr>
              <w:t xml:space="preserve">е в зависимост от характеристиките, значимостта, сложността и рисковете при експлоатация строежите, като </w:t>
            </w:r>
            <w:r w:rsidRPr="00686FE1">
              <w:rPr>
                <w:rFonts w:ascii="Times New Roman" w:cs="Times New Roman" w:hAnsi="Times New Roman"/>
                <w:sz w:val="24"/>
                <w:szCs w:val="24"/>
              </w:rPr>
              <w:t xml:space="preserve">включва </w:t>
            </w:r>
            <w:r w:rsidR="00EF0D58" w:rsidRPr="00686FE1">
              <w:rPr>
                <w:rFonts w:ascii="Times New Roman" w:cs="Times New Roman" w:hAnsi="Times New Roman"/>
                <w:sz w:val="24"/>
                <w:szCs w:val="24"/>
              </w:rPr>
              <w:t>както тяхното изграждане, така и</w:t>
            </w:r>
            <w:r w:rsidRPr="00686FE1">
              <w:rPr>
                <w:rFonts w:ascii="Times New Roman" w:cs="Times New Roman" w:hAnsi="Times New Roman"/>
                <w:sz w:val="24"/>
                <w:szCs w:val="24"/>
              </w:rPr>
              <w:t xml:space="preserve"> тяхната реконструкция и основен ремонт</w:t>
            </w:r>
            <w:r w:rsidR="003D488A">
              <w:rPr>
                <w:rFonts w:ascii="Times New Roman" w:cs="Times New Roman" w:hAnsi="Times New Roman"/>
              </w:rPr>
              <w:t>, т.е. строеж не е само ново строителство, а и реконструкцията.</w:t>
            </w:r>
          </w:p>
          <w:p w:rsidP="00C01447" w:rsidR="00DE282B" w:rsidRDefault="00DE282B" w:rsidRPr="00686FE1">
            <w:pPr>
              <w:spacing w:after="120"/>
              <w:contextualSpacing/>
              <w:jc w:val="both"/>
              <w:rPr>
                <w:rFonts w:ascii="Times New Roman" w:cs="Times New Roman" w:hAnsi="Times New Roman"/>
                <w:sz w:val="24"/>
                <w:szCs w:val="24"/>
              </w:rPr>
            </w:pPr>
          </w:p>
          <w:p w:rsidP="00C01447" w:rsidR="00DE282B" w:rsidRDefault="00DE282B" w:rsidRPr="00686FE1">
            <w:pPr>
              <w:spacing w:after="120"/>
              <w:contextualSpacing/>
              <w:jc w:val="both"/>
              <w:rPr>
                <w:rFonts w:ascii="Times New Roman" w:cs="Times New Roman" w:hAnsi="Times New Roman"/>
                <w:sz w:val="24"/>
                <w:szCs w:val="24"/>
              </w:rPr>
            </w:pPr>
          </w:p>
          <w:p w:rsidP="00C01447" w:rsidR="00DE282B" w:rsidRDefault="00DE282B" w:rsidRPr="00686FE1">
            <w:pPr>
              <w:spacing w:after="120"/>
              <w:contextualSpacing/>
              <w:jc w:val="both"/>
              <w:rPr>
                <w:rFonts w:ascii="Times New Roman" w:cs="Times New Roman" w:hAnsi="Times New Roman"/>
                <w:sz w:val="24"/>
                <w:szCs w:val="24"/>
              </w:rPr>
            </w:pPr>
          </w:p>
          <w:p w:rsidP="00C01447" w:rsidR="00DE282B" w:rsidRDefault="00DE282B" w:rsidRPr="00686FE1">
            <w:pPr>
              <w:spacing w:after="120"/>
              <w:contextualSpacing/>
              <w:jc w:val="both"/>
              <w:rPr>
                <w:rFonts w:ascii="Times New Roman" w:cs="Times New Roman" w:hAnsi="Times New Roman"/>
                <w:sz w:val="24"/>
                <w:szCs w:val="24"/>
              </w:rPr>
            </w:pPr>
          </w:p>
          <w:p w:rsidP="00C01447" w:rsidR="00DE282B" w:rsidRDefault="00DE282B" w:rsidRPr="00686FE1">
            <w:pPr>
              <w:spacing w:after="120"/>
              <w:contextualSpacing/>
              <w:jc w:val="both"/>
              <w:rPr>
                <w:rFonts w:ascii="Times New Roman" w:cs="Times New Roman" w:hAnsi="Times New Roman"/>
                <w:sz w:val="24"/>
                <w:szCs w:val="24"/>
              </w:rPr>
            </w:pPr>
          </w:p>
          <w:p w:rsidP="00C01447" w:rsidR="00DE282B" w:rsidRDefault="00DE282B"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rsidRPr="00686FE1">
            <w:pPr>
              <w:spacing w:after="120"/>
              <w:contextualSpacing/>
              <w:jc w:val="both"/>
              <w:rPr>
                <w:rFonts w:ascii="Times New Roman" w:cs="Times New Roman" w:hAnsi="Times New Roman"/>
                <w:sz w:val="24"/>
                <w:szCs w:val="24"/>
              </w:rPr>
            </w:pPr>
          </w:p>
          <w:p w:rsidP="00C01447" w:rsidR="00D61366" w:rsidRDefault="00D61366">
            <w:pPr>
              <w:spacing w:after="120"/>
              <w:contextualSpacing/>
              <w:jc w:val="both"/>
              <w:rPr>
                <w:rFonts w:ascii="Times New Roman" w:cs="Times New Roman" w:hAnsi="Times New Roman"/>
                <w:sz w:val="24"/>
                <w:szCs w:val="24"/>
              </w:rPr>
            </w:pPr>
          </w:p>
          <w:p w:rsidP="00C01447" w:rsidR="00C05A5D" w:rsidRDefault="00C05A5D">
            <w:pPr>
              <w:spacing w:after="120"/>
              <w:contextualSpacing/>
              <w:jc w:val="both"/>
              <w:rPr>
                <w:rFonts w:ascii="Times New Roman" w:cs="Times New Roman" w:hAnsi="Times New Roman"/>
                <w:sz w:val="24"/>
                <w:szCs w:val="24"/>
              </w:rPr>
            </w:pPr>
          </w:p>
          <w:p w:rsidP="00C01447" w:rsidR="00C05A5D" w:rsidRDefault="00C05A5D">
            <w:pPr>
              <w:spacing w:after="120"/>
              <w:contextualSpacing/>
              <w:jc w:val="both"/>
              <w:rPr>
                <w:rFonts w:ascii="Times New Roman" w:cs="Times New Roman" w:hAnsi="Times New Roman"/>
                <w:sz w:val="24"/>
                <w:szCs w:val="24"/>
              </w:rPr>
            </w:pPr>
          </w:p>
          <w:p w:rsidP="00C01447" w:rsidR="00C05A5D" w:rsidRDefault="00C05A5D">
            <w:pPr>
              <w:spacing w:after="120"/>
              <w:contextualSpacing/>
              <w:jc w:val="both"/>
              <w:rPr>
                <w:rFonts w:ascii="Times New Roman" w:cs="Times New Roman" w:hAnsi="Times New Roman"/>
                <w:sz w:val="24"/>
                <w:szCs w:val="24"/>
              </w:rPr>
            </w:pPr>
          </w:p>
          <w:p w:rsidP="00C01447" w:rsidR="00C05A5D" w:rsidRDefault="00C05A5D">
            <w:pPr>
              <w:spacing w:after="120"/>
              <w:contextualSpacing/>
              <w:jc w:val="both"/>
              <w:rPr>
                <w:rFonts w:ascii="Times New Roman" w:cs="Times New Roman" w:hAnsi="Times New Roman"/>
                <w:sz w:val="24"/>
                <w:szCs w:val="24"/>
              </w:rPr>
            </w:pPr>
          </w:p>
          <w:p w:rsidP="00C01447" w:rsidR="00C05A5D" w:rsidRDefault="00C05A5D">
            <w:pPr>
              <w:spacing w:after="120"/>
              <w:contextualSpacing/>
              <w:jc w:val="both"/>
              <w:rPr>
                <w:rFonts w:ascii="Times New Roman" w:cs="Times New Roman" w:hAnsi="Times New Roman"/>
                <w:sz w:val="24"/>
                <w:szCs w:val="24"/>
              </w:rPr>
            </w:pPr>
          </w:p>
          <w:p w:rsidP="00D61366" w:rsidR="003D488A" w:rsidRDefault="00D61366">
            <w:pPr>
              <w:contextualSpacing/>
              <w:jc w:val="both"/>
              <w:rPr>
                <w:rFonts w:ascii="Times New Roman" w:cs="Times New Roman" w:hAnsi="Times New Roman"/>
                <w:sz w:val="24"/>
                <w:szCs w:val="24"/>
              </w:rPr>
            </w:pPr>
            <w:r w:rsidRPr="00686FE1">
              <w:rPr>
                <w:rFonts w:ascii="Times New Roman" w:cs="Times New Roman" w:hAnsi="Times New Roman"/>
                <w:sz w:val="24"/>
                <w:szCs w:val="24"/>
              </w:rPr>
              <w:t xml:space="preserve">3. </w:t>
            </w:r>
            <w:r w:rsidR="003D488A">
              <w:rPr>
                <w:rFonts w:ascii="Times New Roman" w:cs="Times New Roman" w:hAnsi="Times New Roman"/>
                <w:sz w:val="24"/>
                <w:szCs w:val="24"/>
              </w:rPr>
              <w:t>Приема се.</w:t>
            </w:r>
          </w:p>
          <w:p w:rsidP="00D61366" w:rsidR="00DE282B" w:rsidRDefault="00426D71" w:rsidRPr="00686FE1">
            <w:pPr>
              <w:contextualSpacing/>
              <w:jc w:val="both"/>
              <w:rPr>
                <w:rFonts w:ascii="Times New Roman" w:cs="Times New Roman" w:hAnsi="Times New Roman"/>
                <w:b/>
                <w:bCs/>
                <w:sz w:val="24"/>
                <w:szCs w:val="24"/>
              </w:rPr>
            </w:pPr>
            <w:r w:rsidRPr="00686FE1">
              <w:rPr>
                <w:rFonts w:ascii="Times New Roman" w:cs="Times New Roman" w:hAnsi="Times New Roman"/>
                <w:sz w:val="24"/>
                <w:szCs w:val="24"/>
              </w:rPr>
              <w:t>Текстът е прецизиран.</w:t>
            </w:r>
          </w:p>
          <w:p w:rsidP="00D61366" w:rsidR="003E2096" w:rsidRDefault="003E2096" w:rsidRPr="00686FE1">
            <w:pPr>
              <w:rPr>
                <w:rFonts w:ascii="Times New Roman" w:cs="Times New Roman" w:hAnsi="Times New Roman"/>
              </w:rPr>
            </w:pPr>
          </w:p>
          <w:p w:rsidP="007B5454" w:rsidR="00DE282B" w:rsidRDefault="00DE282B"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E282B" w:rsidRDefault="00DE282B"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3E2096" w:rsidRDefault="003E209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3E2096" w:rsidRDefault="003E209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3E2096" w:rsidRDefault="003E209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3E2096" w:rsidRDefault="003E209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3E2096" w:rsidRDefault="003E209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3E2096" w:rsidRDefault="003E209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3E2096" w:rsidRDefault="003E209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D61366" w:rsidRDefault="00D61366" w:rsidRPr="00686FE1">
            <w:pPr>
              <w:pStyle w:val="2"/>
              <w:spacing w:before="0"/>
              <w:jc w:val="both"/>
              <w:outlineLvl w:val="1"/>
              <w:rPr>
                <w:rFonts w:ascii="Times New Roman" w:cs="Times New Roman" w:eastAsiaTheme="minorHAnsi" w:hAnsi="Times New Roman"/>
                <w:b w:val="0"/>
                <w:bCs w:val="0"/>
                <w:color w:val="auto"/>
                <w:sz w:val="24"/>
                <w:szCs w:val="24"/>
              </w:rPr>
            </w:pPr>
          </w:p>
          <w:p w:rsidP="007B5454" w:rsidR="00C05A5D" w:rsidRDefault="00C05A5D">
            <w:pPr>
              <w:contextualSpacing/>
              <w:jc w:val="both"/>
              <w:rPr>
                <w:rFonts w:ascii="Times New Roman" w:cs="Times New Roman" w:hAnsi="Times New Roman"/>
                <w:bCs/>
                <w:sz w:val="24"/>
                <w:szCs w:val="24"/>
              </w:rPr>
            </w:pPr>
          </w:p>
          <w:p w:rsidP="007B5454" w:rsidR="00C05A5D" w:rsidRDefault="00C05A5D">
            <w:pPr>
              <w:contextualSpacing/>
              <w:jc w:val="both"/>
              <w:rPr>
                <w:rFonts w:ascii="Times New Roman" w:cs="Times New Roman" w:hAnsi="Times New Roman"/>
                <w:bCs/>
                <w:sz w:val="24"/>
                <w:szCs w:val="24"/>
              </w:rPr>
            </w:pPr>
          </w:p>
          <w:p w:rsidP="007B5454" w:rsidR="00C05A5D" w:rsidRDefault="00C05A5D">
            <w:pPr>
              <w:contextualSpacing/>
              <w:jc w:val="both"/>
              <w:rPr>
                <w:rFonts w:ascii="Times New Roman" w:cs="Times New Roman" w:hAnsi="Times New Roman"/>
                <w:bCs/>
                <w:sz w:val="24"/>
                <w:szCs w:val="24"/>
              </w:rPr>
            </w:pPr>
          </w:p>
          <w:p w:rsidP="007B5454" w:rsidR="00C05A5D" w:rsidRDefault="00C05A5D">
            <w:pPr>
              <w:contextualSpacing/>
              <w:jc w:val="both"/>
              <w:rPr>
                <w:rFonts w:ascii="Times New Roman" w:cs="Times New Roman" w:hAnsi="Times New Roman"/>
                <w:bCs/>
                <w:sz w:val="24"/>
                <w:szCs w:val="24"/>
              </w:rPr>
            </w:pPr>
          </w:p>
          <w:p w:rsidP="007B5454" w:rsidR="00C05A5D" w:rsidRDefault="00C05A5D">
            <w:pPr>
              <w:contextualSpacing/>
              <w:jc w:val="both"/>
              <w:rPr>
                <w:rFonts w:ascii="Times New Roman" w:cs="Times New Roman" w:hAnsi="Times New Roman"/>
                <w:bCs/>
                <w:sz w:val="24"/>
                <w:szCs w:val="24"/>
              </w:rPr>
            </w:pPr>
          </w:p>
          <w:p w:rsidP="007B5454" w:rsidR="00C05A5D" w:rsidRDefault="00C05A5D">
            <w:pPr>
              <w:contextualSpacing/>
              <w:jc w:val="both"/>
              <w:rPr>
                <w:rFonts w:ascii="Times New Roman" w:cs="Times New Roman" w:hAnsi="Times New Roman"/>
                <w:bCs/>
                <w:sz w:val="24"/>
                <w:szCs w:val="24"/>
              </w:rPr>
            </w:pPr>
          </w:p>
          <w:p w:rsidP="007B5454" w:rsidR="003D488A" w:rsidRDefault="007B5454" w:rsidRPr="003D488A">
            <w:pPr>
              <w:contextualSpacing/>
              <w:jc w:val="both"/>
              <w:rPr>
                <w:rFonts w:ascii="Times New Roman" w:cs="Times New Roman" w:hAnsi="Times New Roman"/>
                <w:sz w:val="24"/>
                <w:szCs w:val="24"/>
              </w:rPr>
            </w:pPr>
            <w:r w:rsidRPr="00686FE1">
              <w:rPr>
                <w:rFonts w:ascii="Times New Roman" w:cs="Times New Roman" w:hAnsi="Times New Roman"/>
                <w:bCs/>
                <w:sz w:val="24"/>
                <w:szCs w:val="24"/>
              </w:rPr>
              <w:t>4.</w:t>
            </w:r>
            <w:r w:rsidRPr="00686FE1">
              <w:rPr>
                <w:rFonts w:ascii="Times New Roman" w:cs="Times New Roman" w:hAnsi="Times New Roman"/>
                <w:b/>
                <w:bCs/>
                <w:sz w:val="24"/>
                <w:szCs w:val="24"/>
              </w:rPr>
              <w:t xml:space="preserve"> </w:t>
            </w:r>
            <w:r w:rsidR="003D488A" w:rsidRPr="003D488A">
              <w:rPr>
                <w:rFonts w:ascii="Times New Roman" w:cs="Times New Roman" w:hAnsi="Times New Roman"/>
                <w:sz w:val="24"/>
                <w:szCs w:val="24"/>
              </w:rPr>
              <w:t>Не се приема.</w:t>
            </w:r>
          </w:p>
          <w:p w:rsidP="007B5454" w:rsidR="00C05A5D" w:rsidRDefault="00C05A5D">
            <w:pPr>
              <w:contextualSpacing/>
              <w:jc w:val="both"/>
              <w:rPr>
                <w:rFonts w:ascii="Times New Roman" w:cs="Times New Roman" w:hAnsi="Times New Roman"/>
                <w:sz w:val="24"/>
                <w:szCs w:val="24"/>
              </w:rPr>
            </w:pPr>
            <w:r>
              <w:rPr>
                <w:rFonts w:ascii="Times New Roman" w:cs="Times New Roman" w:hAnsi="Times New Roman"/>
                <w:sz w:val="24"/>
                <w:szCs w:val="24"/>
              </w:rPr>
              <w:t>Основна</w:t>
            </w:r>
            <w:r w:rsidR="008924D7" w:rsidRPr="00686FE1">
              <w:rPr>
                <w:rFonts w:ascii="Times New Roman" w:cs="Times New Roman" w:hAnsi="Times New Roman"/>
                <w:sz w:val="24"/>
                <w:szCs w:val="24"/>
              </w:rPr>
              <w:t xml:space="preserve"> цел на </w:t>
            </w:r>
            <w:r>
              <w:rPr>
                <w:rFonts w:ascii="Times New Roman" w:cs="Times New Roman" w:hAnsi="Times New Roman"/>
                <w:sz w:val="24"/>
                <w:szCs w:val="24"/>
              </w:rPr>
              <w:t>подмярка 4.3 и съответната процедура</w:t>
            </w:r>
            <w:r w:rsidR="008924D7" w:rsidRPr="00686FE1">
              <w:rPr>
                <w:rFonts w:ascii="Times New Roman" w:cs="Times New Roman" w:hAnsi="Times New Roman"/>
                <w:sz w:val="24"/>
                <w:szCs w:val="24"/>
              </w:rPr>
              <w:t xml:space="preserve"> е реконструкция/рехабилитация и модернизация на </w:t>
            </w:r>
            <w:r>
              <w:rPr>
                <w:rFonts w:ascii="Times New Roman" w:cs="Times New Roman" w:hAnsi="Times New Roman"/>
                <w:sz w:val="24"/>
                <w:szCs w:val="24"/>
              </w:rPr>
              <w:t xml:space="preserve">съществуващата </w:t>
            </w:r>
            <w:r w:rsidR="008924D7" w:rsidRPr="00686FE1">
              <w:rPr>
                <w:rFonts w:ascii="Times New Roman" w:cs="Times New Roman" w:hAnsi="Times New Roman"/>
                <w:sz w:val="24"/>
                <w:szCs w:val="24"/>
              </w:rPr>
              <w:t xml:space="preserve">ХМСН </w:t>
            </w:r>
            <w:r>
              <w:rPr>
                <w:rFonts w:ascii="Times New Roman" w:cs="Times New Roman" w:hAnsi="Times New Roman"/>
                <w:sz w:val="24"/>
                <w:szCs w:val="24"/>
              </w:rPr>
              <w:t xml:space="preserve">в страната, която да </w:t>
            </w:r>
            <w:r w:rsidRPr="00C05A5D">
              <w:rPr>
                <w:rFonts w:ascii="Times New Roman" w:cs="Times New Roman" w:hAnsi="Times New Roman"/>
                <w:sz w:val="24"/>
                <w:szCs w:val="24"/>
              </w:rPr>
              <w:t>гарантира ефективно използване на водните ресурси посредством въвеждането на нови технологии, които водят до реално намаляване на загубите и на консумацията на вода в селското стопанство</w:t>
            </w:r>
            <w:r>
              <w:rPr>
                <w:rFonts w:ascii="Times New Roman" w:cs="Times New Roman" w:hAnsi="Times New Roman"/>
                <w:sz w:val="24"/>
                <w:szCs w:val="24"/>
              </w:rPr>
              <w:t xml:space="preserve">. </w:t>
            </w:r>
          </w:p>
          <w:p w:rsidP="007B5454" w:rsidR="00C05A5D" w:rsidRDefault="00C05A5D">
            <w:pPr>
              <w:contextualSpacing/>
              <w:jc w:val="both"/>
              <w:rPr>
                <w:rFonts w:ascii="Times New Roman" w:cs="Times New Roman" w:hAnsi="Times New Roman"/>
                <w:sz w:val="24"/>
                <w:szCs w:val="24"/>
              </w:rPr>
            </w:pPr>
            <w:r>
              <w:rPr>
                <w:rFonts w:ascii="Times New Roman" w:cs="Times New Roman" w:hAnsi="Times New Roman"/>
                <w:sz w:val="24"/>
                <w:szCs w:val="24"/>
              </w:rPr>
              <w:lastRenderedPageBreak/>
              <w:t xml:space="preserve">В рамките на </w:t>
            </w:r>
            <w:r w:rsidR="00AC1EF6">
              <w:rPr>
                <w:rFonts w:ascii="Times New Roman" w:cs="Times New Roman" w:hAnsi="Times New Roman"/>
                <w:sz w:val="24"/>
                <w:szCs w:val="24"/>
              </w:rPr>
              <w:t>процедурата е предвидена</w:t>
            </w:r>
            <w:r>
              <w:rPr>
                <w:rFonts w:ascii="Times New Roman" w:cs="Times New Roman" w:hAnsi="Times New Roman"/>
                <w:sz w:val="24"/>
                <w:szCs w:val="24"/>
              </w:rPr>
              <w:t xml:space="preserve"> възможност за подпомагане на съпътстващи дейности</w:t>
            </w:r>
            <w:r w:rsidR="00AC1EF6">
              <w:rPr>
                <w:rFonts w:ascii="Times New Roman" w:cs="Times New Roman" w:hAnsi="Times New Roman"/>
                <w:sz w:val="24"/>
                <w:szCs w:val="24"/>
              </w:rPr>
              <w:t>, които е възможно да възникнат</w:t>
            </w:r>
            <w:r>
              <w:rPr>
                <w:rFonts w:ascii="Times New Roman" w:cs="Times New Roman" w:hAnsi="Times New Roman"/>
                <w:sz w:val="24"/>
                <w:szCs w:val="24"/>
              </w:rPr>
              <w:t xml:space="preserve"> при изпълнение на проектните предложения, като</w:t>
            </w:r>
            <w:r w:rsidR="00AC1EF6">
              <w:rPr>
                <w:rFonts w:ascii="Times New Roman" w:cs="Times New Roman" w:hAnsi="Times New Roman"/>
                <w:sz w:val="24"/>
                <w:szCs w:val="24"/>
              </w:rPr>
              <w:t xml:space="preserve"> същите са определени в съответствие с принципите на добро финансово управление изхождайки и от общия разполагаем бюджет.</w:t>
            </w:r>
            <w:r>
              <w:rPr>
                <w:rFonts w:ascii="Times New Roman" w:cs="Times New Roman" w:hAnsi="Times New Roman"/>
                <w:sz w:val="24"/>
                <w:szCs w:val="24"/>
              </w:rPr>
              <w:t xml:space="preserve"> </w:t>
            </w: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7B5454" w:rsidR="007B5454" w:rsidRDefault="007B5454" w:rsidRPr="00686FE1">
            <w:pPr>
              <w:contextualSpacing/>
              <w:jc w:val="both"/>
              <w:rPr>
                <w:rFonts w:ascii="Times New Roman" w:cs="Times New Roman" w:hAnsi="Times New Roman"/>
                <w:sz w:val="24"/>
                <w:szCs w:val="24"/>
              </w:rPr>
            </w:pPr>
          </w:p>
          <w:p w:rsidP="00F95FAB" w:rsidR="003D488A" w:rsidRDefault="007B5454">
            <w:pPr>
              <w:contextualSpacing/>
              <w:jc w:val="both"/>
              <w:rPr>
                <w:rFonts w:ascii="Times New Roman" w:cs="Times New Roman" w:hAnsi="Times New Roman"/>
                <w:sz w:val="24"/>
                <w:szCs w:val="24"/>
              </w:rPr>
            </w:pPr>
            <w:r w:rsidRPr="00686FE1">
              <w:rPr>
                <w:rFonts w:ascii="Times New Roman" w:cs="Times New Roman" w:hAnsi="Times New Roman"/>
                <w:sz w:val="24"/>
                <w:szCs w:val="24"/>
              </w:rPr>
              <w:t xml:space="preserve">5. </w:t>
            </w:r>
            <w:r w:rsidR="00F95FAB" w:rsidRPr="003D488A">
              <w:rPr>
                <w:rFonts w:ascii="Times New Roman" w:cs="Times New Roman" w:hAnsi="Times New Roman"/>
                <w:sz w:val="24"/>
                <w:szCs w:val="24"/>
              </w:rPr>
              <w:t>Не се приема</w:t>
            </w:r>
            <w:r w:rsidRPr="003D488A">
              <w:rPr>
                <w:rFonts w:ascii="Times New Roman" w:cs="Times New Roman" w:hAnsi="Times New Roman"/>
                <w:sz w:val="24"/>
                <w:szCs w:val="24"/>
              </w:rPr>
              <w:t>.</w:t>
            </w:r>
          </w:p>
          <w:p w:rsidP="00F95FAB" w:rsidR="00F95FAB" w:rsidRDefault="00F95FAB" w:rsidRPr="00686FE1">
            <w:pPr>
              <w:contextualSpacing/>
              <w:jc w:val="both"/>
              <w:rPr>
                <w:rFonts w:ascii="Times New Roman" w:cs="Times New Roman" w:hAnsi="Times New Roman"/>
                <w:sz w:val="24"/>
                <w:szCs w:val="24"/>
              </w:rPr>
            </w:pPr>
            <w:r w:rsidRPr="00686FE1">
              <w:rPr>
                <w:rFonts w:ascii="Times New Roman" w:cs="Times New Roman" w:hAnsi="Times New Roman"/>
                <w:sz w:val="24"/>
                <w:szCs w:val="24"/>
              </w:rPr>
              <w:t>Съгласно чл. 35 от ЗУСЕСИФ техническата и финансовата оценка се извършва по критерии и методика, определени в документите по чл. 26, ал. 1. Документите по чл. 26, ал. 1 са насоките за кандидатстване. Критериите за подбор, включени в насоките</w:t>
            </w:r>
            <w:r w:rsidR="003D488A">
              <w:rPr>
                <w:rFonts w:ascii="Times New Roman" w:cs="Times New Roman" w:hAnsi="Times New Roman"/>
                <w:sz w:val="24"/>
                <w:szCs w:val="24"/>
              </w:rPr>
              <w:t xml:space="preserve"> </w:t>
            </w:r>
            <w:r w:rsidRPr="00686FE1">
              <w:rPr>
                <w:rFonts w:ascii="Times New Roman" w:cs="Times New Roman" w:hAnsi="Times New Roman"/>
                <w:sz w:val="24"/>
                <w:szCs w:val="24"/>
              </w:rPr>
              <w:t>за кандидатстване са одобрени от Комитета за наблюдение, в който Асоциация на индустриалния капитал в България участва.</w:t>
            </w:r>
          </w:p>
          <w:p w:rsidP="00F95FAB" w:rsidR="00F95FAB" w:rsidRDefault="00F95FAB" w:rsidRPr="00686FE1">
            <w:pPr>
              <w:contextualSpacing/>
              <w:jc w:val="both"/>
              <w:rPr>
                <w:rFonts w:ascii="Times New Roman" w:cs="Times New Roman" w:hAnsi="Times New Roman"/>
                <w:sz w:val="24"/>
                <w:szCs w:val="24"/>
              </w:rPr>
            </w:pPr>
            <w:r w:rsidRPr="00686FE1">
              <w:rPr>
                <w:rFonts w:ascii="Times New Roman" w:cs="Times New Roman" w:hAnsi="Times New Roman"/>
                <w:sz w:val="24"/>
                <w:szCs w:val="24"/>
              </w:rPr>
              <w:t xml:space="preserve">В т. 6 от </w:t>
            </w:r>
            <w:r w:rsidR="003D488A" w:rsidRPr="00686FE1">
              <w:rPr>
                <w:rFonts w:ascii="Times New Roman" w:cs="Times New Roman" w:hAnsi="Times New Roman"/>
                <w:sz w:val="24"/>
                <w:szCs w:val="24"/>
              </w:rPr>
              <w:t xml:space="preserve">Постановление </w:t>
            </w:r>
            <w:r w:rsidRPr="00686FE1">
              <w:rPr>
                <w:rFonts w:ascii="Times New Roman" w:cs="Times New Roman" w:hAnsi="Times New Roman"/>
                <w:sz w:val="24"/>
                <w:szCs w:val="24"/>
              </w:rPr>
              <w:t>№ 162 на МС от 5.07.2016 г. за определяне на</w:t>
            </w:r>
            <w:r w:rsidR="003D488A">
              <w:rPr>
                <w:rFonts w:ascii="Times New Roman" w:cs="Times New Roman" w:hAnsi="Times New Roman"/>
                <w:sz w:val="24"/>
                <w:szCs w:val="24"/>
              </w:rPr>
              <w:t xml:space="preserve"> </w:t>
            </w:r>
            <w:r w:rsidRPr="00686FE1">
              <w:rPr>
                <w:rFonts w:ascii="Times New Roman" w:cs="Times New Roman" w:hAnsi="Times New Roman"/>
                <w:sz w:val="24"/>
                <w:szCs w:val="24"/>
              </w:rPr>
              <w:t xml:space="preserve">детайлни правила за предоставяне на безвъзмездна </w:t>
            </w:r>
            <w:r w:rsidRPr="00686FE1">
              <w:rPr>
                <w:rFonts w:ascii="Times New Roman" w:cs="Times New Roman" w:hAnsi="Times New Roman"/>
                <w:sz w:val="24"/>
                <w:szCs w:val="24"/>
              </w:rPr>
              <w:lastRenderedPageBreak/>
              <w:t>финансова</w:t>
            </w:r>
            <w:r w:rsidR="003D488A">
              <w:rPr>
                <w:rFonts w:ascii="Times New Roman" w:cs="Times New Roman" w:hAnsi="Times New Roman"/>
                <w:sz w:val="24"/>
                <w:szCs w:val="24"/>
              </w:rPr>
              <w:t xml:space="preserve"> </w:t>
            </w:r>
            <w:r w:rsidRPr="00686FE1">
              <w:rPr>
                <w:rFonts w:ascii="Times New Roman" w:cs="Times New Roman" w:hAnsi="Times New Roman"/>
                <w:sz w:val="24"/>
                <w:szCs w:val="24"/>
              </w:rPr>
              <w:t>помощ по програмите, финансирани от Европейските структурни и</w:t>
            </w:r>
            <w:r w:rsidR="003D488A">
              <w:rPr>
                <w:rFonts w:ascii="Times New Roman" w:cs="Times New Roman" w:hAnsi="Times New Roman"/>
                <w:sz w:val="24"/>
                <w:szCs w:val="24"/>
              </w:rPr>
              <w:t xml:space="preserve"> </w:t>
            </w:r>
            <w:r w:rsidRPr="00686FE1">
              <w:rPr>
                <w:rFonts w:ascii="Times New Roman" w:cs="Times New Roman" w:hAnsi="Times New Roman"/>
                <w:sz w:val="24"/>
                <w:szCs w:val="24"/>
              </w:rPr>
              <w:t>инвестиционни фондове за периода 2014 – 2020 г.</w:t>
            </w:r>
            <w:r w:rsidR="003D488A">
              <w:rPr>
                <w:rFonts w:ascii="Times New Roman" w:cs="Times New Roman" w:hAnsi="Times New Roman"/>
                <w:sz w:val="24"/>
                <w:szCs w:val="24"/>
              </w:rPr>
              <w:t xml:space="preserve"> </w:t>
            </w:r>
            <w:r w:rsidRPr="00686FE1">
              <w:rPr>
                <w:rFonts w:ascii="Times New Roman" w:cs="Times New Roman" w:hAnsi="Times New Roman"/>
                <w:sz w:val="24"/>
                <w:szCs w:val="24"/>
              </w:rPr>
              <w:t>дефиницията на "Техническа и финансова оценка" е оценка по същество на проектните предложения, която се извършва в съответствие с критериите за оценка на проектите.</w:t>
            </w:r>
          </w:p>
          <w:p w:rsidP="00F721DD" w:rsidR="00F95FAB" w:rsidRDefault="00F95FAB" w:rsidRPr="00686FE1">
            <w:pPr>
              <w:contextualSpacing/>
              <w:jc w:val="both"/>
              <w:rPr>
                <w:rFonts w:ascii="Times New Roman" w:cs="Times New Roman" w:hAnsi="Times New Roman"/>
                <w:sz w:val="24"/>
                <w:szCs w:val="24"/>
              </w:rPr>
            </w:pPr>
            <w:r w:rsidRPr="00686FE1">
              <w:rPr>
                <w:rFonts w:ascii="Times New Roman" w:cs="Times New Roman" w:hAnsi="Times New Roman"/>
                <w:sz w:val="24"/>
                <w:szCs w:val="24"/>
              </w:rPr>
              <w:t xml:space="preserve">В ЗУСЕСИФ и ПМС </w:t>
            </w:r>
            <w:r w:rsidR="003D488A">
              <w:rPr>
                <w:rFonts w:ascii="Times New Roman" w:cs="Times New Roman" w:hAnsi="Times New Roman"/>
                <w:sz w:val="24"/>
                <w:szCs w:val="24"/>
              </w:rPr>
              <w:t xml:space="preserve">№ </w:t>
            </w:r>
            <w:r w:rsidRPr="00686FE1">
              <w:rPr>
                <w:rFonts w:ascii="Times New Roman" w:cs="Times New Roman" w:hAnsi="Times New Roman"/>
                <w:sz w:val="24"/>
                <w:szCs w:val="24"/>
              </w:rPr>
              <w:t>162</w:t>
            </w:r>
            <w:r w:rsidR="003D488A">
              <w:rPr>
                <w:rFonts w:ascii="Times New Roman" w:cs="Times New Roman" w:hAnsi="Times New Roman"/>
                <w:sz w:val="24"/>
                <w:szCs w:val="24"/>
              </w:rPr>
              <w:t>/2016 г.</w:t>
            </w:r>
            <w:r w:rsidRPr="00686FE1">
              <w:rPr>
                <w:rFonts w:ascii="Times New Roman" w:cs="Times New Roman" w:hAnsi="Times New Roman"/>
                <w:sz w:val="24"/>
                <w:szCs w:val="24"/>
              </w:rPr>
              <w:t xml:space="preserve"> няма условие какви точно да са критериите, докато </w:t>
            </w:r>
            <w:r w:rsidR="00F721DD" w:rsidRPr="00F721DD">
              <w:rPr>
                <w:rFonts w:ascii="Times New Roman" w:cs="Times New Roman" w:hAnsi="Times New Roman"/>
                <w:sz w:val="24"/>
                <w:szCs w:val="24"/>
              </w:rPr>
              <w:t>Регламент (Е</w:t>
            </w:r>
            <w:r w:rsidR="00F721DD">
              <w:rPr>
                <w:rFonts w:ascii="Times New Roman" w:cs="Times New Roman" w:hAnsi="Times New Roman"/>
                <w:sz w:val="24"/>
                <w:szCs w:val="24"/>
              </w:rPr>
              <w:t>С</w:t>
            </w:r>
            <w:r w:rsidR="00F721DD" w:rsidRPr="00F721DD">
              <w:rPr>
                <w:rFonts w:ascii="Times New Roman" w:cs="Times New Roman" w:hAnsi="Times New Roman"/>
                <w:sz w:val="24"/>
                <w:szCs w:val="24"/>
              </w:rPr>
              <w:t xml:space="preserve">) № 1305/2013 </w:t>
            </w:r>
            <w:r w:rsidR="00F721DD">
              <w:rPr>
                <w:rFonts w:ascii="Times New Roman" w:cs="Times New Roman" w:hAnsi="Times New Roman"/>
                <w:sz w:val="24"/>
                <w:szCs w:val="24"/>
              </w:rPr>
              <w:t>н</w:t>
            </w:r>
            <w:r w:rsidR="00F721DD" w:rsidRPr="00F721DD">
              <w:rPr>
                <w:rFonts w:ascii="Times New Roman" w:cs="Times New Roman" w:hAnsi="Times New Roman"/>
                <w:sz w:val="24"/>
                <w:szCs w:val="24"/>
              </w:rPr>
              <w:t xml:space="preserve">а Европейския </w:t>
            </w:r>
            <w:r w:rsidR="00F721DD">
              <w:rPr>
                <w:rFonts w:ascii="Times New Roman" w:cs="Times New Roman" w:hAnsi="Times New Roman"/>
                <w:sz w:val="24"/>
                <w:szCs w:val="24"/>
              </w:rPr>
              <w:t>п</w:t>
            </w:r>
            <w:r w:rsidR="00F721DD" w:rsidRPr="00F721DD">
              <w:rPr>
                <w:rFonts w:ascii="Times New Roman" w:cs="Times New Roman" w:hAnsi="Times New Roman"/>
                <w:sz w:val="24"/>
                <w:szCs w:val="24"/>
              </w:rPr>
              <w:t xml:space="preserve">арламент </w:t>
            </w:r>
            <w:r w:rsidR="00F721DD">
              <w:rPr>
                <w:rFonts w:ascii="Times New Roman" w:cs="Times New Roman" w:hAnsi="Times New Roman"/>
                <w:sz w:val="24"/>
                <w:szCs w:val="24"/>
              </w:rPr>
              <w:t>и</w:t>
            </w:r>
            <w:r w:rsidR="00F721DD" w:rsidRPr="00F721DD">
              <w:rPr>
                <w:rFonts w:ascii="Times New Roman" w:cs="Times New Roman" w:hAnsi="Times New Roman"/>
                <w:sz w:val="24"/>
                <w:szCs w:val="24"/>
              </w:rPr>
              <w:t xml:space="preserve"> </w:t>
            </w:r>
            <w:r w:rsidR="00F721DD">
              <w:rPr>
                <w:rFonts w:ascii="Times New Roman" w:cs="Times New Roman" w:hAnsi="Times New Roman"/>
                <w:sz w:val="24"/>
                <w:szCs w:val="24"/>
              </w:rPr>
              <w:t>н</w:t>
            </w:r>
            <w:r w:rsidR="00F721DD" w:rsidRPr="00F721DD">
              <w:rPr>
                <w:rFonts w:ascii="Times New Roman" w:cs="Times New Roman" w:hAnsi="Times New Roman"/>
                <w:sz w:val="24"/>
                <w:szCs w:val="24"/>
              </w:rPr>
              <w:t>а Съвета</w:t>
            </w:r>
            <w:r w:rsidR="00F721DD">
              <w:rPr>
                <w:rFonts w:ascii="Times New Roman" w:cs="Times New Roman" w:hAnsi="Times New Roman"/>
                <w:sz w:val="24"/>
                <w:szCs w:val="24"/>
              </w:rPr>
              <w:t xml:space="preserve"> </w:t>
            </w:r>
            <w:r w:rsidR="00F721DD" w:rsidRPr="00F721DD">
              <w:rPr>
                <w:rFonts w:ascii="Times New Roman" w:cs="Times New Roman" w:hAnsi="Times New Roman"/>
                <w:sz w:val="24"/>
                <w:szCs w:val="24"/>
              </w:rPr>
              <w:t>от 17 декември 2013 година</w:t>
            </w:r>
            <w:r w:rsidR="00F721DD">
              <w:rPr>
                <w:rFonts w:ascii="Times New Roman" w:cs="Times New Roman" w:hAnsi="Times New Roman"/>
                <w:sz w:val="24"/>
                <w:szCs w:val="24"/>
              </w:rPr>
              <w:t xml:space="preserve"> </w:t>
            </w:r>
            <w:r w:rsidR="00F721DD" w:rsidRPr="00F721DD">
              <w:rPr>
                <w:rFonts w:ascii="Times New Roman" w:cs="Times New Roman" w:hAnsi="Times New Roman"/>
                <w:sz w:val="24"/>
                <w:szCs w:val="24"/>
              </w:rPr>
              <w:t>относно подпомагане на развитието на селските райони от Европейския земеделски фонд за</w:t>
            </w:r>
            <w:r w:rsidR="00F721DD">
              <w:rPr>
                <w:rFonts w:ascii="Times New Roman" w:cs="Times New Roman" w:hAnsi="Times New Roman"/>
                <w:sz w:val="24"/>
                <w:szCs w:val="24"/>
              </w:rPr>
              <w:t xml:space="preserve"> </w:t>
            </w:r>
            <w:r w:rsidR="00F721DD" w:rsidRPr="00F721DD">
              <w:rPr>
                <w:rFonts w:ascii="Times New Roman" w:cs="Times New Roman" w:hAnsi="Times New Roman"/>
                <w:sz w:val="24"/>
                <w:szCs w:val="24"/>
              </w:rPr>
              <w:t>развитие на селските райони (ЕЗФРСР) и за отмяна на Регламент (ЕО) № 1698/2005 на</w:t>
            </w:r>
            <w:r w:rsidR="00F721DD">
              <w:rPr>
                <w:rFonts w:ascii="Times New Roman" w:cs="Times New Roman" w:hAnsi="Times New Roman"/>
                <w:sz w:val="24"/>
                <w:szCs w:val="24"/>
              </w:rPr>
              <w:t xml:space="preserve"> </w:t>
            </w:r>
            <w:r w:rsidR="00F721DD" w:rsidRPr="00F721DD">
              <w:rPr>
                <w:rFonts w:ascii="Times New Roman" w:cs="Times New Roman" w:hAnsi="Times New Roman"/>
                <w:sz w:val="24"/>
                <w:szCs w:val="24"/>
              </w:rPr>
              <w:t>Съвета</w:t>
            </w:r>
            <w:r w:rsidR="00F721DD">
              <w:rPr>
                <w:rFonts w:ascii="Times New Roman" w:cs="Times New Roman" w:hAnsi="Times New Roman"/>
                <w:sz w:val="24"/>
                <w:szCs w:val="24"/>
              </w:rPr>
              <w:t xml:space="preserve"> </w:t>
            </w:r>
            <w:r w:rsidRPr="00686FE1">
              <w:rPr>
                <w:rFonts w:ascii="Times New Roman" w:cs="Times New Roman" w:hAnsi="Times New Roman"/>
                <w:sz w:val="24"/>
                <w:szCs w:val="24"/>
              </w:rPr>
              <w:t>определя, че критериите за подбор имат за цел да гарантират еднакво третиране на кандидатите, по-добро използване на финансовите ресурси и насочване на мерките в съответствие с приоритетите на Съюза за развитие на селските райони. В тази връзка</w:t>
            </w:r>
            <w:r w:rsidR="003D488A">
              <w:rPr>
                <w:rFonts w:ascii="Times New Roman" w:cs="Times New Roman" w:hAnsi="Times New Roman"/>
                <w:sz w:val="24"/>
                <w:szCs w:val="24"/>
              </w:rPr>
              <w:t>,</w:t>
            </w:r>
            <w:r w:rsidRPr="00686FE1">
              <w:rPr>
                <w:rFonts w:ascii="Times New Roman" w:cs="Times New Roman" w:hAnsi="Times New Roman"/>
                <w:sz w:val="24"/>
                <w:szCs w:val="24"/>
              </w:rPr>
              <w:t xml:space="preserve"> в одобрената от ЕК Програма за развитие на селските райони</w:t>
            </w:r>
            <w:r w:rsidR="003D488A">
              <w:rPr>
                <w:rFonts w:ascii="Times New Roman" w:cs="Times New Roman" w:hAnsi="Times New Roman"/>
                <w:sz w:val="24"/>
                <w:szCs w:val="24"/>
              </w:rPr>
              <w:t xml:space="preserve"> 2014-2020 г.</w:t>
            </w:r>
            <w:r w:rsidRPr="00686FE1">
              <w:rPr>
                <w:rFonts w:ascii="Times New Roman" w:cs="Times New Roman" w:hAnsi="Times New Roman"/>
                <w:sz w:val="24"/>
                <w:szCs w:val="24"/>
              </w:rPr>
              <w:t xml:space="preserve"> са определен</w:t>
            </w:r>
            <w:r w:rsidR="003D488A">
              <w:rPr>
                <w:rFonts w:ascii="Times New Roman" w:cs="Times New Roman" w:hAnsi="Times New Roman"/>
                <w:sz w:val="24"/>
                <w:szCs w:val="24"/>
              </w:rPr>
              <w:t>и</w:t>
            </w:r>
            <w:r w:rsidRPr="00686FE1">
              <w:rPr>
                <w:rFonts w:ascii="Times New Roman" w:cs="Times New Roman" w:hAnsi="Times New Roman"/>
                <w:sz w:val="24"/>
                <w:szCs w:val="24"/>
              </w:rPr>
              <w:t xml:space="preserve"> принципи за определяне на критериите. Въз основа на тези принципи, в съответствие с европейското законодателство са определени критериите за техническа и финансова оценка в насоките за кандидатстване по процедурата.</w:t>
            </w:r>
          </w:p>
          <w:p w:rsidP="003D488A" w:rsidR="00F95FAB" w:rsidRDefault="00F95FAB" w:rsidRPr="00686FE1">
            <w:pPr>
              <w:contextualSpacing/>
              <w:jc w:val="both"/>
              <w:rPr>
                <w:rFonts w:ascii="Times New Roman" w:cs="Times New Roman" w:hAnsi="Times New Roman"/>
                <w:sz w:val="24"/>
                <w:szCs w:val="24"/>
              </w:rPr>
            </w:pPr>
            <w:r w:rsidRPr="00686FE1">
              <w:rPr>
                <w:rFonts w:ascii="Times New Roman" w:cs="Times New Roman" w:hAnsi="Times New Roman"/>
                <w:sz w:val="24"/>
                <w:szCs w:val="24"/>
              </w:rPr>
              <w:lastRenderedPageBreak/>
              <w:t>Съгласно ПРСР</w:t>
            </w:r>
            <w:r w:rsidR="00F721DD">
              <w:rPr>
                <w:rFonts w:ascii="Times New Roman" w:cs="Times New Roman" w:hAnsi="Times New Roman"/>
                <w:sz w:val="24"/>
                <w:szCs w:val="24"/>
              </w:rPr>
              <w:t xml:space="preserve"> 2014-2020 г.</w:t>
            </w:r>
            <w:r w:rsidRPr="00686FE1">
              <w:rPr>
                <w:rFonts w:ascii="Times New Roman" w:cs="Times New Roman" w:hAnsi="Times New Roman"/>
                <w:sz w:val="24"/>
                <w:szCs w:val="24"/>
              </w:rPr>
              <w:t xml:space="preserve"> изискванията към</w:t>
            </w:r>
            <w:r w:rsidR="003D488A">
              <w:rPr>
                <w:rFonts w:ascii="Times New Roman" w:cs="Times New Roman" w:hAnsi="Times New Roman"/>
                <w:sz w:val="24"/>
                <w:szCs w:val="24"/>
              </w:rPr>
              <w:t xml:space="preserve"> </w:t>
            </w:r>
            <w:r w:rsidRPr="00686FE1">
              <w:rPr>
                <w:rFonts w:ascii="Times New Roman" w:cs="Times New Roman" w:hAnsi="Times New Roman"/>
                <w:sz w:val="24"/>
                <w:szCs w:val="24"/>
              </w:rPr>
              <w:t xml:space="preserve">разходите са условия за </w:t>
            </w:r>
            <w:r w:rsidR="000F7C57">
              <w:rPr>
                <w:rFonts w:ascii="Times New Roman" w:cs="Times New Roman" w:hAnsi="Times New Roman"/>
                <w:sz w:val="24"/>
                <w:szCs w:val="24"/>
              </w:rPr>
              <w:t xml:space="preserve">тяхната </w:t>
            </w:r>
            <w:r w:rsidRPr="00686FE1">
              <w:rPr>
                <w:rFonts w:ascii="Times New Roman" w:cs="Times New Roman" w:hAnsi="Times New Roman"/>
                <w:sz w:val="24"/>
                <w:szCs w:val="24"/>
              </w:rPr>
              <w:t>допустимост.</w:t>
            </w:r>
          </w:p>
        </w:tc>
      </w:tr>
    </w:tbl>
    <w:p w:rsidR="00DE7826" w:rsidRDefault="00DE7826" w:rsidRPr="00B22BC0"/>
    <w:p>
      <w:r>
        <w:t>С уважение,</w:t>
        <w:br/>
        <w:drawing>
          <wp:inline distT="0" distB="0" distL="0" distR="0">
            <wp:extent cx="836538" cy="600000"/>
            <wp:docPr id="4099" name="Picture 4099"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r:embed="rId9"/>
                    <a:stretch>
                      <a:fillRect/>
                    </a:stretch>
                  </pic:blipFill>
                  <pic:spPr>
                    <a:xfrm>
                      <a:off x="0" y="0"/>
                      <a:ext cx="836538" cy="600000"/>
                    </a:xfrm>
                    <a:prstGeom prst="rect">
                      <a:avLst/>
                    </a:prstGeom>
                  </pic:spPr>
                </pic:pic>
              </a:graphicData>
            </a:graphic>
          </wp:inline>
        </w:drawing>
        <w:br/>
        <w:t>Елена  Иванова (Директор)</w:t>
        <w:br/>
        <w:t>Дирекция "Развитие на селските райони"</w:t>
        <w:br/>
        <w:t>02.04.2020г. 17:35ч.</w:t>
        <w:br/>
        <w:t>МЗХГ</w:t>
        <w:br/>
        <w:br/>
        <w:br/>
        <w:t>Електронният подпис се намира в отделен файл с название signature.txt.p7s</w:t>
      </w:r>
    </w:p>
    <w:sectPr w:rsidR="00DE7826" w:rsidRPr="00B22BC0" w:rsidSect="00DE7826">
      <w:pgSz w:h="11906" w:orient="landscape" w:w="16838"/>
      <w:pgMar w:bottom="1417" w:footer="708" w:gutter="0" w:header="708" w:left="1417" w:right="1417" w:top="14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2352DF4"/>
    <w:multiLevelType w:val="hybridMultilevel"/>
    <w:tmpl w:val="B07ADFA0"/>
    <w:lvl w:ilvl="0" w:tplc="4FDAC810">
      <w:start w:val="1"/>
      <w:numFmt w:val="decimal"/>
      <w:lvlText w:val="%1."/>
      <w:lvlJc w:val="left"/>
      <w:pPr>
        <w:ind w:hanging="360" w:left="720"/>
      </w:pPr>
      <w:rPr>
        <w:rFonts w:cs="Times New Roman" w:hint="default"/>
        <w:b/>
        <w:color w:val="auto"/>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15:restartNumberingAfterBreak="0" w:abstractNumId="1">
    <w:nsid w:val="2E9302F3"/>
    <w:multiLevelType w:val="hybridMultilevel"/>
    <w:tmpl w:val="2D905542"/>
    <w:lvl w:ilvl="0" w:tplc="0402000F">
      <w:start w:val="1"/>
      <w:numFmt w:val="decimal"/>
      <w:lvlText w:val="%1."/>
      <w:lvlJc w:val="left"/>
      <w:pPr>
        <w:ind w:hanging="360" w:left="720"/>
      </w:pPr>
      <w:rPr>
        <w:rFonts w:hint="default"/>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15:restartNumberingAfterBreak="0" w:abstractNumId="2">
    <w:nsid w:val="37BF5639"/>
    <w:multiLevelType w:val="hybridMultilevel"/>
    <w:tmpl w:val="C4CAF030"/>
    <w:lvl w:ilvl="0" w:tplc="0402000F">
      <w:start w:val="1"/>
      <w:numFmt w:val="decimal"/>
      <w:lvlText w:val="%1."/>
      <w:lvlJc w:val="left"/>
      <w:pPr>
        <w:ind w:hanging="360" w:left="720"/>
      </w:pPr>
      <w:rPr>
        <w:rFonts w:hint="default"/>
        <w:color w:val="auto"/>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15:restartNumberingAfterBreak="0" w:abstractNumId="3">
    <w:nsid w:val="520309DC"/>
    <w:multiLevelType w:val="hybridMultilevel"/>
    <w:tmpl w:val="79C6FCE2"/>
    <w:lvl w:ilvl="0" w:tplc="0402000F">
      <w:start w:val="1"/>
      <w:numFmt w:val="decimal"/>
      <w:lvlText w:val="%1."/>
      <w:lvlJc w:val="left"/>
      <w:pPr>
        <w:ind w:hanging="360" w:left="720"/>
      </w:pPr>
      <w:rPr>
        <w:rFonts w:hint="default"/>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15:restartNumberingAfterBreak="0" w:abstractNumId="4">
    <w:nsid w:val="5B161F90"/>
    <w:multiLevelType w:val="hybridMultilevel"/>
    <w:tmpl w:val="418277D6"/>
    <w:lvl w:ilvl="0" w:tplc="0402000F">
      <w:start w:val="1"/>
      <w:numFmt w:val="decimal"/>
      <w:lvlText w:val="%1."/>
      <w:lvlJc w:val="left"/>
      <w:pPr>
        <w:ind w:hanging="360" w:left="720"/>
      </w:pPr>
      <w:rPr>
        <w:rFonts w:hint="default"/>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15:restartNumberingAfterBreak="0" w:abstractNumId="5">
    <w:nsid w:val="63B32474"/>
    <w:multiLevelType w:val="hybridMultilevel"/>
    <w:tmpl w:val="7E9CBFF6"/>
    <w:lvl w:ilvl="0" w:tplc="0402000F">
      <w:start w:val="1"/>
      <w:numFmt w:val="decimal"/>
      <w:lvlText w:val="%1."/>
      <w:lvlJc w:val="left"/>
      <w:pPr>
        <w:ind w:hanging="360" w:left="720"/>
      </w:pPr>
      <w:rPr>
        <w:rFonts w:hint="default"/>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15:restartNumberingAfterBreak="0" w:abstractNumId="6">
    <w:nsid w:val="70FE06CE"/>
    <w:multiLevelType w:val="hybridMultilevel"/>
    <w:tmpl w:val="046CFB18"/>
    <w:lvl w:ilvl="0" w:tplc="0402000F">
      <w:start w:val="1"/>
      <w:numFmt w:val="decimal"/>
      <w:lvlText w:val="%1."/>
      <w:lvlJc w:val="left"/>
      <w:pPr>
        <w:ind w:hanging="360" w:left="720"/>
      </w:pPr>
      <w:rPr>
        <w:rFonts w:hint="default"/>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15:restartNumberingAfterBreak="0" w:abstractNumId="7">
    <w:nsid w:val="7BB939C0"/>
    <w:multiLevelType w:val="hybridMultilevel"/>
    <w:tmpl w:val="F572C32C"/>
    <w:lvl w:ilvl="0" w:tplc="0402000F">
      <w:start w:val="1"/>
      <w:numFmt w:val="decimal"/>
      <w:lvlText w:val="%1."/>
      <w:lvlJc w:val="left"/>
      <w:pPr>
        <w:ind w:hanging="360" w:left="720"/>
      </w:pPr>
      <w:rPr>
        <w:rFonts w:hint="default"/>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doNotDisplayPageBoundaries/>
  <w:proofState w:grammar="clean"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A1"/>
    <w:rsid w:val="000160EE"/>
    <w:rsid w:val="00047D1E"/>
    <w:rsid w:val="00057F95"/>
    <w:rsid w:val="00065527"/>
    <w:rsid w:val="000D24DF"/>
    <w:rsid w:val="000E078B"/>
    <w:rsid w:val="000E08FD"/>
    <w:rsid w:val="000E2EA1"/>
    <w:rsid w:val="000F7C57"/>
    <w:rsid w:val="00100168"/>
    <w:rsid w:val="0010180E"/>
    <w:rsid w:val="001137A1"/>
    <w:rsid w:val="001366F5"/>
    <w:rsid w:val="0014437F"/>
    <w:rsid w:val="00157F9A"/>
    <w:rsid w:val="001C2D80"/>
    <w:rsid w:val="00200F16"/>
    <w:rsid w:val="00230E2B"/>
    <w:rsid w:val="00241A60"/>
    <w:rsid w:val="00250BEA"/>
    <w:rsid w:val="002B7197"/>
    <w:rsid w:val="002C714E"/>
    <w:rsid w:val="002E02BB"/>
    <w:rsid w:val="002F3F9A"/>
    <w:rsid w:val="002F6A1D"/>
    <w:rsid w:val="003107C9"/>
    <w:rsid w:val="00337928"/>
    <w:rsid w:val="00350688"/>
    <w:rsid w:val="00375AB4"/>
    <w:rsid w:val="00376C97"/>
    <w:rsid w:val="00394725"/>
    <w:rsid w:val="003B3B4B"/>
    <w:rsid w:val="003C124D"/>
    <w:rsid w:val="003C7F32"/>
    <w:rsid w:val="003D488A"/>
    <w:rsid w:val="003E2096"/>
    <w:rsid w:val="00426D71"/>
    <w:rsid w:val="00467FF5"/>
    <w:rsid w:val="00480F3E"/>
    <w:rsid w:val="0049265A"/>
    <w:rsid w:val="004B1666"/>
    <w:rsid w:val="004B455F"/>
    <w:rsid w:val="004B73A9"/>
    <w:rsid w:val="004D498A"/>
    <w:rsid w:val="004D7B0C"/>
    <w:rsid w:val="00540779"/>
    <w:rsid w:val="005B3294"/>
    <w:rsid w:val="005C39BE"/>
    <w:rsid w:val="005E4160"/>
    <w:rsid w:val="005F17D4"/>
    <w:rsid w:val="00601AAA"/>
    <w:rsid w:val="00603772"/>
    <w:rsid w:val="006110D8"/>
    <w:rsid w:val="006424FF"/>
    <w:rsid w:val="0065426D"/>
    <w:rsid w:val="00660708"/>
    <w:rsid w:val="00677A69"/>
    <w:rsid w:val="00686FE1"/>
    <w:rsid w:val="00693552"/>
    <w:rsid w:val="006C1C81"/>
    <w:rsid w:val="006C3A75"/>
    <w:rsid w:val="006D4168"/>
    <w:rsid w:val="006E2249"/>
    <w:rsid w:val="006E6F6C"/>
    <w:rsid w:val="0072337F"/>
    <w:rsid w:val="007617C2"/>
    <w:rsid w:val="00771CDF"/>
    <w:rsid w:val="00772541"/>
    <w:rsid w:val="00787F0B"/>
    <w:rsid w:val="0079002B"/>
    <w:rsid w:val="00790DF0"/>
    <w:rsid w:val="007B2E30"/>
    <w:rsid w:val="007B5454"/>
    <w:rsid w:val="007B7778"/>
    <w:rsid w:val="007D15E8"/>
    <w:rsid w:val="007D5B7B"/>
    <w:rsid w:val="00806AEA"/>
    <w:rsid w:val="0081686A"/>
    <w:rsid w:val="008170AA"/>
    <w:rsid w:val="00825A19"/>
    <w:rsid w:val="00840848"/>
    <w:rsid w:val="008567FE"/>
    <w:rsid w:val="008803C8"/>
    <w:rsid w:val="008921DA"/>
    <w:rsid w:val="008924D7"/>
    <w:rsid w:val="008E078F"/>
    <w:rsid w:val="009061CF"/>
    <w:rsid w:val="00957A39"/>
    <w:rsid w:val="009960C6"/>
    <w:rsid w:val="009E4114"/>
    <w:rsid w:val="00A237DA"/>
    <w:rsid w:val="00A37DF0"/>
    <w:rsid w:val="00A671C8"/>
    <w:rsid w:val="00AB08FA"/>
    <w:rsid w:val="00AC1EF6"/>
    <w:rsid w:val="00AD2F0B"/>
    <w:rsid w:val="00AE791E"/>
    <w:rsid w:val="00AF4738"/>
    <w:rsid w:val="00B017CC"/>
    <w:rsid w:val="00B05613"/>
    <w:rsid w:val="00B11311"/>
    <w:rsid w:val="00B22BC0"/>
    <w:rsid w:val="00B2544E"/>
    <w:rsid w:val="00B52BAC"/>
    <w:rsid w:val="00B53830"/>
    <w:rsid w:val="00B54DCA"/>
    <w:rsid w:val="00B55CFC"/>
    <w:rsid w:val="00B60846"/>
    <w:rsid w:val="00B704F0"/>
    <w:rsid w:val="00B73FA7"/>
    <w:rsid w:val="00BA2BE7"/>
    <w:rsid w:val="00BA7FE8"/>
    <w:rsid w:val="00BE3A4B"/>
    <w:rsid w:val="00BE3BC3"/>
    <w:rsid w:val="00BE7B1B"/>
    <w:rsid w:val="00C00EF0"/>
    <w:rsid w:val="00C01447"/>
    <w:rsid w:val="00C03D07"/>
    <w:rsid w:val="00C05A5D"/>
    <w:rsid w:val="00C10E0C"/>
    <w:rsid w:val="00C128FC"/>
    <w:rsid w:val="00C25FF6"/>
    <w:rsid w:val="00C506D3"/>
    <w:rsid w:val="00C60493"/>
    <w:rsid w:val="00C740AB"/>
    <w:rsid w:val="00C91DA3"/>
    <w:rsid w:val="00C96708"/>
    <w:rsid w:val="00C969AB"/>
    <w:rsid w:val="00D17B77"/>
    <w:rsid w:val="00D61366"/>
    <w:rsid w:val="00D714AC"/>
    <w:rsid w:val="00D72FA7"/>
    <w:rsid w:val="00D76514"/>
    <w:rsid w:val="00D84B9B"/>
    <w:rsid w:val="00D84ED3"/>
    <w:rsid w:val="00DB1092"/>
    <w:rsid w:val="00DB22A6"/>
    <w:rsid w:val="00DB66C8"/>
    <w:rsid w:val="00DC62EE"/>
    <w:rsid w:val="00DE282B"/>
    <w:rsid w:val="00DE7826"/>
    <w:rsid w:val="00E0319B"/>
    <w:rsid w:val="00E12B2C"/>
    <w:rsid w:val="00E36684"/>
    <w:rsid w:val="00E402C1"/>
    <w:rsid w:val="00E47CD6"/>
    <w:rsid w:val="00E566DE"/>
    <w:rsid w:val="00E8232A"/>
    <w:rsid w:val="00EB5594"/>
    <w:rsid w:val="00ED1C85"/>
    <w:rsid w:val="00EF0D58"/>
    <w:rsid w:val="00F02F7A"/>
    <w:rsid w:val="00F239C0"/>
    <w:rsid w:val="00F25655"/>
    <w:rsid w:val="00F34FFE"/>
    <w:rsid w:val="00F440EF"/>
    <w:rsid w:val="00F721DD"/>
    <w:rsid w:val="00F77F01"/>
    <w:rsid w:val="00F9449E"/>
    <w:rsid w:val="00F95FAB"/>
    <w:rsid w:val="00F96519"/>
    <w:rsid w:val="00FC55DD"/>
    <w:rsid w:val="00FD3864"/>
    <w:rsid w:val="00FF42DA"/>
    <w:rsid w:val="00FF4C00"/>
  </w:rsids>
  <m:mathPr>
    <m:mathFont m:val="Cambria Math"/>
    <m:brkBin m:val="before"/>
    <m:brkBinSub m:val="--"/>
    <m:smallFrac m:val="0"/>
    <m:dispDef/>
    <m:lMargin m:val="0"/>
    <m:rMargin m:val="0"/>
    <m:defJc m:val="centerGroup"/>
    <m:wrapIndent m:val="1440"/>
    <m:intLim m:val="subSup"/>
    <m:naryLim m:val="undOvr"/>
  </m:mathPr>
  <w:themeFontLang w:val="bg-BG"/>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5:docId w15:val="{821BED3C-B013-4C31-BDA6-5EC6FED5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bg-BG"/>
      </w:rPr>
    </w:rPrDefault>
    <w:pPrDefault>
      <w:pPr>
        <w:spacing w:after="200" w:line="276"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DE7826"/>
  </w:style>
  <w:style w:styleId="2" w:type="paragraph">
    <w:name w:val="heading 2"/>
    <w:basedOn w:val="a"/>
    <w:next w:val="a"/>
    <w:link w:val="20"/>
    <w:uiPriority w:val="9"/>
    <w:unhideWhenUsed/>
    <w:qFormat/>
    <w:rsid w:val="00540779"/>
    <w:pPr>
      <w:keepNext/>
      <w:keepLines/>
      <w:spacing w:after="0" w:before="200"/>
      <w:outlineLvl w:val="1"/>
    </w:pPr>
    <w:rPr>
      <w:rFonts w:asciiTheme="majorHAnsi" w:cstheme="majorBidi" w:eastAsiaTheme="majorEastAsia" w:hAnsiTheme="majorHAnsi"/>
      <w:b/>
      <w:bCs/>
      <w:color w:themeColor="accent1" w:val="4F81BD"/>
      <w:sz w:val="26"/>
      <w:szCs w:val="26"/>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uiPriority w:val="59"/>
    <w:rsid w:val="00DE78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character">
    <w:name w:val="Hyperlink"/>
    <w:basedOn w:val="a0"/>
    <w:uiPriority w:val="99"/>
    <w:unhideWhenUsed/>
    <w:rsid w:val="00DE7826"/>
    <w:rPr>
      <w:color w:val="0000FF"/>
      <w:u w:val="single"/>
    </w:rPr>
  </w:style>
  <w:style w:styleId="a5" w:type="paragraph">
    <w:name w:val="List Paragraph"/>
    <w:basedOn w:val="a"/>
    <w:uiPriority w:val="34"/>
    <w:qFormat/>
    <w:rsid w:val="00D17B77"/>
    <w:pPr>
      <w:ind w:left="720"/>
      <w:contextualSpacing/>
    </w:pPr>
  </w:style>
  <w:style w:customStyle="1" w:styleId="20" w:type="character">
    <w:name w:val="Заглавие 2 Знак"/>
    <w:basedOn w:val="a0"/>
    <w:link w:val="2"/>
    <w:uiPriority w:val="9"/>
    <w:rsid w:val="00540779"/>
    <w:rPr>
      <w:rFonts w:asciiTheme="majorHAnsi" w:cstheme="majorBidi" w:eastAsiaTheme="majorEastAsia" w:hAnsiTheme="majorHAnsi"/>
      <w:b/>
      <w:bCs/>
      <w:color w:themeColor="accent1" w:val="4F81BD"/>
      <w:sz w:val="26"/>
      <w:szCs w:val="26"/>
    </w:rPr>
  </w:style>
  <w:style w:styleId="a6" w:type="paragraph">
    <w:name w:val="Balloon Text"/>
    <w:basedOn w:val="a"/>
    <w:link w:val="a7"/>
    <w:uiPriority w:val="99"/>
    <w:semiHidden/>
    <w:unhideWhenUsed/>
    <w:rsid w:val="001366F5"/>
    <w:pPr>
      <w:spacing w:after="0" w:line="240" w:lineRule="auto"/>
    </w:pPr>
    <w:rPr>
      <w:rFonts w:ascii="Tahoma" w:cs="Tahoma" w:hAnsi="Tahoma"/>
      <w:sz w:val="16"/>
      <w:szCs w:val="16"/>
    </w:rPr>
  </w:style>
  <w:style w:customStyle="1" w:styleId="a7" w:type="character">
    <w:name w:val="Изнесен текст Знак"/>
    <w:basedOn w:val="a0"/>
    <w:link w:val="a6"/>
    <w:uiPriority w:val="99"/>
    <w:semiHidden/>
    <w:rsid w:val="001366F5"/>
    <w:rPr>
      <w:rFonts w:ascii="Tahoma" w:cs="Tahoma" w:hAnsi="Tahoma"/>
      <w:sz w:val="16"/>
      <w:szCs w:val="16"/>
    </w:rPr>
  </w:style>
  <w:style w:customStyle="1" w:styleId="Default" w:type="paragraph">
    <w:name w:val="Default"/>
    <w:rsid w:val="00F239C0"/>
    <w:pPr>
      <w:autoSpaceDE w:val="0"/>
      <w:autoSpaceDN w:val="0"/>
      <w:adjustRightInd w:val="0"/>
      <w:spacing w:after="0" w:line="240" w:lineRule="auto"/>
    </w:pPr>
    <w:rPr>
      <w:rFonts w:ascii="Times New Roman" w:cs="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1482">
      <w:bodyDiv w:val="1"/>
      <w:marLeft w:val="0"/>
      <w:marRight w:val="0"/>
      <w:marTop w:val="0"/>
      <w:marBottom w:val="0"/>
      <w:divBdr>
        <w:top w:val="none" w:sz="0" w:space="0" w:color="auto"/>
        <w:left w:val="none" w:sz="0" w:space="0" w:color="auto"/>
        <w:bottom w:val="none" w:sz="0" w:space="0" w:color="auto"/>
        <w:right w:val="none" w:sz="0" w:space="0" w:color="auto"/>
      </w:divBdr>
    </w:div>
    <w:div w:id="1597591167">
      <w:bodyDiv w:val="1"/>
      <w:marLeft w:val="0"/>
      <w:marRight w:val="0"/>
      <w:marTop w:val="0"/>
      <w:marBottom w:val="0"/>
      <w:divBdr>
        <w:top w:val="none" w:sz="0" w:space="0" w:color="auto"/>
        <w:left w:val="none" w:sz="0" w:space="0" w:color="auto"/>
        <w:bottom w:val="none" w:sz="0" w:space="0" w:color="auto"/>
        <w:right w:val="none" w:sz="0" w:space="0" w:color="auto"/>
      </w:divBdr>
      <w:divsChild>
        <w:div w:id="49505543">
          <w:marLeft w:val="0"/>
          <w:marRight w:val="0"/>
          <w:marTop w:val="0"/>
          <w:marBottom w:val="0"/>
          <w:divBdr>
            <w:top w:val="none" w:sz="0" w:space="0" w:color="auto"/>
            <w:left w:val="none" w:sz="0" w:space="0" w:color="auto"/>
            <w:bottom w:val="none" w:sz="0" w:space="0" w:color="auto"/>
            <w:right w:val="none" w:sz="0" w:space="0" w:color="auto"/>
          </w:divBdr>
          <w:divsChild>
            <w:div w:id="382560944">
              <w:marLeft w:val="0"/>
              <w:marRight w:val="0"/>
              <w:marTop w:val="0"/>
              <w:marBottom w:val="0"/>
              <w:divBdr>
                <w:top w:val="none" w:sz="0" w:space="0" w:color="auto"/>
                <w:left w:val="none" w:sz="0" w:space="0" w:color="auto"/>
                <w:bottom w:val="none" w:sz="0" w:space="0" w:color="auto"/>
                <w:right w:val="none" w:sz="0" w:space="0" w:color="auto"/>
              </w:divBdr>
              <w:divsChild>
                <w:div w:id="964506912">
                  <w:marLeft w:val="0"/>
                  <w:marRight w:val="0"/>
                  <w:marTop w:val="0"/>
                  <w:marBottom w:val="0"/>
                  <w:divBdr>
                    <w:top w:val="none" w:sz="0" w:space="0" w:color="auto"/>
                    <w:left w:val="none" w:sz="0" w:space="0" w:color="auto"/>
                    <w:bottom w:val="none" w:sz="0" w:space="0" w:color="auto"/>
                    <w:right w:val="none" w:sz="0" w:space="0" w:color="auto"/>
                  </w:divBdr>
                  <w:divsChild>
                    <w:div w:id="1198353260">
                      <w:marLeft w:val="0"/>
                      <w:marRight w:val="0"/>
                      <w:marTop w:val="0"/>
                      <w:marBottom w:val="0"/>
                      <w:divBdr>
                        <w:top w:val="none" w:sz="0" w:space="0" w:color="auto"/>
                        <w:left w:val="none" w:sz="0" w:space="0" w:color="auto"/>
                        <w:bottom w:val="none" w:sz="0" w:space="0" w:color="auto"/>
                        <w:right w:val="none" w:sz="0" w:space="0" w:color="auto"/>
                      </w:divBdr>
                      <w:divsChild>
                        <w:div w:id="1130780933">
                          <w:marLeft w:val="0"/>
                          <w:marRight w:val="0"/>
                          <w:marTop w:val="0"/>
                          <w:marBottom w:val="0"/>
                          <w:divBdr>
                            <w:top w:val="none" w:sz="0" w:space="0" w:color="auto"/>
                            <w:left w:val="none" w:sz="0" w:space="0" w:color="auto"/>
                            <w:bottom w:val="none" w:sz="0" w:space="0" w:color="auto"/>
                            <w:right w:val="none" w:sz="0" w:space="0" w:color="auto"/>
                          </w:divBdr>
                        </w:div>
                        <w:div w:id="794760269">
                          <w:marLeft w:val="0"/>
                          <w:marRight w:val="0"/>
                          <w:marTop w:val="0"/>
                          <w:marBottom w:val="0"/>
                          <w:divBdr>
                            <w:top w:val="none" w:sz="0" w:space="0" w:color="auto"/>
                            <w:left w:val="none" w:sz="0" w:space="0" w:color="auto"/>
                            <w:bottom w:val="none" w:sz="0" w:space="0" w:color="auto"/>
                            <w:right w:val="none" w:sz="0" w:space="0" w:color="auto"/>
                          </w:divBdr>
                        </w:div>
                        <w:div w:id="1238436408">
                          <w:marLeft w:val="0"/>
                          <w:marRight w:val="0"/>
                          <w:marTop w:val="0"/>
                          <w:marBottom w:val="0"/>
                          <w:divBdr>
                            <w:top w:val="none" w:sz="0" w:space="0" w:color="auto"/>
                            <w:left w:val="none" w:sz="0" w:space="0" w:color="auto"/>
                            <w:bottom w:val="none" w:sz="0" w:space="0" w:color="auto"/>
                            <w:right w:val="none" w:sz="0" w:space="0" w:color="auto"/>
                          </w:divBdr>
                        </w:div>
                        <w:div w:id="237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media/image1.emf"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D25A-9821-4C75-84EF-6A31AC8C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1841</Words>
  <Characters>10497</Characters>
  <Application>Microsoft Office Word</Application>
  <DocSecurity>0</DocSecurity>
  <Lines>87</Lines>
  <Paragraphs>24</Paragraphs>
  <ScaleCrop>false</ScaleCrop>
  <HeadingPairs>
    <vt:vector baseType="variant" size="4">
      <vt:variant>
        <vt:lpstr>Заглавие</vt:lpstr>
      </vt:variant>
      <vt:variant>
        <vt:i4>1</vt:i4>
      </vt:variant>
      <vt:variant>
        <vt:lpstr>Title</vt:lpstr>
      </vt:variant>
      <vt:variant>
        <vt:i4>1</vt:i4>
      </vt:variant>
    </vt:vector>
  </HeadingPairs>
  <TitlesOfParts>
    <vt:vector baseType="lpstr" size="2">
      <vt: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2020-03-29T20:42:00Z</dcterms:created>
  <dc:creator>Milen M. Krastev</dc:creator>
  <cp:lastModifiedBy>Потребител на Windows</cp:lastModifiedBy>
  <dcterms:modified xsi:type="dcterms:W3CDTF">2020-03-29T20:42:00Z</dcterms:modified>
  <cp:revision>2</cp:revision>
</cp:coreProperties>
</file>