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B0" w:rsidRDefault="002166B0">
      <w:pPr>
        <w:rPr>
          <w:lang w:val="en-US"/>
        </w:rPr>
      </w:pPr>
    </w:p>
    <w:p w:rsidR="006C6723" w:rsidRPr="006E2FC5" w:rsidRDefault="001819A1" w:rsidP="001A12D0">
      <w:pPr>
        <w:jc w:val="center"/>
        <w:rPr>
          <w:b/>
          <w:sz w:val="32"/>
          <w:u w:val="single"/>
        </w:rPr>
      </w:pPr>
      <w:r w:rsidRPr="006E2FC5">
        <w:rPr>
          <w:b/>
          <w:sz w:val="32"/>
          <w:u w:val="single"/>
        </w:rPr>
        <w:t>ОБЯВА</w:t>
      </w:r>
    </w:p>
    <w:p w:rsidR="001819A1" w:rsidRPr="001819A1" w:rsidRDefault="001819A1" w:rsidP="001A12D0">
      <w:pPr>
        <w:jc w:val="center"/>
        <w:rPr>
          <w:b/>
        </w:rPr>
      </w:pPr>
      <w:r>
        <w:rPr>
          <w:b/>
        </w:rPr>
        <w:t>ЗА ПОДБОР НА ПРОЕКТНИ ПРЕДЛОЖЕНИЯ ЗА ПРЕДОСТАВЯНЕ НА БЕЗВЪЗМЕЗ</w:t>
      </w:r>
      <w:r w:rsidR="00E271AF">
        <w:rPr>
          <w:b/>
        </w:rPr>
        <w:t>ДНА ФИНАНСОВА ПОМОЩ ПО МЯРКА 4.2</w:t>
      </w:r>
      <w:r>
        <w:rPr>
          <w:b/>
        </w:rPr>
        <w:t xml:space="preserve"> „</w:t>
      </w:r>
      <w:r w:rsidR="00E271AF">
        <w:rPr>
          <w:b/>
        </w:rPr>
        <w:t>ИНВЕСТИЦИИ В ПРЕРАБОТКА/МАРКЕТИНГ НА СЕЛСКОСТОПАНСКИ ПРОДУКТИ</w:t>
      </w:r>
      <w:r>
        <w:rPr>
          <w:b/>
        </w:rPr>
        <w:t>“ ОТ СТРАТЕГИ</w:t>
      </w:r>
      <w:r w:rsidR="00F24002">
        <w:rPr>
          <w:b/>
        </w:rPr>
        <w:t>ЯТА ЗА ВОМР НА МИГ БЯЛА СЛАТИНА</w:t>
      </w:r>
    </w:p>
    <w:p w:rsidR="006C6723" w:rsidRPr="001A12D0" w:rsidRDefault="006C6723">
      <w:pPr>
        <w:rPr>
          <w:b/>
          <w:lang w:val="en-US"/>
        </w:rPr>
      </w:pPr>
    </w:p>
    <w:p w:rsidR="006C6723" w:rsidRDefault="00DA1E8D" w:rsidP="0092286F">
      <w:pPr>
        <w:ind w:firstLine="708"/>
        <w:jc w:val="both"/>
      </w:pPr>
      <w:r>
        <w:t xml:space="preserve">На основание </w:t>
      </w:r>
      <w:r w:rsidRPr="00956273">
        <w:t>Решение №</w:t>
      </w:r>
      <w:r w:rsidR="006B2F2D" w:rsidRPr="00956273">
        <w:t xml:space="preserve"> </w:t>
      </w:r>
      <w:r w:rsidR="00956273" w:rsidRPr="00956273">
        <w:t>10</w:t>
      </w:r>
      <w:r w:rsidR="00F64124" w:rsidRPr="00956273">
        <w:t xml:space="preserve"> от 0</w:t>
      </w:r>
      <w:r w:rsidR="00956273" w:rsidRPr="00956273">
        <w:t>2.07</w:t>
      </w:r>
      <w:r w:rsidR="00F24002" w:rsidRPr="00956273">
        <w:t>.201</w:t>
      </w:r>
      <w:r w:rsidR="00956273" w:rsidRPr="00956273">
        <w:t>9</w:t>
      </w:r>
      <w:r w:rsidR="00F24002" w:rsidRPr="00956273">
        <w:t xml:space="preserve"> г.</w:t>
      </w:r>
      <w:bookmarkStart w:id="0" w:name="_GoBack"/>
      <w:bookmarkEnd w:id="0"/>
      <w:r w:rsidR="00F24002">
        <w:t xml:space="preserve"> на У</w:t>
      </w:r>
      <w:r w:rsidR="00F565F2">
        <w:t>правителния съвет (УС)</w:t>
      </w:r>
      <w:r w:rsidR="00F24002">
        <w:t xml:space="preserve"> на МИГ Бяла Слатина, чл. 62, т. 4 от Наредба № 22/2015</w:t>
      </w:r>
      <w:r w:rsidR="00F565F2">
        <w:t xml:space="preserve">“ </w:t>
      </w:r>
      <w:r w:rsidR="00F24002">
        <w:t>и в из</w:t>
      </w:r>
      <w:r w:rsidR="00E271AF">
        <w:t>пълнение на Стратегия за ВОМР, М</w:t>
      </w:r>
      <w:r w:rsidR="001A12D0">
        <w:t xml:space="preserve">естна инициативна група Бяла Слатина </w:t>
      </w:r>
      <w:r w:rsidR="00F565F2">
        <w:t>обявява процедура за подбор на проектни предложения за предоставяне на безвъзмездна финансова помощ</w:t>
      </w:r>
      <w:r w:rsidR="001A12D0" w:rsidRPr="001A12D0">
        <w:t xml:space="preserve"> по </w:t>
      </w:r>
      <w:r w:rsidR="001A12D0">
        <w:t>Мярка</w:t>
      </w:r>
      <w:r w:rsidR="001A12D0" w:rsidRPr="001A12D0">
        <w:t xml:space="preserve"> </w:t>
      </w:r>
      <w:r w:rsidR="00C56019">
        <w:t>4.</w:t>
      </w:r>
      <w:r w:rsidR="00E271AF">
        <w:t>2</w:t>
      </w:r>
      <w:r w:rsidR="001A12D0" w:rsidRPr="001A12D0">
        <w:t xml:space="preserve"> „</w:t>
      </w:r>
      <w:r w:rsidR="00E271AF">
        <w:t>Инвестиции в преработка/маркетинг на селскостопански продукти</w:t>
      </w:r>
      <w:r w:rsidR="001A12D0" w:rsidRPr="001A12D0">
        <w:t xml:space="preserve">”, </w:t>
      </w:r>
      <w:r w:rsidR="00C56019">
        <w:t>от Стратегията за ВОМР на МИГ Бяла Слатина</w:t>
      </w:r>
      <w:r w:rsidR="001A12D0" w:rsidRPr="001A12D0">
        <w:t xml:space="preserve"> посредство</w:t>
      </w:r>
      <w:r w:rsidR="00373F5A">
        <w:t>м процедура на подбор на проектни предложения</w:t>
      </w:r>
      <w:r w:rsidR="001A12D0" w:rsidRPr="001A12D0">
        <w:t xml:space="preserve"> с един краен срок за кандидатстване </w:t>
      </w:r>
      <w:r w:rsidR="007C3520" w:rsidRPr="00D303CA">
        <w:rPr>
          <w:b/>
        </w:rPr>
        <w:t>BG06</w:t>
      </w:r>
      <w:r w:rsidR="007C3520" w:rsidRPr="00D303CA">
        <w:rPr>
          <w:b/>
          <w:lang w:val="en-US"/>
        </w:rPr>
        <w:t>RDN</w:t>
      </w:r>
      <w:r w:rsidR="007C3520" w:rsidRPr="00D303CA">
        <w:rPr>
          <w:b/>
        </w:rPr>
        <w:t>P001-</w:t>
      </w:r>
      <w:r w:rsidR="007C3520" w:rsidRPr="00D303CA">
        <w:rPr>
          <w:b/>
          <w:lang w:val="en-US"/>
        </w:rPr>
        <w:t>1</w:t>
      </w:r>
      <w:r w:rsidR="007C3520" w:rsidRPr="00D303CA">
        <w:rPr>
          <w:b/>
        </w:rPr>
        <w:t>9</w:t>
      </w:r>
      <w:r w:rsidR="001A12D0" w:rsidRPr="00D303CA">
        <w:rPr>
          <w:b/>
        </w:rPr>
        <w:t>.</w:t>
      </w:r>
      <w:r w:rsidR="00F1144E">
        <w:rPr>
          <w:b/>
          <w:lang w:val="en-US"/>
        </w:rPr>
        <w:t>294</w:t>
      </w:r>
      <w:r w:rsidR="007C3520" w:rsidRPr="0048396B">
        <w:rPr>
          <w:b/>
        </w:rPr>
        <w:t xml:space="preserve"> МИГ Бяла Слатина</w:t>
      </w:r>
      <w:r w:rsidR="00D303CA">
        <w:rPr>
          <w:b/>
        </w:rPr>
        <w:t xml:space="preserve"> </w:t>
      </w:r>
      <w:r w:rsidR="007C3520" w:rsidRPr="0048396B">
        <w:rPr>
          <w:b/>
        </w:rPr>
        <w:t>4.</w:t>
      </w:r>
      <w:r w:rsidR="00E271AF">
        <w:rPr>
          <w:b/>
        </w:rPr>
        <w:t>2</w:t>
      </w:r>
      <w:r w:rsidR="001A12D0" w:rsidRPr="0048396B">
        <w:rPr>
          <w:b/>
        </w:rPr>
        <w:t xml:space="preserve"> „</w:t>
      </w:r>
      <w:r w:rsidR="00E271AF">
        <w:rPr>
          <w:b/>
        </w:rPr>
        <w:t>Инвестиции в преработка/маркетинг на селскостопански продукти</w:t>
      </w:r>
      <w:r w:rsidR="001A12D0" w:rsidRPr="0048396B">
        <w:rPr>
          <w:b/>
        </w:rPr>
        <w:t>“</w:t>
      </w:r>
      <w:r w:rsidR="001A12D0" w:rsidRPr="007C3520">
        <w:t>.</w:t>
      </w:r>
    </w:p>
    <w:p w:rsidR="00F565F2" w:rsidRDefault="006D20B9" w:rsidP="00DA1E8D">
      <w:pPr>
        <w:jc w:val="both"/>
      </w:pPr>
      <w:r>
        <w:rPr>
          <w:b/>
        </w:rPr>
        <w:t>Наименование на</w:t>
      </w:r>
      <w:r w:rsidR="00F565F2" w:rsidRPr="00F565F2">
        <w:rPr>
          <w:b/>
        </w:rPr>
        <w:t xml:space="preserve"> програма</w:t>
      </w:r>
      <w:r>
        <w:rPr>
          <w:b/>
        </w:rPr>
        <w:t>та</w:t>
      </w:r>
      <w:r w:rsidR="00F565F2" w:rsidRPr="00F565F2">
        <w:rPr>
          <w:b/>
        </w:rPr>
        <w:t>:</w:t>
      </w:r>
      <w:r w:rsidR="00F565F2">
        <w:t xml:space="preserve"> Програма за развитие на селските райони 2014-2020 г.</w:t>
      </w:r>
    </w:p>
    <w:p w:rsidR="006D20B9" w:rsidRPr="00F565F2" w:rsidRDefault="006D20B9" w:rsidP="00DA1E8D">
      <w:pPr>
        <w:jc w:val="both"/>
      </w:pPr>
      <w:r w:rsidRPr="00101FC5">
        <w:rPr>
          <w:b/>
        </w:rPr>
        <w:t>Наименование на приоритетната ос:</w:t>
      </w:r>
      <w:r>
        <w:t xml:space="preserve"> Подмярка 19.2 „Прилагане на операции в рамките на </w:t>
      </w:r>
      <w:r w:rsidR="00101FC5">
        <w:t>стратегии за В</w:t>
      </w:r>
      <w:r w:rsidR="00EF6F6E">
        <w:t>одено от общностите местно развитие</w:t>
      </w:r>
      <w:r>
        <w:t>“</w:t>
      </w:r>
      <w:r w:rsidR="00101FC5">
        <w:t xml:space="preserve"> от Мярка 19 „Водено от общностите местно развитие“</w:t>
      </w:r>
      <w:r w:rsidR="005472DF">
        <w:t xml:space="preserve"> от Програмата за развитие на селските райони за периода 2014-2020 г.</w:t>
      </w:r>
    </w:p>
    <w:p w:rsidR="00EF6F6E" w:rsidRPr="00EF6F6E" w:rsidRDefault="00EF6F6E" w:rsidP="00DA1E8D">
      <w:pPr>
        <w:jc w:val="both"/>
      </w:pPr>
      <w:r w:rsidRPr="00EF6F6E">
        <w:rPr>
          <w:b/>
        </w:rPr>
        <w:t>Основната цел</w:t>
      </w:r>
      <w:r>
        <w:t xml:space="preserve"> при </w:t>
      </w:r>
      <w:r w:rsidRPr="00E62E6B">
        <w:t>прилагането на мярка 4.</w:t>
      </w:r>
      <w:r w:rsidR="00E271AF">
        <w:t xml:space="preserve">2 </w:t>
      </w:r>
      <w:r w:rsidRPr="00E62E6B">
        <w:t>„</w:t>
      </w:r>
      <w:r w:rsidR="00E271AF">
        <w:t>И</w:t>
      </w:r>
      <w:r w:rsidRPr="00EF6F6E">
        <w:t xml:space="preserve">нвестиции в </w:t>
      </w:r>
      <w:r w:rsidR="00E271AF">
        <w:t>преработка/маркетинг на селскостопански продукти</w:t>
      </w:r>
      <w:r w:rsidRPr="00EF6F6E">
        <w:t xml:space="preserve">“ е подобряване </w:t>
      </w:r>
      <w:r w:rsidR="005C62AD">
        <w:t xml:space="preserve">на цялостната дейност, икономическата ефективност и конкурентоспособността на предприятия от хранително-преработвателната промишленост </w:t>
      </w:r>
      <w:r w:rsidRPr="00EF6F6E">
        <w:t>чрез:</w:t>
      </w:r>
    </w:p>
    <w:p w:rsidR="00EF6F6E" w:rsidRPr="00EF6F6E" w:rsidRDefault="00EF6F6E" w:rsidP="00326BF4">
      <w:pPr>
        <w:tabs>
          <w:tab w:val="left" w:pos="306"/>
        </w:tabs>
        <w:jc w:val="both"/>
      </w:pPr>
      <w:r w:rsidRPr="00EF6F6E">
        <w:t>1.</w:t>
      </w:r>
      <w:r w:rsidRPr="00EF6F6E">
        <w:tab/>
      </w:r>
      <w:r w:rsidR="005C62AD">
        <w:t>по-ефективно използване на факторите за производство</w:t>
      </w:r>
      <w:r w:rsidRPr="00EF6F6E">
        <w:t>;</w:t>
      </w:r>
    </w:p>
    <w:p w:rsidR="00EF6F6E" w:rsidRPr="00EF6F6E" w:rsidRDefault="00EF6F6E" w:rsidP="00326BF4">
      <w:pPr>
        <w:tabs>
          <w:tab w:val="left" w:pos="306"/>
        </w:tabs>
        <w:jc w:val="both"/>
      </w:pPr>
      <w:r w:rsidRPr="00EF6F6E">
        <w:t>2.</w:t>
      </w:r>
      <w:r w:rsidRPr="00EF6F6E">
        <w:tab/>
      </w:r>
      <w:r w:rsidR="005C62AD">
        <w:t>въвеждане на нови продукти, процеси и технологии, включително къси вериги на доставка</w:t>
      </w:r>
      <w:r w:rsidRPr="00EF6F6E">
        <w:t>;</w:t>
      </w:r>
    </w:p>
    <w:p w:rsidR="00EF6F6E" w:rsidRPr="00EF6F6E" w:rsidRDefault="00EF6F6E" w:rsidP="00326BF4">
      <w:pPr>
        <w:tabs>
          <w:tab w:val="left" w:pos="306"/>
        </w:tabs>
        <w:jc w:val="both"/>
      </w:pPr>
      <w:r w:rsidRPr="00EF6F6E">
        <w:t>3.</w:t>
      </w:r>
      <w:r w:rsidRPr="00EF6F6E">
        <w:tab/>
      </w:r>
      <w:r w:rsidR="005C62AD">
        <w:t>подобряване на качеството и безопасността на храните и тяхната проследяемост</w:t>
      </w:r>
      <w:r w:rsidRPr="00EF6F6E">
        <w:t>;</w:t>
      </w:r>
    </w:p>
    <w:p w:rsidR="00EF6F6E" w:rsidRPr="00EF6F6E" w:rsidRDefault="00EF6F6E" w:rsidP="00326BF4">
      <w:pPr>
        <w:tabs>
          <w:tab w:val="left" w:pos="306"/>
        </w:tabs>
        <w:jc w:val="both"/>
      </w:pPr>
      <w:r w:rsidRPr="00EF6F6E">
        <w:t>4.</w:t>
      </w:r>
      <w:r w:rsidRPr="00EF6F6E">
        <w:tab/>
      </w:r>
      <w:r w:rsidR="005C62AD">
        <w:t>постигане на съответствие със стандартите на Европейския съюз (ЕС)</w:t>
      </w:r>
      <w:r w:rsidRPr="00EF6F6E">
        <w:t>;</w:t>
      </w:r>
    </w:p>
    <w:p w:rsidR="00EF6F6E" w:rsidRDefault="00EF6F6E" w:rsidP="00326BF4">
      <w:pPr>
        <w:tabs>
          <w:tab w:val="left" w:pos="306"/>
        </w:tabs>
        <w:jc w:val="both"/>
      </w:pPr>
      <w:r w:rsidRPr="00EF6F6E">
        <w:t>5.</w:t>
      </w:r>
      <w:r w:rsidRPr="00EF6F6E">
        <w:tab/>
      </w:r>
      <w:r w:rsidR="005C62AD">
        <w:t>въвеждане на иновативни процеси и технологии, целящи опазване на околната среда, както и ориентиране към преработка на биологични продукти;</w:t>
      </w:r>
    </w:p>
    <w:p w:rsidR="005C62AD" w:rsidRPr="00EF6F6E" w:rsidRDefault="005C62AD" w:rsidP="00326BF4">
      <w:pPr>
        <w:tabs>
          <w:tab w:val="left" w:pos="306"/>
        </w:tabs>
        <w:jc w:val="both"/>
      </w:pPr>
      <w:r>
        <w:t>6. кооперирането и интеграцията между земеделските производители и предприятията от хранително-вкусовата промишленост на територията на МИГ.</w:t>
      </w:r>
    </w:p>
    <w:p w:rsidR="004B334C" w:rsidRDefault="00C56019" w:rsidP="00DA1E8D">
      <w:pPr>
        <w:jc w:val="both"/>
      </w:pPr>
      <w:r w:rsidRPr="004B334C">
        <w:rPr>
          <w:b/>
        </w:rPr>
        <w:t>Допустими кандидати</w:t>
      </w:r>
      <w:r w:rsidR="007E6158" w:rsidRPr="004B334C">
        <w:rPr>
          <w:b/>
        </w:rPr>
        <w:t xml:space="preserve"> </w:t>
      </w:r>
      <w:r w:rsidR="007E6158" w:rsidRPr="004B334C">
        <w:t>по процедурата са</w:t>
      </w:r>
      <w:r w:rsidR="004B334C">
        <w:t>:</w:t>
      </w:r>
    </w:p>
    <w:p w:rsidR="004B334C" w:rsidRPr="004B334C" w:rsidRDefault="004B334C" w:rsidP="004B334C">
      <w:pPr>
        <w:pStyle w:val="ab"/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4B334C">
        <w:rPr>
          <w:rFonts w:eastAsia="Calibri"/>
          <w:sz w:val="24"/>
          <w:szCs w:val="24"/>
        </w:rPr>
        <w:t>земеделски стопани;</w:t>
      </w:r>
    </w:p>
    <w:p w:rsidR="004B334C" w:rsidRPr="004B334C" w:rsidRDefault="004B334C" w:rsidP="004B334C">
      <w:pPr>
        <w:pStyle w:val="ab"/>
        <w:numPr>
          <w:ilvl w:val="0"/>
          <w:numId w:val="4"/>
        </w:numPr>
        <w:jc w:val="both"/>
        <w:rPr>
          <w:rFonts w:eastAsia="Calibri"/>
          <w:sz w:val="24"/>
          <w:szCs w:val="24"/>
        </w:rPr>
      </w:pPr>
      <w:r w:rsidRPr="004B334C">
        <w:rPr>
          <w:rFonts w:eastAsia="Calibri"/>
          <w:sz w:val="24"/>
          <w:szCs w:val="24"/>
        </w:rPr>
        <w:t>признати групи или организации на производители или такива, одобрени за финансова помощ по Мярка 9 „Учредяване на групи и организации на производители” от ПРСР 2014 - 2020 г.;</w:t>
      </w:r>
    </w:p>
    <w:p w:rsidR="00C235F6" w:rsidRDefault="004B334C" w:rsidP="004B334C">
      <w:pPr>
        <w:pStyle w:val="BulletNumbers"/>
        <w:numPr>
          <w:ilvl w:val="0"/>
          <w:numId w:val="4"/>
        </w:numPr>
        <w:spacing w:after="0"/>
        <w:jc w:val="both"/>
      </w:pPr>
      <w:r w:rsidRPr="00C13C5F">
        <w:lastRenderedPageBreak/>
        <w:t>еднолични търговци и юридически лица, различни от кандидатите по т. 1 и 2;</w:t>
      </w:r>
    </w:p>
    <w:p w:rsidR="007E6158" w:rsidRPr="00AA64D9" w:rsidRDefault="00C235F6" w:rsidP="00DA1E8D">
      <w:pPr>
        <w:jc w:val="both"/>
      </w:pPr>
      <w:r w:rsidRPr="00BD1632">
        <w:rPr>
          <w:b/>
          <w:lang w:val="en-US"/>
        </w:rPr>
        <w:t>К</w:t>
      </w:r>
      <w:r w:rsidR="007E6158" w:rsidRPr="00BD1632">
        <w:rPr>
          <w:b/>
        </w:rPr>
        <w:t>андидатите</w:t>
      </w:r>
      <w:r w:rsidR="007E6158" w:rsidRPr="00BD1632">
        <w:t xml:space="preserve"> трябва д</w:t>
      </w:r>
      <w:r w:rsidR="00AA64D9">
        <w:t xml:space="preserve">а са </w:t>
      </w:r>
      <w:r w:rsidR="007E6158" w:rsidRPr="00AA64D9">
        <w:t>р</w:t>
      </w:r>
      <w:r w:rsidR="00AA64D9" w:rsidRPr="00AA64D9">
        <w:t>егистрирани по Търговския закон или Закона за кооперациите.</w:t>
      </w:r>
    </w:p>
    <w:p w:rsidR="00C56019" w:rsidRDefault="007E6158" w:rsidP="00DA1E8D">
      <w:pPr>
        <w:jc w:val="both"/>
        <w:rPr>
          <w:i/>
        </w:rPr>
      </w:pPr>
      <w:r w:rsidRPr="00DA1E8D">
        <w:rPr>
          <w:b/>
          <w:i/>
        </w:rPr>
        <w:t>Допустими са само кандидати със седалище за юридическите лица и постоянен адрес за физическите лица на територията на МИГ</w:t>
      </w:r>
      <w:r w:rsidRPr="00DA1E8D">
        <w:rPr>
          <w:i/>
        </w:rPr>
        <w:t>.</w:t>
      </w:r>
    </w:p>
    <w:p w:rsidR="000B6E2B" w:rsidRDefault="000B6E2B" w:rsidP="00DA1E8D">
      <w:pPr>
        <w:jc w:val="both"/>
        <w:rPr>
          <w:i/>
        </w:rPr>
      </w:pPr>
    </w:p>
    <w:p w:rsidR="000B6E2B" w:rsidRPr="00746945" w:rsidRDefault="000B6E2B" w:rsidP="000B6E2B">
      <w:pPr>
        <w:spacing w:line="276" w:lineRule="auto"/>
        <w:jc w:val="both"/>
        <w:rPr>
          <w:b/>
        </w:rPr>
      </w:pPr>
      <w:r w:rsidRPr="00746945">
        <w:rPr>
          <w:b/>
        </w:rPr>
        <w:t>Критерии за допустимост: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 xml:space="preserve">1/ </w:t>
      </w:r>
      <w:r w:rsidRPr="00746945">
        <w:rPr>
          <w:b/>
        </w:rPr>
        <w:t>За кандидати земеделски стопани</w:t>
      </w:r>
      <w:r w:rsidRPr="00746945">
        <w:t xml:space="preserve"> </w:t>
      </w:r>
    </w:p>
    <w:p w:rsidR="000B6E2B" w:rsidRPr="00746945" w:rsidRDefault="000B6E2B" w:rsidP="000B6E2B">
      <w:pPr>
        <w:spacing w:line="276" w:lineRule="auto"/>
        <w:jc w:val="both"/>
        <w:rPr>
          <w:b/>
        </w:rPr>
      </w:pPr>
      <w:r w:rsidRPr="00746945">
        <w:t>Към датата на подаване на проектното предложение трябва да отговарят на следните условия: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а/ да са регистрирани като земеделски стопани съгласно Наредба № 3 от 1999 г. за създаване и поддържане на регистър на земеделските стопани (ДВ, бр. 10 от 1999 г.); и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б/ минималният стандартен производствен обем на земеделското им стопанство е не по-малко от левовата равностойност на 8000 евро., което се доказва с: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- Декларация (по образец Приложение №3) за изчисление на минималния СПО на стопанството през текущата стопанска година към момента на кандидатстване, и: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- Регистрация на обработваната от кандидата земя и отглежданите животни в Интегрираната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система за администриране и контрол (ИСАК); или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- Документ за собственост или ползване на земята или заповеди по чл. 37в, ал.4, 10 и 12 от Закона за собствеността и ползването на земеделските земи, която участва при изчисляването му; или</w:t>
      </w:r>
    </w:p>
    <w:p w:rsidR="000B6E2B" w:rsidRPr="00746945" w:rsidRDefault="000B6E2B" w:rsidP="000B6E2B">
      <w:pPr>
        <w:spacing w:line="276" w:lineRule="auto"/>
        <w:jc w:val="both"/>
      </w:pPr>
      <w:r w:rsidRPr="00746945">
        <w:t>- анкетните формуляри от анкетна карта/анкетни карти на земеделския стопанин, издадени по реда на Наредба № 3 от 29.01.1999 г. за създаване и поддържане на регистър на земеделски стопани.</w:t>
      </w:r>
    </w:p>
    <w:p w:rsidR="000B6E2B" w:rsidRPr="000B6E2B" w:rsidRDefault="000B6E2B" w:rsidP="000B6E2B">
      <w:pPr>
        <w:jc w:val="both"/>
        <w:rPr>
          <w:b/>
          <w:lang w:val="en-US"/>
        </w:rPr>
      </w:pPr>
      <w:r w:rsidRPr="00746945">
        <w:t>2/ Кандидатите по т.2 прилагат Справка-декларация за обработваната земя/отглежданите животни от членовете на групата/организацията на производители, с които участват в групата/организацията (Приложение № 16).</w:t>
      </w:r>
      <w:r w:rsidRPr="00746945">
        <w:cr/>
      </w:r>
      <w:r>
        <w:t>3/</w:t>
      </w:r>
      <w:r w:rsidRPr="00006FCE">
        <w:t xml:space="preserve"> За к</w:t>
      </w:r>
      <w:r>
        <w:t xml:space="preserve">андидатите </w:t>
      </w:r>
      <w:r w:rsidRPr="00F4608F">
        <w:t>еднол</w:t>
      </w:r>
      <w:r>
        <w:t xml:space="preserve">ични търговци и юридически лица,  </w:t>
      </w:r>
      <w:r w:rsidRPr="00F4608F">
        <w:t>които не са регистрирани или са регистрирани през текущата или годината, предхождаща годината на кандидатстване, като земеделски стопани по реда на Наредба № 3 от 1999 г. за създаване и поддържане на регистър на земеделските стопани,</w:t>
      </w:r>
      <w:r>
        <w:t xml:space="preserve"> важат условията по т.1</w:t>
      </w:r>
      <w:r>
        <w:rPr>
          <w:lang w:val="en-US"/>
        </w:rPr>
        <w:t>.</w:t>
      </w:r>
    </w:p>
    <w:p w:rsidR="00DA1E8D" w:rsidRDefault="00DA1E8D" w:rsidP="00DA1E8D">
      <w:pPr>
        <w:jc w:val="both"/>
        <w:rPr>
          <w:b/>
        </w:rPr>
      </w:pPr>
    </w:p>
    <w:p w:rsidR="00A4356C" w:rsidRDefault="00CF636D" w:rsidP="00DA1E8D">
      <w:pPr>
        <w:jc w:val="both"/>
        <w:rPr>
          <w:rFonts w:eastAsiaTheme="majorEastAsia"/>
        </w:rPr>
      </w:pPr>
      <w:r w:rsidRPr="0086528C">
        <w:rPr>
          <w:b/>
        </w:rPr>
        <w:t>Допустим</w:t>
      </w:r>
      <w:r w:rsidR="00C56019">
        <w:rPr>
          <w:b/>
        </w:rPr>
        <w:t>и дейности</w:t>
      </w:r>
      <w:r w:rsidR="00C21584">
        <w:rPr>
          <w:b/>
        </w:rPr>
        <w:t xml:space="preserve"> само на територията на МИГ за</w:t>
      </w:r>
      <w:r w:rsidR="00A4356C" w:rsidRPr="002D718B">
        <w:rPr>
          <w:rFonts w:eastAsiaTheme="majorEastAsia"/>
        </w:rPr>
        <w:t>:</w:t>
      </w:r>
    </w:p>
    <w:p w:rsidR="00A4356C" w:rsidRDefault="00A4356C" w:rsidP="00A4356C">
      <w:pPr>
        <w:tabs>
          <w:tab w:val="left" w:pos="284"/>
        </w:tabs>
        <w:jc w:val="both"/>
        <w:rPr>
          <w:rFonts w:eastAsiaTheme="majorEastAsia"/>
        </w:rPr>
      </w:pPr>
      <w:r w:rsidRPr="002D718B">
        <w:rPr>
          <w:rFonts w:eastAsiaTheme="majorEastAsia"/>
        </w:rPr>
        <w:t>1.</w:t>
      </w:r>
      <w:r w:rsidRPr="002D718B">
        <w:rPr>
          <w:rFonts w:eastAsiaTheme="majorEastAsia"/>
        </w:rPr>
        <w:tab/>
        <w:t xml:space="preserve">внедряване на нови </w:t>
      </w:r>
      <w:r w:rsidR="00C21584">
        <w:rPr>
          <w:rFonts w:eastAsiaTheme="majorEastAsia"/>
        </w:rPr>
        <w:t>и/или модернизиране на наличните мощности  и подобряване на използването им, и/или</w:t>
      </w:r>
    </w:p>
    <w:p w:rsidR="00A4356C" w:rsidRPr="002D718B" w:rsidRDefault="00A4356C" w:rsidP="00A4356C">
      <w:pPr>
        <w:tabs>
          <w:tab w:val="left" w:pos="284"/>
        </w:tabs>
        <w:jc w:val="both"/>
        <w:rPr>
          <w:rFonts w:eastAsiaTheme="majorEastAsia"/>
        </w:rPr>
      </w:pPr>
      <w:r w:rsidRPr="002D718B">
        <w:rPr>
          <w:rFonts w:eastAsiaTheme="majorEastAsia"/>
        </w:rPr>
        <w:lastRenderedPageBreak/>
        <w:t>2.</w:t>
      </w:r>
      <w:r w:rsidRPr="002D718B">
        <w:rPr>
          <w:rFonts w:eastAsiaTheme="majorEastAsia"/>
        </w:rPr>
        <w:tab/>
      </w:r>
      <w:r w:rsidR="00EF5392" w:rsidRPr="00EF5392">
        <w:rPr>
          <w:rFonts w:eastAsiaTheme="majorEastAsia"/>
        </w:rPr>
        <w:t>внедряване на нови продукти, процеси и технологии, и/или</w:t>
      </w:r>
    </w:p>
    <w:p w:rsidR="00A4356C" w:rsidRPr="002D718B" w:rsidRDefault="00A4356C" w:rsidP="00A4356C">
      <w:pPr>
        <w:tabs>
          <w:tab w:val="left" w:pos="284"/>
        </w:tabs>
        <w:jc w:val="both"/>
        <w:rPr>
          <w:rFonts w:eastAsiaTheme="majorEastAsia"/>
        </w:rPr>
      </w:pPr>
      <w:r w:rsidRPr="002D718B">
        <w:rPr>
          <w:rFonts w:eastAsiaTheme="majorEastAsia"/>
        </w:rPr>
        <w:t>3.</w:t>
      </w:r>
      <w:r w:rsidRPr="002D718B">
        <w:rPr>
          <w:rFonts w:eastAsiaTheme="majorEastAsia"/>
        </w:rPr>
        <w:tab/>
      </w:r>
      <w:r w:rsidR="00EF5392" w:rsidRPr="00EF5392">
        <w:rPr>
          <w:rFonts w:eastAsiaTheme="majorEastAsia"/>
        </w:rPr>
        <w:t>намаляване на себестойността на произвежданата продукция, и/или</w:t>
      </w:r>
    </w:p>
    <w:p w:rsidR="00EF5392" w:rsidRDefault="00A4356C" w:rsidP="00A4356C">
      <w:pPr>
        <w:tabs>
          <w:tab w:val="left" w:pos="284"/>
        </w:tabs>
        <w:jc w:val="both"/>
        <w:rPr>
          <w:rFonts w:eastAsiaTheme="majorEastAsia"/>
        </w:rPr>
      </w:pPr>
      <w:r w:rsidRPr="002D718B">
        <w:rPr>
          <w:rFonts w:eastAsiaTheme="majorEastAsia"/>
        </w:rPr>
        <w:t>4.</w:t>
      </w:r>
      <w:r w:rsidRPr="002D718B">
        <w:rPr>
          <w:rFonts w:eastAsiaTheme="majorEastAsia"/>
        </w:rPr>
        <w:tab/>
      </w:r>
      <w:r w:rsidR="00EF5392" w:rsidRPr="00EF5392">
        <w:rPr>
          <w:rFonts w:eastAsiaTheme="majorEastAsia"/>
        </w:rPr>
        <w:t>постигане на съответствие с ново въведени стандарти на ЕС, и/или</w:t>
      </w:r>
    </w:p>
    <w:p w:rsidR="00A4356C" w:rsidRPr="002D718B" w:rsidRDefault="00A4356C" w:rsidP="00A4356C">
      <w:pPr>
        <w:tabs>
          <w:tab w:val="left" w:pos="284"/>
        </w:tabs>
        <w:jc w:val="both"/>
        <w:rPr>
          <w:rFonts w:eastAsiaTheme="majorEastAsia"/>
        </w:rPr>
      </w:pPr>
      <w:r w:rsidRPr="002D718B">
        <w:rPr>
          <w:rFonts w:eastAsiaTheme="majorEastAsia"/>
        </w:rPr>
        <w:t>5.</w:t>
      </w:r>
      <w:r w:rsidRPr="002D718B">
        <w:rPr>
          <w:rFonts w:eastAsiaTheme="majorEastAsia"/>
        </w:rPr>
        <w:tab/>
      </w:r>
      <w:r w:rsidR="00EF5392" w:rsidRPr="00EF5392">
        <w:rPr>
          <w:rFonts w:eastAsiaTheme="majorEastAsia"/>
        </w:rPr>
        <w:t>подобряване на сътрудничеството с производителите на суровини, и/или</w:t>
      </w:r>
    </w:p>
    <w:p w:rsidR="00A4356C" w:rsidRDefault="00A4356C" w:rsidP="00A4356C">
      <w:pPr>
        <w:tabs>
          <w:tab w:val="left" w:pos="284"/>
        </w:tabs>
        <w:jc w:val="both"/>
        <w:rPr>
          <w:rFonts w:eastAsiaTheme="majorEastAsia"/>
        </w:rPr>
      </w:pPr>
      <w:r w:rsidRPr="002D718B">
        <w:rPr>
          <w:rFonts w:eastAsiaTheme="majorEastAsia"/>
        </w:rPr>
        <w:t>6.</w:t>
      </w:r>
      <w:r w:rsidRPr="002D718B">
        <w:rPr>
          <w:rFonts w:eastAsiaTheme="majorEastAsia"/>
        </w:rPr>
        <w:tab/>
      </w:r>
      <w:r w:rsidR="00EF5392" w:rsidRPr="00EF5392">
        <w:rPr>
          <w:rFonts w:eastAsiaTheme="majorEastAsia"/>
        </w:rPr>
        <w:t>опазване на околната среда, включително намаляване на вредните емисии и отпадъци, и/или</w:t>
      </w:r>
    </w:p>
    <w:p w:rsidR="00EF5392" w:rsidRDefault="00EF5392" w:rsidP="00A4356C">
      <w:pPr>
        <w:tabs>
          <w:tab w:val="left" w:pos="284"/>
        </w:tabs>
        <w:jc w:val="both"/>
        <w:rPr>
          <w:rFonts w:eastAsiaTheme="majorEastAsia"/>
        </w:rPr>
      </w:pPr>
      <w:r w:rsidRPr="00EF5392">
        <w:rPr>
          <w:rFonts w:eastAsiaTheme="majorEastAsia"/>
        </w:rPr>
        <w:t>7.</w:t>
      </w:r>
      <w:r w:rsidRPr="00EF5392">
        <w:rPr>
          <w:rFonts w:eastAsiaTheme="majorEastAsia"/>
        </w:rPr>
        <w:tab/>
        <w:t>подобряване на енергийната ефективност в предприятията, и/или</w:t>
      </w:r>
    </w:p>
    <w:p w:rsidR="00EF5392" w:rsidRDefault="00EF5392" w:rsidP="00A4356C">
      <w:pPr>
        <w:tabs>
          <w:tab w:val="left" w:pos="284"/>
        </w:tabs>
        <w:jc w:val="both"/>
        <w:rPr>
          <w:rFonts w:eastAsiaTheme="majorEastAsia"/>
        </w:rPr>
      </w:pPr>
      <w:r w:rsidRPr="00EF5392">
        <w:rPr>
          <w:rFonts w:eastAsiaTheme="majorEastAsia"/>
        </w:rPr>
        <w:t>8.</w:t>
      </w:r>
      <w:r w:rsidRPr="00EF5392">
        <w:rPr>
          <w:rFonts w:eastAsiaTheme="majorEastAsia"/>
        </w:rPr>
        <w:tab/>
        <w:t>подобряване на безопасността и хигиенните условия на производство и труд, и/или</w:t>
      </w:r>
    </w:p>
    <w:p w:rsidR="00EF5392" w:rsidRDefault="00EF5392" w:rsidP="00A4356C">
      <w:pPr>
        <w:tabs>
          <w:tab w:val="left" w:pos="284"/>
        </w:tabs>
        <w:jc w:val="both"/>
        <w:rPr>
          <w:rFonts w:eastAsiaTheme="majorEastAsia"/>
        </w:rPr>
      </w:pPr>
      <w:r w:rsidRPr="00EF5392">
        <w:rPr>
          <w:rFonts w:eastAsiaTheme="majorEastAsia"/>
        </w:rPr>
        <w:t>9.</w:t>
      </w:r>
      <w:r w:rsidRPr="00EF5392">
        <w:rPr>
          <w:rFonts w:eastAsiaTheme="majorEastAsia"/>
        </w:rPr>
        <w:tab/>
        <w:t>подобряване на качеството и безопасността на храните и тяхната проследяемост, и/или</w:t>
      </w:r>
    </w:p>
    <w:p w:rsidR="00EF5392" w:rsidRPr="002D718B" w:rsidRDefault="00EF5392" w:rsidP="00A4356C">
      <w:pPr>
        <w:tabs>
          <w:tab w:val="left" w:pos="284"/>
        </w:tabs>
        <w:jc w:val="both"/>
        <w:rPr>
          <w:rFonts w:eastAsiaTheme="majorEastAsia"/>
        </w:rPr>
      </w:pPr>
      <w:r>
        <w:rPr>
          <w:rFonts w:eastAsiaTheme="majorEastAsia"/>
        </w:rPr>
        <w:t>10.</w:t>
      </w:r>
      <w:r w:rsidRPr="00EF5392">
        <w:rPr>
          <w:rFonts w:eastAsiaTheme="majorEastAsia"/>
        </w:rPr>
        <w:t>подобряване на възможностите за производство на биологични храни чрез преработка на първични земеделски биологични продукти</w:t>
      </w:r>
      <w:r w:rsidR="008F4B02">
        <w:rPr>
          <w:rFonts w:eastAsiaTheme="majorEastAsia"/>
        </w:rPr>
        <w:t>.</w:t>
      </w:r>
    </w:p>
    <w:p w:rsidR="00A4356C" w:rsidRDefault="00A4356C" w:rsidP="00C235F6">
      <w:pPr>
        <w:ind w:firstLine="708"/>
        <w:jc w:val="both"/>
        <w:rPr>
          <w:rFonts w:eastAsiaTheme="majorEastAsia"/>
        </w:rPr>
      </w:pPr>
      <w:r w:rsidRPr="002D718B">
        <w:rPr>
          <w:rFonts w:eastAsiaTheme="majorEastAsia"/>
        </w:rPr>
        <w:t>Финансовата помощ по мярката се предоставя под формата на възстановяване на</w:t>
      </w:r>
      <w:r>
        <w:rPr>
          <w:rFonts w:eastAsiaTheme="majorEastAsia"/>
        </w:rPr>
        <w:t xml:space="preserve"> д</w:t>
      </w:r>
      <w:r w:rsidRPr="002D718B">
        <w:rPr>
          <w:rFonts w:eastAsiaTheme="majorEastAsia"/>
        </w:rPr>
        <w:t>ействително направени и платени допустими разходи</w:t>
      </w:r>
      <w:r>
        <w:rPr>
          <w:rFonts w:eastAsiaTheme="majorEastAsia"/>
        </w:rPr>
        <w:t>.</w:t>
      </w:r>
    </w:p>
    <w:p w:rsidR="00DA1E8D" w:rsidRDefault="00DA1E8D" w:rsidP="00DA1E8D">
      <w:pPr>
        <w:jc w:val="both"/>
        <w:rPr>
          <w:rFonts w:eastAsiaTheme="majorEastAsia"/>
          <w:b/>
        </w:rPr>
      </w:pPr>
    </w:p>
    <w:p w:rsidR="00A4356C" w:rsidRPr="002D718B" w:rsidRDefault="00777B77" w:rsidP="00DA1E8D">
      <w:pPr>
        <w:jc w:val="both"/>
        <w:rPr>
          <w:rFonts w:eastAsiaTheme="majorEastAsia"/>
        </w:rPr>
      </w:pPr>
      <w:r w:rsidRPr="00777B77">
        <w:rPr>
          <w:rFonts w:eastAsiaTheme="majorEastAsia"/>
          <w:b/>
        </w:rPr>
        <w:t>Допустими разходи</w:t>
      </w:r>
      <w:r w:rsidR="00DA1E8D">
        <w:rPr>
          <w:rFonts w:eastAsiaTheme="majorEastAsia"/>
          <w:b/>
        </w:rPr>
        <w:t xml:space="preserve"> за</w:t>
      </w:r>
      <w:r>
        <w:rPr>
          <w:rFonts w:eastAsiaTheme="majorEastAsia"/>
        </w:rPr>
        <w:t>:</w:t>
      </w:r>
    </w:p>
    <w:p w:rsidR="00EF5550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1.</w:t>
      </w:r>
      <w:r w:rsidRPr="00DE0E06">
        <w:rPr>
          <w:sz w:val="24"/>
          <w:szCs w:val="24"/>
        </w:rPr>
        <w:tab/>
      </w:r>
      <w:r w:rsidR="00EF5550" w:rsidRPr="00EF5550">
        <w:rPr>
          <w:sz w:val="24"/>
          <w:szCs w:val="24"/>
        </w:rPr>
        <w:t>изграждане, придобиване и модернизиране на сгради и други недвижими активи свързани с производството и/или маркетинга, включително такива, използвани за опазване компонентите на околната среда;</w:t>
      </w:r>
    </w:p>
    <w:p w:rsidR="00A25804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2.</w:t>
      </w:r>
      <w:r w:rsidRPr="00DE0E06">
        <w:rPr>
          <w:sz w:val="24"/>
          <w:szCs w:val="24"/>
        </w:rPr>
        <w:tab/>
      </w:r>
      <w:r w:rsidR="00EF5550" w:rsidRPr="00EF5550">
        <w:rPr>
          <w:sz w:val="24"/>
          <w:szCs w:val="24"/>
        </w:rPr>
        <w:t>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</w:r>
    </w:p>
    <w:p w:rsidR="00EF5550" w:rsidRDefault="00EF5550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F5550">
        <w:rPr>
          <w:sz w:val="24"/>
          <w:szCs w:val="24"/>
        </w:rPr>
        <w:t>преработка, пакетиране, включително охлаждане, замразяване, сушене, съхраняване и др. на суровините или продукцията;</w:t>
      </w:r>
    </w:p>
    <w:p w:rsidR="00EF5550" w:rsidRDefault="00EF5550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F5550">
        <w:rPr>
          <w:sz w:val="24"/>
          <w:szCs w:val="24"/>
        </w:rPr>
        <w:t>производство на нови продукти, въвеждане на нови технологии и процеси;</w:t>
      </w:r>
    </w:p>
    <w:p w:rsidR="00EF5550" w:rsidRDefault="00EF5550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EF5550">
        <w:rPr>
          <w:sz w:val="24"/>
          <w:szCs w:val="24"/>
        </w:rPr>
        <w:t>опазване компонентите на околната среда;</w:t>
      </w:r>
    </w:p>
    <w:p w:rsidR="00EF5550" w:rsidRDefault="00EF5550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EF5550">
        <w:rPr>
          <w:sz w:val="24"/>
          <w:szCs w:val="24"/>
        </w:rPr>
        <w:t>производство на енергия от възобновяеми енергийни източници за собствените нужди на предприятието, включително чрез преработка на растителна и животинска първична и вторична биомаса;</w:t>
      </w:r>
    </w:p>
    <w:p w:rsidR="00EF5550" w:rsidRPr="00DE0E06" w:rsidRDefault="00EF5550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EF5550">
        <w:rPr>
          <w:sz w:val="24"/>
          <w:szCs w:val="24"/>
        </w:rPr>
        <w:t>подобряване на енергийната ефективност и за подобряване и контрол на качеството и безопасността на суровините и храните;</w:t>
      </w:r>
    </w:p>
    <w:p w:rsidR="00EF5550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3.</w:t>
      </w:r>
      <w:r w:rsidRPr="00DE0E06">
        <w:rPr>
          <w:sz w:val="24"/>
          <w:szCs w:val="24"/>
        </w:rPr>
        <w:tab/>
      </w:r>
      <w:r w:rsidR="00EF5550" w:rsidRPr="00EF5550">
        <w:rPr>
          <w:sz w:val="24"/>
          <w:szCs w:val="24"/>
        </w:rPr>
        <w:t>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</w:t>
      </w:r>
    </w:p>
    <w:p w:rsidR="00A25804" w:rsidRPr="00DE0E06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4.</w:t>
      </w:r>
      <w:r w:rsidRPr="00DE0E06">
        <w:rPr>
          <w:sz w:val="24"/>
          <w:szCs w:val="24"/>
        </w:rPr>
        <w:tab/>
      </w:r>
      <w:r w:rsidR="00EF5550" w:rsidRPr="00EF5550">
        <w:rPr>
          <w:sz w:val="24"/>
          <w:szCs w:val="24"/>
        </w:rPr>
        <w:t>закупуване на сгради, помещения и други недвижими имоти, необходими за изпълнение на проекта, предназначени за производствени дейности на територията на МИГ;</w:t>
      </w:r>
    </w:p>
    <w:p w:rsidR="00A25804" w:rsidRPr="00DE0E06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5.</w:t>
      </w:r>
      <w:r w:rsidRPr="00DE0E06">
        <w:rPr>
          <w:sz w:val="24"/>
          <w:szCs w:val="24"/>
        </w:rPr>
        <w:tab/>
      </w:r>
      <w:r w:rsidR="00EF5550" w:rsidRPr="00EF5550">
        <w:rPr>
          <w:sz w:val="24"/>
          <w:szCs w:val="24"/>
        </w:rPr>
        <w:t xml:space="preserve">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</w:t>
      </w:r>
      <w:r w:rsidR="00EF5550" w:rsidRPr="00EF5550">
        <w:rPr>
          <w:sz w:val="24"/>
          <w:szCs w:val="24"/>
        </w:rPr>
        <w:lastRenderedPageBreak/>
        <w:t>продукция, използвани и произвеждани от предприятието;</w:t>
      </w:r>
    </w:p>
    <w:p w:rsidR="00A25804" w:rsidRPr="00DE0E06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6.</w:t>
      </w:r>
      <w:r w:rsidRPr="00DE0E06">
        <w:rPr>
          <w:sz w:val="24"/>
          <w:szCs w:val="24"/>
        </w:rPr>
        <w:tab/>
      </w:r>
      <w:r w:rsidR="00EF5550" w:rsidRPr="00EF5550">
        <w:rPr>
          <w:sz w:val="24"/>
          <w:szCs w:val="24"/>
        </w:rPr>
        <w:t>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</w:r>
    </w:p>
    <w:p w:rsidR="00A25804" w:rsidRPr="00DE0E06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7.</w:t>
      </w:r>
      <w:r w:rsidRPr="00DE0E06">
        <w:rPr>
          <w:sz w:val="24"/>
          <w:szCs w:val="24"/>
        </w:rPr>
        <w:tab/>
      </w:r>
      <w:r w:rsidR="005B325C" w:rsidRPr="005B325C">
        <w:rPr>
          <w:sz w:val="24"/>
          <w:szCs w:val="24"/>
        </w:rPr>
        <w:t>материални инвестиции за постигане на съответствие с новоприети стандарти на Съюза</w:t>
      </w:r>
      <w:r w:rsidR="005B325C">
        <w:rPr>
          <w:sz w:val="24"/>
          <w:szCs w:val="24"/>
        </w:rPr>
        <w:t>;</w:t>
      </w:r>
    </w:p>
    <w:p w:rsidR="00A25804" w:rsidRPr="00DE0E06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8.</w:t>
      </w:r>
      <w:r w:rsidRPr="00DE0E06">
        <w:rPr>
          <w:sz w:val="24"/>
          <w:szCs w:val="24"/>
        </w:rPr>
        <w:tab/>
      </w:r>
      <w:r w:rsidR="005B325C" w:rsidRPr="005B325C">
        <w:rPr>
          <w:sz w:val="24"/>
          <w:szCs w:val="24"/>
        </w:rPr>
        <w:t>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</w:r>
    </w:p>
    <w:p w:rsidR="00A25804" w:rsidRPr="00DE0E06" w:rsidRDefault="00A25804" w:rsidP="0092286F">
      <w:pPr>
        <w:pStyle w:val="ab"/>
        <w:tabs>
          <w:tab w:val="left" w:pos="284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9.</w:t>
      </w:r>
      <w:r w:rsidRPr="00DE0E06">
        <w:rPr>
          <w:sz w:val="24"/>
          <w:szCs w:val="24"/>
        </w:rPr>
        <w:tab/>
      </w:r>
      <w:r w:rsidR="005B325C" w:rsidRPr="005B325C">
        <w:rPr>
          <w:sz w:val="24"/>
          <w:szCs w:val="24"/>
        </w:rPr>
        <w:t>закупуване на софтуер, включително чрез финансов лизинг;</w:t>
      </w:r>
    </w:p>
    <w:p w:rsidR="00A25804" w:rsidRPr="00DE0E06" w:rsidRDefault="00A25804" w:rsidP="0092286F">
      <w:pPr>
        <w:pStyle w:val="ab"/>
        <w:tabs>
          <w:tab w:val="left" w:pos="284"/>
          <w:tab w:val="left" w:pos="426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10.</w:t>
      </w:r>
      <w:r w:rsidRPr="00DE0E06">
        <w:rPr>
          <w:sz w:val="24"/>
          <w:szCs w:val="24"/>
        </w:rPr>
        <w:tab/>
      </w:r>
      <w:r w:rsidR="005B325C" w:rsidRPr="005B325C">
        <w:rPr>
          <w:sz w:val="24"/>
          <w:szCs w:val="24"/>
        </w:rPr>
        <w:t>за ноу-хау, придобиване на патентни права и лицензи, за регистрация на търговски марки и процеси, необходими за изготвяне и изпълнение на проекта;</w:t>
      </w:r>
    </w:p>
    <w:p w:rsidR="00A25804" w:rsidRDefault="00A25804" w:rsidP="0092286F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DE0E06">
        <w:rPr>
          <w:sz w:val="24"/>
          <w:szCs w:val="24"/>
        </w:rPr>
        <w:t>11.</w:t>
      </w:r>
      <w:r w:rsidRPr="00DE0E06">
        <w:rPr>
          <w:sz w:val="24"/>
          <w:szCs w:val="24"/>
        </w:rPr>
        <w:tab/>
      </w:r>
      <w:r w:rsidR="005B325C" w:rsidRPr="005B325C">
        <w:rPr>
          <w:sz w:val="24"/>
          <w:szCs w:val="24"/>
        </w:rPr>
        <w:t>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</w:t>
      </w:r>
      <w:r w:rsidR="005B325C">
        <w:rPr>
          <w:sz w:val="24"/>
          <w:szCs w:val="24"/>
        </w:rPr>
        <w:t xml:space="preserve"> </w:t>
      </w:r>
      <w:r w:rsidR="005B325C" w:rsidRPr="005B325C">
        <w:rPr>
          <w:sz w:val="24"/>
          <w:szCs w:val="24"/>
        </w:rPr>
        <w:t>1-10</w:t>
      </w:r>
      <w:r w:rsidR="005B325C">
        <w:rPr>
          <w:sz w:val="24"/>
          <w:szCs w:val="24"/>
        </w:rPr>
        <w:t>.</w:t>
      </w:r>
    </w:p>
    <w:p w:rsid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Допустимите разходи по т. 11 не може да превишават следните стойности: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1.</w:t>
      </w:r>
      <w:r w:rsidRPr="00791F22">
        <w:rPr>
          <w:sz w:val="24"/>
          <w:szCs w:val="24"/>
        </w:rPr>
        <w:tab/>
        <w:t>за консултантски услуги, свързани с подготовката и управлението на проекта, като част от разходите по т. 11 не могат да превишават 5 на сто от допустимите разходи по т. 1 - 10, но не повече от левовата равностойност на 35 000 евро;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2.</w:t>
      </w:r>
      <w:r w:rsidRPr="00791F22">
        <w:rPr>
          <w:sz w:val="24"/>
          <w:szCs w:val="24"/>
        </w:rPr>
        <w:tab/>
        <w:t>разходите за изготвяне на технически и работен проект в случаите на строително-монтажни дейности, като част от разходите т. 11 не могат да превишават 2.25 на сто от допустимите разходи по т. 1 - 10;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3.</w:t>
      </w:r>
      <w:r w:rsidRPr="00791F22">
        <w:rPr>
          <w:sz w:val="24"/>
          <w:szCs w:val="24"/>
        </w:rPr>
        <w:tab/>
        <w:t>разходите за изготвяне на технологичен проект, когато не е включен в разходите по т. 2, като част от разходите по т. 11 не могат да превишават 2.25 на сто от допустимите разходи по т. 1 - 10;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4.</w:t>
      </w:r>
      <w:r w:rsidRPr="00791F22">
        <w:rPr>
          <w:sz w:val="24"/>
          <w:szCs w:val="24"/>
        </w:rPr>
        <w:tab/>
        <w:t>разходите за строителен надзор като част от разходите по т. 11 не могат да превишават едно на сто от допустимите разходи по т. 1 - 10;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5.</w:t>
      </w:r>
      <w:r w:rsidRPr="00791F22">
        <w:rPr>
          <w:sz w:val="24"/>
          <w:szCs w:val="24"/>
        </w:rPr>
        <w:tab/>
        <w:t>разходите за пред проектни проучвания, правни услуги и хонорари за архитекти и инженери, извън тези по т. 1, 2, 3 и 4, като част от разходите по т. 11 не могат да превишават 1,5 на сто от допустимите разходи по т. 1 - 10.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Разходите за закупуване на земя, сгради и други недвижими имоти по т. 3 и 4 не могат да надхвърлят 10 на сто от общия размер на допустимите разходи по т. 1 и 2 и т. 5 - 10.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Разходите по т. 11 са допустими, ако са извършени не по-рано от 1 януари 2014 г., независимо дали всички свързани с тях плащания са направени.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lastRenderedPageBreak/>
        <w:t>Дейностите и разходите по проекта, с изключение на разходите по т. 11, са допустими, ако са извършени след подаване на заявлението за подпомагане, независимо дали всички свързани с тях плащания са направени.</w:t>
      </w:r>
    </w:p>
    <w:p w:rsidR="00791F22" w:rsidRP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Разходите за закупуване на земя, сгради и други недвижими имоти - недвижима собственост, са допустими за финансиране до размера на данъчната им оценка, валидна към датата на подаване на заявлението за подпомагане. В случай че към датата на придобиването данъчната оценка е с по-ниска стойност, допустими за финансиране са разходи до този размер.</w:t>
      </w:r>
    </w:p>
    <w:p w:rsidR="00791F22" w:rsidRDefault="00791F22" w:rsidP="00791F22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  <w:r w:rsidRPr="00791F22">
        <w:rPr>
          <w:sz w:val="24"/>
          <w:szCs w:val="24"/>
        </w:rPr>
        <w:t>Закупуването чрез финансов лизинг на активите е допустимо, при условие че ползвателят на помощта стане собственик на съответния актив не по-късно от датата на подаване на заявката за междинно или окончателно плащане за същия актив</w:t>
      </w:r>
      <w:r w:rsidR="000A0F6D">
        <w:rPr>
          <w:sz w:val="24"/>
          <w:szCs w:val="24"/>
        </w:rPr>
        <w:t>.</w:t>
      </w:r>
    </w:p>
    <w:p w:rsidR="00791F22" w:rsidRDefault="00791F22" w:rsidP="0092286F">
      <w:pPr>
        <w:pStyle w:val="ab"/>
        <w:tabs>
          <w:tab w:val="left" w:pos="447"/>
        </w:tabs>
        <w:ind w:left="22"/>
        <w:jc w:val="both"/>
        <w:rPr>
          <w:sz w:val="24"/>
          <w:szCs w:val="24"/>
        </w:rPr>
      </w:pPr>
    </w:p>
    <w:p w:rsidR="008B4F30" w:rsidRDefault="00C56019" w:rsidP="00DA1E8D">
      <w:pPr>
        <w:jc w:val="both"/>
      </w:pPr>
      <w:r>
        <w:rPr>
          <w:b/>
        </w:rPr>
        <w:t>Бюджет на приема:</w:t>
      </w:r>
      <w:r w:rsidR="008B4F30">
        <w:rPr>
          <w:b/>
        </w:rPr>
        <w:t xml:space="preserve"> </w:t>
      </w:r>
      <w:r w:rsidR="008B4F30">
        <w:t xml:space="preserve">Общият </w:t>
      </w:r>
      <w:r w:rsidR="008B4F30" w:rsidRPr="00735269">
        <w:t xml:space="preserve">размер на безвъзмездната финансова помощ </w:t>
      </w:r>
      <w:r w:rsidR="008B4F30">
        <w:rPr>
          <w:lang w:val="en-GB"/>
        </w:rPr>
        <w:t>(</w:t>
      </w:r>
      <w:r w:rsidR="008B4F30">
        <w:t>БФП</w:t>
      </w:r>
      <w:r w:rsidR="008B4F30">
        <w:rPr>
          <w:lang w:val="en-GB"/>
        </w:rPr>
        <w:t>)</w:t>
      </w:r>
      <w:r w:rsidR="008B4F30">
        <w:t xml:space="preserve"> </w:t>
      </w:r>
      <w:r w:rsidR="008B4F30" w:rsidRPr="00735269">
        <w:t>п</w:t>
      </w:r>
      <w:r w:rsidR="00B2765F">
        <w:t>о процедурата е в размер на  133</w:t>
      </w:r>
      <w:r w:rsidR="008B4F30" w:rsidRPr="00735269">
        <w:t xml:space="preserve"> </w:t>
      </w:r>
      <w:r w:rsidR="00B2765F">
        <w:t>7</w:t>
      </w:r>
      <w:r w:rsidR="008B4F30" w:rsidRPr="00735269">
        <w:t xml:space="preserve">00 </w:t>
      </w:r>
      <w:r w:rsidR="008B4F30">
        <w:t>лева.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3123"/>
      </w:tblGrid>
      <w:tr w:rsidR="00692257" w:rsidRPr="00C023F7" w:rsidTr="009E4B79">
        <w:trPr>
          <w:trHeight w:hRule="exact" w:val="711"/>
        </w:trPr>
        <w:tc>
          <w:tcPr>
            <w:tcW w:w="2977" w:type="dxa"/>
            <w:tcBorders>
              <w:top w:val="single" w:sz="8" w:space="0" w:color="000000"/>
            </w:tcBorders>
            <w:shd w:val="clear" w:color="auto" w:fill="BEBEBE"/>
          </w:tcPr>
          <w:p w:rsidR="00692257" w:rsidRPr="005F7254" w:rsidRDefault="00692257" w:rsidP="009436C1">
            <w:pPr>
              <w:pStyle w:val="TableParagraph"/>
              <w:spacing w:line="23" w:lineRule="atLeast"/>
              <w:ind w:left="511" w:right="508"/>
              <w:jc w:val="center"/>
              <w:rPr>
                <w:b/>
                <w:sz w:val="24"/>
                <w:szCs w:val="24"/>
              </w:rPr>
            </w:pPr>
            <w:r w:rsidRPr="005F7254">
              <w:rPr>
                <w:b/>
                <w:sz w:val="24"/>
                <w:szCs w:val="24"/>
              </w:rPr>
              <w:t>Общ размер на БФП</w:t>
            </w:r>
          </w:p>
        </w:tc>
        <w:tc>
          <w:tcPr>
            <w:tcW w:w="2977" w:type="dxa"/>
            <w:tcBorders>
              <w:top w:val="single" w:sz="8" w:space="0" w:color="000000"/>
            </w:tcBorders>
            <w:shd w:val="clear" w:color="auto" w:fill="BEBEBE"/>
          </w:tcPr>
          <w:p w:rsidR="00692257" w:rsidRPr="005F7254" w:rsidRDefault="00692257" w:rsidP="009436C1">
            <w:pPr>
              <w:pStyle w:val="TableParagraph"/>
              <w:spacing w:line="23" w:lineRule="atLeast"/>
              <w:ind w:left="326" w:right="307" w:firstLine="309"/>
              <w:jc w:val="center"/>
              <w:rPr>
                <w:b/>
                <w:sz w:val="24"/>
                <w:szCs w:val="24"/>
              </w:rPr>
            </w:pPr>
            <w:r w:rsidRPr="005F7254">
              <w:rPr>
                <w:b/>
                <w:sz w:val="24"/>
                <w:szCs w:val="24"/>
              </w:rPr>
              <w:t>Финансиране от ЕЗФРСР</w:t>
            </w:r>
          </w:p>
        </w:tc>
        <w:tc>
          <w:tcPr>
            <w:tcW w:w="3123" w:type="dxa"/>
            <w:tcBorders>
              <w:top w:val="single" w:sz="8" w:space="0" w:color="000000"/>
            </w:tcBorders>
            <w:shd w:val="clear" w:color="auto" w:fill="BEBEBE"/>
          </w:tcPr>
          <w:p w:rsidR="00692257" w:rsidRPr="005F7254" w:rsidRDefault="00692257" w:rsidP="009436C1">
            <w:pPr>
              <w:pStyle w:val="TableParagraph"/>
              <w:spacing w:line="23" w:lineRule="atLeast"/>
              <w:ind w:left="712" w:right="681" w:firstLine="206"/>
              <w:rPr>
                <w:b/>
                <w:sz w:val="24"/>
                <w:szCs w:val="24"/>
              </w:rPr>
            </w:pPr>
            <w:r w:rsidRPr="005F7254">
              <w:rPr>
                <w:b/>
                <w:sz w:val="24"/>
                <w:szCs w:val="24"/>
              </w:rPr>
              <w:t>Национално съфинансиране</w:t>
            </w:r>
          </w:p>
        </w:tc>
      </w:tr>
      <w:tr w:rsidR="00692257" w:rsidRPr="00C023F7" w:rsidTr="009E4B79">
        <w:trPr>
          <w:trHeight w:hRule="exact" w:val="649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257" w:rsidRPr="00C023F7" w:rsidRDefault="00B2765F" w:rsidP="009436C1">
            <w:pPr>
              <w:jc w:val="center"/>
            </w:pPr>
            <w:r>
              <w:t>133 7</w:t>
            </w:r>
            <w:r w:rsidR="00692257" w:rsidRPr="00C023F7">
              <w:t>00,00 лв.</w:t>
            </w:r>
          </w:p>
          <w:p w:rsidR="00692257" w:rsidRPr="00C023F7" w:rsidRDefault="00692257" w:rsidP="009436C1">
            <w:pPr>
              <w:jc w:val="center"/>
            </w:pPr>
            <w:r w:rsidRPr="00C023F7">
              <w:t>100 %</w:t>
            </w:r>
          </w:p>
          <w:p w:rsidR="00692257" w:rsidRPr="00C023F7" w:rsidRDefault="00692257" w:rsidP="009436C1">
            <w:pPr>
              <w:jc w:val="center"/>
            </w:pPr>
          </w:p>
          <w:p w:rsidR="00692257" w:rsidRPr="00C023F7" w:rsidRDefault="00692257" w:rsidP="009436C1">
            <w:pPr>
              <w:jc w:val="center"/>
            </w:pPr>
          </w:p>
          <w:p w:rsidR="00692257" w:rsidRPr="00C023F7" w:rsidRDefault="00692257" w:rsidP="009436C1">
            <w:pPr>
              <w:jc w:val="center"/>
            </w:pPr>
          </w:p>
          <w:p w:rsidR="00692257" w:rsidRPr="00C023F7" w:rsidRDefault="00692257" w:rsidP="009436C1">
            <w:pPr>
              <w:pStyle w:val="TableParagraph"/>
              <w:spacing w:line="23" w:lineRule="atLeast"/>
              <w:ind w:left="511" w:right="508"/>
              <w:jc w:val="center"/>
              <w:rPr>
                <w:sz w:val="24"/>
                <w:szCs w:val="24"/>
              </w:rPr>
            </w:pPr>
            <w:r w:rsidRPr="00C023F7">
              <w:rPr>
                <w:sz w:val="24"/>
                <w:szCs w:val="24"/>
              </w:rPr>
              <w:t>(100 %)</w:t>
            </w:r>
          </w:p>
          <w:p w:rsidR="00692257" w:rsidRPr="00C023F7" w:rsidRDefault="00692257" w:rsidP="009436C1">
            <w:pPr>
              <w:pStyle w:val="TableParagraph"/>
              <w:spacing w:line="23" w:lineRule="atLeast"/>
              <w:ind w:left="511" w:right="508"/>
              <w:jc w:val="center"/>
              <w:rPr>
                <w:sz w:val="24"/>
                <w:szCs w:val="24"/>
              </w:rPr>
            </w:pPr>
          </w:p>
          <w:p w:rsidR="00692257" w:rsidRPr="00C023F7" w:rsidRDefault="00692257" w:rsidP="009436C1">
            <w:pPr>
              <w:pStyle w:val="TableParagraph"/>
              <w:spacing w:line="23" w:lineRule="atLeast"/>
              <w:ind w:left="511" w:right="508"/>
              <w:jc w:val="center"/>
              <w:rPr>
                <w:sz w:val="24"/>
                <w:szCs w:val="24"/>
              </w:rPr>
            </w:pPr>
          </w:p>
          <w:p w:rsidR="00692257" w:rsidRPr="00C023F7" w:rsidRDefault="00692257" w:rsidP="009436C1">
            <w:pPr>
              <w:pStyle w:val="TableParagraph"/>
              <w:spacing w:line="23" w:lineRule="atLeast"/>
              <w:ind w:left="511" w:right="5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257" w:rsidRPr="00C023F7" w:rsidRDefault="00B2765F" w:rsidP="009436C1">
            <w:pPr>
              <w:jc w:val="center"/>
            </w:pPr>
            <w:r>
              <w:t>120</w:t>
            </w:r>
            <w:r w:rsidR="00692257" w:rsidRPr="00C023F7">
              <w:t> </w:t>
            </w:r>
            <w:r>
              <w:t>33</w:t>
            </w:r>
            <w:r w:rsidR="00692257" w:rsidRPr="00C023F7">
              <w:t>0,00 лв.</w:t>
            </w:r>
          </w:p>
          <w:p w:rsidR="00692257" w:rsidRPr="00C023F7" w:rsidRDefault="00692257" w:rsidP="009436C1">
            <w:pPr>
              <w:pStyle w:val="TableParagraph"/>
              <w:spacing w:line="23" w:lineRule="atLeast"/>
              <w:ind w:right="307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023F7">
              <w:rPr>
                <w:sz w:val="24"/>
                <w:szCs w:val="24"/>
              </w:rPr>
              <w:t>90%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257" w:rsidRPr="00C023F7" w:rsidRDefault="00B2765F" w:rsidP="009436C1">
            <w:pPr>
              <w:jc w:val="center"/>
            </w:pPr>
            <w:r>
              <w:t>13</w:t>
            </w:r>
            <w:r w:rsidR="00692257">
              <w:t xml:space="preserve"> </w:t>
            </w:r>
            <w:r>
              <w:t>37</w:t>
            </w:r>
            <w:r w:rsidR="00692257" w:rsidRPr="00C023F7">
              <w:t>0,00 лв.</w:t>
            </w:r>
          </w:p>
          <w:p w:rsidR="00692257" w:rsidRPr="00C023F7" w:rsidRDefault="00692257" w:rsidP="009436C1">
            <w:pPr>
              <w:jc w:val="center"/>
            </w:pPr>
            <w:r w:rsidRPr="00C023F7">
              <w:t>10 %</w:t>
            </w:r>
          </w:p>
          <w:p w:rsidR="00692257" w:rsidRPr="00C023F7" w:rsidRDefault="00692257" w:rsidP="009436C1">
            <w:pPr>
              <w:jc w:val="center"/>
            </w:pPr>
          </w:p>
          <w:p w:rsidR="00692257" w:rsidRPr="00C023F7" w:rsidRDefault="00692257" w:rsidP="009436C1">
            <w:pPr>
              <w:jc w:val="center"/>
            </w:pPr>
          </w:p>
          <w:p w:rsidR="00692257" w:rsidRPr="00C023F7" w:rsidRDefault="00692257" w:rsidP="009436C1">
            <w:pPr>
              <w:jc w:val="center"/>
            </w:pPr>
          </w:p>
          <w:p w:rsidR="00692257" w:rsidRPr="00C023F7" w:rsidRDefault="00692257" w:rsidP="009436C1">
            <w:pPr>
              <w:pStyle w:val="TableParagraph"/>
              <w:spacing w:line="23" w:lineRule="atLeast"/>
              <w:ind w:right="681"/>
              <w:jc w:val="center"/>
              <w:rPr>
                <w:sz w:val="24"/>
                <w:szCs w:val="24"/>
              </w:rPr>
            </w:pPr>
            <w:r w:rsidRPr="00C023F7">
              <w:rPr>
                <w:sz w:val="24"/>
                <w:szCs w:val="24"/>
              </w:rPr>
              <w:t>(25</w:t>
            </w:r>
          </w:p>
          <w:p w:rsidR="00692257" w:rsidRPr="00C023F7" w:rsidRDefault="00692257" w:rsidP="009436C1">
            <w:pPr>
              <w:pStyle w:val="TableParagraph"/>
              <w:spacing w:line="23" w:lineRule="atLeast"/>
              <w:ind w:right="681"/>
              <w:jc w:val="center"/>
              <w:rPr>
                <w:b/>
                <w:i/>
                <w:sz w:val="24"/>
                <w:szCs w:val="24"/>
              </w:rPr>
            </w:pPr>
            <w:r w:rsidRPr="00C023F7">
              <w:rPr>
                <w:sz w:val="24"/>
                <w:szCs w:val="24"/>
              </w:rPr>
              <w:t xml:space="preserve"> %)</w:t>
            </w:r>
          </w:p>
          <w:p w:rsidR="00692257" w:rsidRPr="00C023F7" w:rsidRDefault="00692257" w:rsidP="009436C1">
            <w:pPr>
              <w:pStyle w:val="TableParagraph"/>
              <w:spacing w:line="23" w:lineRule="atLeast"/>
              <w:ind w:right="681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91F22" w:rsidRDefault="00791F22" w:rsidP="0092286F">
      <w:pPr>
        <w:jc w:val="both"/>
        <w:rPr>
          <w:b/>
        </w:rPr>
      </w:pPr>
    </w:p>
    <w:p w:rsidR="00A16422" w:rsidRPr="002D051E" w:rsidRDefault="00A16422" w:rsidP="0092286F">
      <w:pPr>
        <w:jc w:val="both"/>
        <w:rPr>
          <w:lang w:val="en-US"/>
        </w:rPr>
      </w:pPr>
      <w:r w:rsidRPr="002D051E">
        <w:rPr>
          <w:b/>
        </w:rPr>
        <w:t>Минимален размер</w:t>
      </w:r>
      <w:r w:rsidRPr="002D051E">
        <w:t xml:space="preserve"> на общите допустими разходи за един проект: </w:t>
      </w:r>
      <w:r w:rsidR="00B2765F">
        <w:rPr>
          <w:b/>
        </w:rPr>
        <w:t>20</w:t>
      </w:r>
      <w:r w:rsidRPr="002D051E">
        <w:rPr>
          <w:b/>
        </w:rPr>
        <w:t xml:space="preserve"> 000 лв</w:t>
      </w:r>
      <w:r w:rsidRPr="002D051E">
        <w:rPr>
          <w:b/>
          <w:lang w:val="en-US"/>
        </w:rPr>
        <w:t>.</w:t>
      </w:r>
    </w:p>
    <w:p w:rsidR="00A16422" w:rsidRPr="0092286F" w:rsidRDefault="00A16422" w:rsidP="0092286F">
      <w:pPr>
        <w:jc w:val="both"/>
        <w:rPr>
          <w:b/>
        </w:rPr>
      </w:pPr>
      <w:r w:rsidRPr="0092286F">
        <w:rPr>
          <w:b/>
        </w:rPr>
        <w:t>Максимален размер</w:t>
      </w:r>
      <w:r w:rsidRPr="0092286F">
        <w:t xml:space="preserve"> на общите допустими разходи за един проект: </w:t>
      </w:r>
      <w:r w:rsidRPr="0092286F">
        <w:rPr>
          <w:b/>
        </w:rPr>
        <w:t>120 000 лв.</w:t>
      </w:r>
    </w:p>
    <w:p w:rsidR="002D051E" w:rsidRPr="00B678E5" w:rsidRDefault="002D051E" w:rsidP="0092286F">
      <w:pPr>
        <w:pStyle w:val="ab"/>
        <w:widowControl/>
        <w:shd w:val="clear" w:color="auto" w:fill="BFBFBF" w:themeFill="background1" w:themeFillShade="BF"/>
        <w:autoSpaceDE/>
        <w:autoSpaceDN/>
        <w:adjustRightInd/>
        <w:ind w:left="28"/>
        <w:jc w:val="both"/>
        <w:rPr>
          <w:sz w:val="24"/>
          <w:szCs w:val="24"/>
        </w:rPr>
      </w:pPr>
      <w:r w:rsidRPr="00034038">
        <w:rPr>
          <w:b/>
          <w:sz w:val="24"/>
          <w:szCs w:val="24"/>
        </w:rPr>
        <w:t>Важно!</w:t>
      </w:r>
      <w:r w:rsidRPr="00034038">
        <w:rPr>
          <w:sz w:val="24"/>
          <w:szCs w:val="24"/>
        </w:rPr>
        <w:t xml:space="preserve"> Общите допустими разходи включват безвъзмездната финансова помощ и съфинанс</w:t>
      </w:r>
      <w:r>
        <w:rPr>
          <w:sz w:val="24"/>
          <w:szCs w:val="24"/>
        </w:rPr>
        <w:t>ирането от страна на кандидата.</w:t>
      </w:r>
    </w:p>
    <w:p w:rsidR="00DA1E8D" w:rsidRDefault="00DA1E8D" w:rsidP="0092286F">
      <w:pPr>
        <w:pStyle w:val="ab"/>
        <w:widowControl/>
        <w:autoSpaceDE/>
        <w:autoSpaceDN/>
        <w:adjustRightInd/>
        <w:ind w:left="28"/>
        <w:jc w:val="both"/>
        <w:rPr>
          <w:b/>
          <w:sz w:val="24"/>
          <w:szCs w:val="24"/>
        </w:rPr>
      </w:pPr>
    </w:p>
    <w:p w:rsidR="002D051E" w:rsidRPr="00034038" w:rsidRDefault="002D051E" w:rsidP="0092286F">
      <w:pPr>
        <w:pStyle w:val="ab"/>
        <w:widowControl/>
        <w:autoSpaceDE/>
        <w:autoSpaceDN/>
        <w:adjustRightInd/>
        <w:ind w:left="28"/>
        <w:jc w:val="both"/>
        <w:rPr>
          <w:b/>
          <w:sz w:val="24"/>
          <w:szCs w:val="24"/>
        </w:rPr>
      </w:pPr>
      <w:r w:rsidRPr="00034038">
        <w:rPr>
          <w:b/>
          <w:sz w:val="24"/>
          <w:szCs w:val="24"/>
        </w:rPr>
        <w:t>Безвъзмездна финансова помощ:</w:t>
      </w:r>
    </w:p>
    <w:p w:rsidR="002D051E" w:rsidRDefault="002D051E" w:rsidP="0092286F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 w:rsidRPr="0092286F">
        <w:rPr>
          <w:b/>
          <w:sz w:val="24"/>
          <w:szCs w:val="24"/>
        </w:rPr>
        <w:t>1.Минимален размер на БФП:</w:t>
      </w:r>
      <w:r w:rsidRPr="00034038">
        <w:rPr>
          <w:sz w:val="24"/>
          <w:szCs w:val="24"/>
        </w:rPr>
        <w:t xml:space="preserve"> </w:t>
      </w:r>
    </w:p>
    <w:p w:rsidR="00C1793D" w:rsidRPr="00034038" w:rsidRDefault="00C1793D" w:rsidP="00C1793D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1.1. за БФП от 40 % - 8 000,00 лв.</w:t>
      </w:r>
    </w:p>
    <w:p w:rsidR="002D051E" w:rsidRPr="00034038" w:rsidRDefault="002D051E" w:rsidP="0092286F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 w:rsidRPr="00034038">
        <w:rPr>
          <w:sz w:val="24"/>
          <w:szCs w:val="24"/>
        </w:rPr>
        <w:t xml:space="preserve">  1.</w:t>
      </w:r>
      <w:r w:rsidR="00C1793D">
        <w:rPr>
          <w:sz w:val="24"/>
          <w:szCs w:val="24"/>
        </w:rPr>
        <w:t>2</w:t>
      </w:r>
      <w:r w:rsidRPr="00034038">
        <w:rPr>
          <w:sz w:val="24"/>
          <w:szCs w:val="24"/>
        </w:rPr>
        <w:t xml:space="preserve">. за БФП от 50 % - </w:t>
      </w:r>
      <w:r w:rsidR="00B2765F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B2765F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034038">
        <w:rPr>
          <w:sz w:val="24"/>
          <w:szCs w:val="24"/>
        </w:rPr>
        <w:t>,00 лв.</w:t>
      </w:r>
    </w:p>
    <w:p w:rsidR="002D051E" w:rsidRPr="00034038" w:rsidRDefault="002D051E" w:rsidP="0092286F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 w:rsidRPr="00034038">
        <w:rPr>
          <w:sz w:val="24"/>
          <w:szCs w:val="24"/>
        </w:rPr>
        <w:t xml:space="preserve">  1.</w:t>
      </w:r>
      <w:r w:rsidR="00C1793D">
        <w:rPr>
          <w:sz w:val="24"/>
          <w:szCs w:val="24"/>
        </w:rPr>
        <w:t>3</w:t>
      </w:r>
      <w:r w:rsidRPr="00034038">
        <w:rPr>
          <w:sz w:val="24"/>
          <w:szCs w:val="24"/>
        </w:rPr>
        <w:t xml:space="preserve">. за БФП от </w:t>
      </w:r>
      <w:r>
        <w:rPr>
          <w:sz w:val="24"/>
          <w:szCs w:val="24"/>
        </w:rPr>
        <w:t>6</w:t>
      </w:r>
      <w:r w:rsidRPr="00034038">
        <w:rPr>
          <w:sz w:val="24"/>
          <w:szCs w:val="24"/>
        </w:rPr>
        <w:t xml:space="preserve">0 % - </w:t>
      </w:r>
      <w:r w:rsidR="00B2765F">
        <w:rPr>
          <w:sz w:val="24"/>
          <w:szCs w:val="24"/>
        </w:rPr>
        <w:t>12</w:t>
      </w:r>
      <w:r w:rsidR="00C1793D">
        <w:rPr>
          <w:sz w:val="24"/>
          <w:szCs w:val="24"/>
        </w:rPr>
        <w:t xml:space="preserve"> 000,</w:t>
      </w:r>
      <w:r>
        <w:rPr>
          <w:sz w:val="24"/>
          <w:szCs w:val="24"/>
        </w:rPr>
        <w:t>0</w:t>
      </w:r>
      <w:r w:rsidRPr="00034038">
        <w:rPr>
          <w:sz w:val="24"/>
          <w:szCs w:val="24"/>
        </w:rPr>
        <w:t>0 лв.</w:t>
      </w:r>
    </w:p>
    <w:p w:rsidR="002D051E" w:rsidRDefault="002D051E" w:rsidP="0092286F">
      <w:pPr>
        <w:pStyle w:val="ab"/>
        <w:widowControl/>
        <w:autoSpaceDE/>
        <w:autoSpaceDN/>
        <w:adjustRightInd/>
        <w:ind w:left="28"/>
        <w:jc w:val="both"/>
        <w:rPr>
          <w:b/>
          <w:sz w:val="24"/>
          <w:szCs w:val="24"/>
        </w:rPr>
      </w:pPr>
      <w:r w:rsidRPr="0092286F">
        <w:rPr>
          <w:b/>
          <w:sz w:val="24"/>
          <w:szCs w:val="24"/>
        </w:rPr>
        <w:t xml:space="preserve">2. Максимален размер на БФП: </w:t>
      </w:r>
    </w:p>
    <w:p w:rsidR="00C1793D" w:rsidRPr="00C1793D" w:rsidRDefault="00C1793D" w:rsidP="0092286F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1793D">
        <w:rPr>
          <w:sz w:val="24"/>
          <w:szCs w:val="24"/>
        </w:rPr>
        <w:t>2.1.</w:t>
      </w:r>
      <w:r>
        <w:rPr>
          <w:sz w:val="24"/>
          <w:szCs w:val="24"/>
        </w:rPr>
        <w:t xml:space="preserve"> за БФП от 40 % - 48 000,00 лв.</w:t>
      </w:r>
    </w:p>
    <w:p w:rsidR="002D051E" w:rsidRPr="00034038" w:rsidRDefault="00C1793D" w:rsidP="0092286F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2.2</w:t>
      </w:r>
      <w:r w:rsidR="002D051E" w:rsidRPr="00034038">
        <w:rPr>
          <w:sz w:val="24"/>
          <w:szCs w:val="24"/>
        </w:rPr>
        <w:t xml:space="preserve">. за БФП </w:t>
      </w:r>
      <w:r>
        <w:rPr>
          <w:sz w:val="24"/>
          <w:szCs w:val="24"/>
        </w:rPr>
        <w:t xml:space="preserve">от </w:t>
      </w:r>
      <w:r w:rsidR="002D051E" w:rsidRPr="00034038">
        <w:rPr>
          <w:sz w:val="24"/>
          <w:szCs w:val="24"/>
        </w:rPr>
        <w:t>50 % -</w:t>
      </w:r>
      <w:r w:rsidR="002D051E">
        <w:rPr>
          <w:sz w:val="24"/>
          <w:szCs w:val="24"/>
        </w:rPr>
        <w:t xml:space="preserve"> 60 000,0</w:t>
      </w:r>
      <w:r w:rsidR="002D051E" w:rsidRPr="00034038">
        <w:rPr>
          <w:sz w:val="24"/>
          <w:szCs w:val="24"/>
        </w:rPr>
        <w:t>0 лв.</w:t>
      </w:r>
    </w:p>
    <w:p w:rsidR="002D051E" w:rsidRDefault="00C1793D" w:rsidP="0092286F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</w:t>
      </w:r>
      <w:r w:rsidR="002D051E">
        <w:rPr>
          <w:sz w:val="24"/>
          <w:szCs w:val="24"/>
        </w:rPr>
        <w:t xml:space="preserve">. за БФП </w:t>
      </w:r>
      <w:r>
        <w:rPr>
          <w:sz w:val="24"/>
          <w:szCs w:val="24"/>
        </w:rPr>
        <w:t xml:space="preserve">от </w:t>
      </w:r>
      <w:r w:rsidR="002D051E">
        <w:rPr>
          <w:sz w:val="24"/>
          <w:szCs w:val="24"/>
        </w:rPr>
        <w:t>6</w:t>
      </w:r>
      <w:r w:rsidR="002D051E" w:rsidRPr="00034038">
        <w:rPr>
          <w:sz w:val="24"/>
          <w:szCs w:val="24"/>
        </w:rPr>
        <w:t xml:space="preserve">0 % - </w:t>
      </w:r>
      <w:r w:rsidR="002D051E">
        <w:rPr>
          <w:sz w:val="24"/>
          <w:szCs w:val="24"/>
        </w:rPr>
        <w:t>72 000,0</w:t>
      </w:r>
      <w:r w:rsidR="002D051E" w:rsidRPr="00034038">
        <w:rPr>
          <w:sz w:val="24"/>
          <w:szCs w:val="24"/>
        </w:rPr>
        <w:t>0 лв.</w:t>
      </w:r>
      <w:r w:rsidR="002D051E">
        <w:rPr>
          <w:sz w:val="24"/>
          <w:szCs w:val="24"/>
        </w:rPr>
        <w:t xml:space="preserve">   </w:t>
      </w:r>
    </w:p>
    <w:p w:rsidR="00A15E79" w:rsidRPr="00746945" w:rsidRDefault="00A15E79" w:rsidP="00A15E79">
      <w:pPr>
        <w:spacing w:line="276" w:lineRule="auto"/>
        <w:jc w:val="both"/>
      </w:pPr>
      <w:r w:rsidRPr="00746945">
        <w:t>Безвъзмездната финансова помощ е в размер 50 на сто от общия размер на допустимите за финансово подпомагане разходи.</w:t>
      </w:r>
    </w:p>
    <w:p w:rsidR="00A15E79" w:rsidRPr="00746945" w:rsidRDefault="00A15E79" w:rsidP="00A15E79">
      <w:pPr>
        <w:spacing w:line="276" w:lineRule="auto"/>
        <w:jc w:val="both"/>
      </w:pPr>
      <w:r w:rsidRPr="00746945">
        <w:t>Размерът на финансовата помощ се увеличава с 10 на сто за:</w:t>
      </w:r>
    </w:p>
    <w:p w:rsidR="00A15E79" w:rsidRPr="00746945" w:rsidRDefault="00A15E79" w:rsidP="00A15E79">
      <w:pPr>
        <w:tabs>
          <w:tab w:val="left" w:pos="405"/>
        </w:tabs>
        <w:spacing w:line="276" w:lineRule="auto"/>
        <w:jc w:val="both"/>
      </w:pPr>
      <w:r w:rsidRPr="00746945">
        <w:t xml:space="preserve">1. Проекти с дейности, подпомагани по линия на Европейско партньорство за иновации /ЕПИ/ за селскостопанска </w:t>
      </w:r>
      <w:proofErr w:type="spellStart"/>
      <w:r w:rsidRPr="00746945">
        <w:t>произвoдителност</w:t>
      </w:r>
      <w:proofErr w:type="spellEnd"/>
      <w:r w:rsidRPr="00746945">
        <w:t xml:space="preserve"> и устойчивост.</w:t>
      </w:r>
    </w:p>
    <w:p w:rsidR="00A15E79" w:rsidRPr="00746945" w:rsidRDefault="00A15E79" w:rsidP="00A15E79">
      <w:pPr>
        <w:tabs>
          <w:tab w:val="left" w:pos="405"/>
        </w:tabs>
        <w:spacing w:line="276" w:lineRule="auto"/>
        <w:jc w:val="both"/>
      </w:pPr>
      <w:r w:rsidRPr="00746945">
        <w:lastRenderedPageBreak/>
        <w:t>Безвъзмездната финансова помощ за проекти, представени от големи предприятия, е 40 на сто от общия размер на допустимите за подпомагане разходи.</w:t>
      </w:r>
    </w:p>
    <w:p w:rsidR="00A15E79" w:rsidRPr="00746945" w:rsidRDefault="00A15E79" w:rsidP="00A15E79">
      <w:pPr>
        <w:tabs>
          <w:tab w:val="left" w:pos="405"/>
        </w:tabs>
        <w:spacing w:line="276" w:lineRule="auto"/>
        <w:jc w:val="both"/>
        <w:rPr>
          <w:b/>
        </w:rPr>
      </w:pPr>
      <w:r w:rsidRPr="00746945">
        <w:rPr>
          <w:b/>
        </w:rPr>
        <w:t>Максимално комбинирано подпомагане на безвъзмездната финансова помощ – 60% от общия размер на допустимите за финансово подпомагане разходи.</w:t>
      </w:r>
    </w:p>
    <w:p w:rsidR="00A15E79" w:rsidRDefault="00A15E79" w:rsidP="00A15E79">
      <w:pPr>
        <w:pStyle w:val="ab"/>
        <w:widowControl/>
        <w:autoSpaceDE/>
        <w:autoSpaceDN/>
        <w:adjustRightInd/>
        <w:ind w:left="28"/>
        <w:jc w:val="both"/>
        <w:rPr>
          <w:b/>
          <w:sz w:val="24"/>
          <w:szCs w:val="24"/>
        </w:rPr>
      </w:pPr>
    </w:p>
    <w:p w:rsidR="00A15E79" w:rsidRDefault="00A15E79" w:rsidP="00A15E79">
      <w:pPr>
        <w:pStyle w:val="ab"/>
        <w:widowControl/>
        <w:autoSpaceDE/>
        <w:autoSpaceDN/>
        <w:adjustRightInd/>
        <w:ind w:left="28"/>
        <w:jc w:val="both"/>
        <w:rPr>
          <w:b/>
          <w:sz w:val="24"/>
          <w:szCs w:val="24"/>
        </w:rPr>
      </w:pPr>
      <w:r w:rsidRPr="00746945">
        <w:rPr>
          <w:b/>
          <w:sz w:val="24"/>
          <w:szCs w:val="24"/>
        </w:rPr>
        <w:t>Съфинансиране от бенефициента:</w:t>
      </w:r>
    </w:p>
    <w:p w:rsidR="00A15E79" w:rsidRPr="00A15E79" w:rsidRDefault="00A15E79" w:rsidP="00A15E79">
      <w:pPr>
        <w:pStyle w:val="ab"/>
        <w:ind w:left="28"/>
        <w:jc w:val="both"/>
        <w:rPr>
          <w:sz w:val="24"/>
          <w:szCs w:val="24"/>
        </w:rPr>
      </w:pPr>
      <w:r w:rsidRPr="00A15E79">
        <w:rPr>
          <w:sz w:val="24"/>
          <w:szCs w:val="24"/>
        </w:rPr>
        <w:t xml:space="preserve">Разликата между общия размер на допустимите за финансово подпомагане разходи и размера на БФП се осигурява от кандидата. </w:t>
      </w:r>
    </w:p>
    <w:p w:rsidR="00A15E79" w:rsidRDefault="00A15E79" w:rsidP="00A15E79">
      <w:pPr>
        <w:pStyle w:val="ab"/>
        <w:widowControl/>
        <w:autoSpaceDE/>
        <w:autoSpaceDN/>
        <w:adjustRightInd/>
        <w:ind w:left="28"/>
        <w:jc w:val="both"/>
        <w:rPr>
          <w:sz w:val="24"/>
          <w:szCs w:val="24"/>
        </w:rPr>
      </w:pPr>
      <w:r w:rsidRPr="00A15E79">
        <w:rPr>
          <w:sz w:val="24"/>
          <w:szCs w:val="24"/>
        </w:rPr>
        <w:t>Участието на кандидата може да бъде само в парична форма.</w:t>
      </w:r>
    </w:p>
    <w:p w:rsidR="00DA1E8D" w:rsidRDefault="00DA1E8D" w:rsidP="00DA1E8D">
      <w:pPr>
        <w:jc w:val="both"/>
      </w:pPr>
    </w:p>
    <w:p w:rsidR="00C56019" w:rsidRDefault="00C56019" w:rsidP="00DA1E8D">
      <w:pPr>
        <w:jc w:val="both"/>
        <w:rPr>
          <w:b/>
        </w:rPr>
      </w:pPr>
      <w:r>
        <w:rPr>
          <w:b/>
        </w:rPr>
        <w:t>Критерии за избор на проектни предложения и тежест: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7472"/>
        <w:gridCol w:w="1160"/>
      </w:tblGrid>
      <w:tr w:rsidR="0033227C" w:rsidRPr="00694C0D" w:rsidTr="0033227C">
        <w:trPr>
          <w:trHeight w:val="559"/>
        </w:trPr>
        <w:tc>
          <w:tcPr>
            <w:tcW w:w="445" w:type="dxa"/>
            <w:shd w:val="clear" w:color="auto" w:fill="BFBFBF" w:themeFill="background1" w:themeFillShade="BF"/>
          </w:tcPr>
          <w:p w:rsidR="0033227C" w:rsidRPr="00694C0D" w:rsidRDefault="0033227C" w:rsidP="009436C1">
            <w:pPr>
              <w:pStyle w:val="TableParagraph"/>
              <w:spacing w:before="154"/>
              <w:ind w:left="8"/>
              <w:jc w:val="center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72" w:type="dxa"/>
            <w:shd w:val="clear" w:color="auto" w:fill="BFBFBF" w:themeFill="background1" w:themeFillShade="BF"/>
          </w:tcPr>
          <w:p w:rsidR="0033227C" w:rsidRPr="00694C0D" w:rsidRDefault="0033227C" w:rsidP="009436C1">
            <w:pPr>
              <w:pStyle w:val="TableParagraph"/>
              <w:spacing w:before="154"/>
              <w:ind w:left="110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33227C" w:rsidRPr="00694C0D" w:rsidRDefault="0033227C" w:rsidP="009436C1">
            <w:pPr>
              <w:pStyle w:val="TableParagraph"/>
              <w:spacing w:line="276" w:lineRule="auto"/>
              <w:ind w:left="215" w:right="170" w:firstLine="132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Мах оценка</w:t>
            </w:r>
          </w:p>
        </w:tc>
      </w:tr>
      <w:tr w:rsidR="0033227C" w:rsidRPr="00694C0D" w:rsidTr="00A15E79">
        <w:trPr>
          <w:trHeight w:val="605"/>
        </w:trPr>
        <w:tc>
          <w:tcPr>
            <w:tcW w:w="445" w:type="dxa"/>
            <w:shd w:val="clear" w:color="auto" w:fill="auto"/>
            <w:vAlign w:val="center"/>
          </w:tcPr>
          <w:p w:rsidR="0033227C" w:rsidRPr="00694C0D" w:rsidRDefault="0033227C" w:rsidP="009436C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33227C" w:rsidRPr="00694C0D" w:rsidRDefault="0033227C" w:rsidP="009436C1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226A08" w:rsidP="009436C1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226A08">
              <w:rPr>
                <w:sz w:val="24"/>
                <w:szCs w:val="24"/>
              </w:rPr>
              <w:t>Проектът предвижда инвестиции за преработка на суровини от плодове и/или зеленчуци и/или животновъдството</w:t>
            </w:r>
            <w:r w:rsidR="00A15E79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3227C" w:rsidRDefault="0033227C" w:rsidP="006F6B94">
            <w:pPr>
              <w:pStyle w:val="TableParagraph"/>
              <w:ind w:left="448"/>
              <w:jc w:val="right"/>
              <w:rPr>
                <w:sz w:val="24"/>
                <w:szCs w:val="24"/>
              </w:rPr>
            </w:pPr>
          </w:p>
          <w:p w:rsidR="0033227C" w:rsidRPr="00694C0D" w:rsidRDefault="0033227C" w:rsidP="006F6B94">
            <w:pPr>
              <w:pStyle w:val="TableParagraph"/>
              <w:ind w:left="448"/>
              <w:jc w:val="right"/>
              <w:rPr>
                <w:sz w:val="24"/>
                <w:szCs w:val="24"/>
              </w:rPr>
            </w:pPr>
            <w:r w:rsidRPr="00430FA4">
              <w:rPr>
                <w:b/>
                <w:sz w:val="24"/>
                <w:szCs w:val="24"/>
              </w:rPr>
              <w:t>20</w:t>
            </w:r>
          </w:p>
        </w:tc>
      </w:tr>
      <w:tr w:rsidR="0033227C" w:rsidRPr="00694C0D" w:rsidTr="00E97D7C">
        <w:trPr>
          <w:trHeight w:val="1099"/>
        </w:trPr>
        <w:tc>
          <w:tcPr>
            <w:tcW w:w="445" w:type="dxa"/>
            <w:shd w:val="clear" w:color="auto" w:fill="auto"/>
            <w:vAlign w:val="center"/>
          </w:tcPr>
          <w:p w:rsidR="0033227C" w:rsidRPr="00694C0D" w:rsidRDefault="0033227C" w:rsidP="009436C1">
            <w:pPr>
              <w:pStyle w:val="TableParagraph"/>
              <w:spacing w:before="42"/>
              <w:ind w:left="151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226A08" w:rsidP="00E97D7C">
            <w:pPr>
              <w:pStyle w:val="TableParagraph"/>
              <w:spacing w:before="138"/>
              <w:jc w:val="both"/>
              <w:rPr>
                <w:sz w:val="24"/>
                <w:szCs w:val="24"/>
              </w:rPr>
            </w:pPr>
            <w:r w:rsidRPr="00226A08">
              <w:rPr>
                <w:sz w:val="24"/>
                <w:szCs w:val="24"/>
              </w:rPr>
              <w:t>Проектът насърчава кооперирането и интеграцията между земеделските производители и предприятия от хранително – преработвателната промишленост като предвижда преработка на минимум 65% собствена или продукция от местни земеделски производители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3227C" w:rsidRPr="00694C0D" w:rsidRDefault="00226A08" w:rsidP="006F6B94">
            <w:pPr>
              <w:pStyle w:val="TableParagraph"/>
              <w:spacing w:before="138"/>
              <w:ind w:left="448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3227C" w:rsidRPr="00430FA4">
              <w:rPr>
                <w:b/>
                <w:sz w:val="24"/>
                <w:szCs w:val="24"/>
              </w:rPr>
              <w:t>0</w:t>
            </w:r>
          </w:p>
        </w:tc>
      </w:tr>
      <w:tr w:rsidR="0033227C" w:rsidRPr="00694C0D" w:rsidTr="0033227C">
        <w:trPr>
          <w:trHeight w:val="772"/>
        </w:trPr>
        <w:tc>
          <w:tcPr>
            <w:tcW w:w="445" w:type="dxa"/>
            <w:shd w:val="clear" w:color="auto" w:fill="auto"/>
          </w:tcPr>
          <w:p w:rsidR="0033227C" w:rsidRPr="00694C0D" w:rsidRDefault="0033227C" w:rsidP="009436C1">
            <w:pPr>
              <w:pStyle w:val="TableParagraph"/>
              <w:rPr>
                <w:sz w:val="24"/>
                <w:szCs w:val="24"/>
              </w:rPr>
            </w:pPr>
          </w:p>
          <w:p w:rsidR="0033227C" w:rsidRPr="00694C0D" w:rsidRDefault="0033227C" w:rsidP="009436C1">
            <w:pPr>
              <w:pStyle w:val="TableParagraph"/>
              <w:spacing w:before="178"/>
              <w:ind w:left="131" w:right="124"/>
              <w:jc w:val="center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226A08" w:rsidP="009436C1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226A08">
              <w:rPr>
                <w:sz w:val="24"/>
                <w:szCs w:val="24"/>
              </w:rPr>
              <w:t>Проектът предвижда въвеждане на иновации в сферата на хранително-вкусовата промишленост:</w:t>
            </w:r>
          </w:p>
        </w:tc>
        <w:tc>
          <w:tcPr>
            <w:tcW w:w="1160" w:type="dxa"/>
            <w:shd w:val="clear" w:color="auto" w:fill="auto"/>
          </w:tcPr>
          <w:p w:rsidR="0033227C" w:rsidRPr="00430FA4" w:rsidRDefault="0033227C" w:rsidP="006F6B94">
            <w:pPr>
              <w:pStyle w:val="TableParagraph"/>
              <w:spacing w:before="173"/>
              <w:ind w:left="448"/>
              <w:jc w:val="right"/>
              <w:rPr>
                <w:b/>
                <w:sz w:val="24"/>
                <w:szCs w:val="24"/>
              </w:rPr>
            </w:pPr>
            <w:r w:rsidRPr="00430FA4">
              <w:rPr>
                <w:b/>
                <w:sz w:val="24"/>
                <w:szCs w:val="24"/>
              </w:rPr>
              <w:t>1</w:t>
            </w:r>
            <w:r w:rsidR="00E97D7C">
              <w:rPr>
                <w:b/>
                <w:sz w:val="24"/>
                <w:szCs w:val="24"/>
              </w:rPr>
              <w:t>0</w:t>
            </w:r>
          </w:p>
        </w:tc>
      </w:tr>
      <w:tr w:rsidR="00226A08" w:rsidRPr="00694C0D" w:rsidTr="00226A08">
        <w:trPr>
          <w:trHeight w:val="352"/>
        </w:trPr>
        <w:tc>
          <w:tcPr>
            <w:tcW w:w="445" w:type="dxa"/>
            <w:shd w:val="clear" w:color="auto" w:fill="auto"/>
          </w:tcPr>
          <w:p w:rsidR="00226A08" w:rsidRPr="00694C0D" w:rsidRDefault="00226A08" w:rsidP="009436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2" w:type="dxa"/>
            <w:shd w:val="clear" w:color="auto" w:fill="auto"/>
          </w:tcPr>
          <w:p w:rsidR="00226A08" w:rsidRPr="00226A08" w:rsidRDefault="00226A08" w:rsidP="009436C1">
            <w:pPr>
              <w:pStyle w:val="TableParagraph"/>
              <w:spacing w:line="276" w:lineRule="auto"/>
              <w:ind w:left="110" w:right="91"/>
              <w:jc w:val="both"/>
              <w:rPr>
                <w:i/>
                <w:sz w:val="24"/>
                <w:szCs w:val="24"/>
              </w:rPr>
            </w:pPr>
            <w:r w:rsidRPr="00226A08">
              <w:rPr>
                <w:i/>
                <w:sz w:val="24"/>
                <w:szCs w:val="24"/>
              </w:rPr>
              <w:t>-</w:t>
            </w:r>
            <w:r w:rsidRPr="00226A08">
              <w:rPr>
                <w:i/>
                <w:sz w:val="24"/>
                <w:szCs w:val="24"/>
              </w:rPr>
              <w:tab/>
              <w:t>Иновации според % инвестиции: от 30% до 50%</w:t>
            </w:r>
          </w:p>
        </w:tc>
        <w:tc>
          <w:tcPr>
            <w:tcW w:w="1160" w:type="dxa"/>
            <w:shd w:val="clear" w:color="auto" w:fill="auto"/>
          </w:tcPr>
          <w:p w:rsidR="00226A08" w:rsidRPr="00694C0D" w:rsidRDefault="00E97D7C" w:rsidP="006F6B94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26A08">
              <w:rPr>
                <w:sz w:val="24"/>
                <w:szCs w:val="24"/>
              </w:rPr>
              <w:t>5</w:t>
            </w:r>
          </w:p>
        </w:tc>
      </w:tr>
      <w:tr w:rsidR="00E97D7C" w:rsidRPr="00694C0D" w:rsidTr="00226A08">
        <w:trPr>
          <w:trHeight w:val="352"/>
        </w:trPr>
        <w:tc>
          <w:tcPr>
            <w:tcW w:w="445" w:type="dxa"/>
            <w:shd w:val="clear" w:color="auto" w:fill="auto"/>
          </w:tcPr>
          <w:p w:rsidR="00E97D7C" w:rsidRPr="00694C0D" w:rsidRDefault="00E97D7C" w:rsidP="009436C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2" w:type="dxa"/>
            <w:shd w:val="clear" w:color="auto" w:fill="auto"/>
          </w:tcPr>
          <w:p w:rsidR="00E97D7C" w:rsidRPr="00226A08" w:rsidRDefault="00E97D7C" w:rsidP="009436C1">
            <w:pPr>
              <w:pStyle w:val="TableParagraph"/>
              <w:spacing w:line="276" w:lineRule="auto"/>
              <w:ind w:left="110" w:right="91"/>
              <w:jc w:val="both"/>
              <w:rPr>
                <w:i/>
                <w:sz w:val="24"/>
                <w:szCs w:val="24"/>
              </w:rPr>
            </w:pPr>
            <w:r w:rsidRPr="00E97D7C">
              <w:rPr>
                <w:i/>
                <w:sz w:val="24"/>
                <w:szCs w:val="24"/>
              </w:rPr>
              <w:t>-</w:t>
            </w:r>
            <w:r w:rsidRPr="00E97D7C">
              <w:rPr>
                <w:i/>
                <w:sz w:val="24"/>
                <w:szCs w:val="24"/>
              </w:rPr>
              <w:tab/>
              <w:t>Иновации според % инвестиции: над 50%</w:t>
            </w:r>
          </w:p>
        </w:tc>
        <w:tc>
          <w:tcPr>
            <w:tcW w:w="1160" w:type="dxa"/>
            <w:shd w:val="clear" w:color="auto" w:fill="auto"/>
          </w:tcPr>
          <w:p w:rsidR="00E97D7C" w:rsidRDefault="00E97D7C" w:rsidP="006F6B94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</w:t>
            </w:r>
          </w:p>
        </w:tc>
      </w:tr>
      <w:tr w:rsidR="0033227C" w:rsidRPr="00694C0D" w:rsidTr="0033227C">
        <w:trPr>
          <w:trHeight w:val="507"/>
        </w:trPr>
        <w:tc>
          <w:tcPr>
            <w:tcW w:w="445" w:type="dxa"/>
            <w:shd w:val="clear" w:color="auto" w:fill="auto"/>
          </w:tcPr>
          <w:p w:rsidR="0033227C" w:rsidRPr="00694C0D" w:rsidRDefault="0033227C" w:rsidP="009436C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33227C" w:rsidRPr="00694C0D" w:rsidRDefault="0033227C" w:rsidP="009436C1">
            <w:pPr>
              <w:pStyle w:val="TableParagraph"/>
              <w:ind w:left="131" w:right="124"/>
              <w:jc w:val="center"/>
              <w:rPr>
                <w:b/>
                <w:sz w:val="24"/>
                <w:szCs w:val="24"/>
              </w:rPr>
            </w:pPr>
            <w:r w:rsidRPr="00694C0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E97D7C" w:rsidP="00E97D7C">
            <w:pPr>
              <w:pStyle w:val="TableParagraph"/>
              <w:spacing w:line="276" w:lineRule="auto"/>
              <w:ind w:left="228" w:right="73" w:hanging="123"/>
              <w:jc w:val="both"/>
              <w:rPr>
                <w:sz w:val="24"/>
                <w:szCs w:val="24"/>
              </w:rPr>
            </w:pPr>
            <w:r w:rsidRPr="00E97D7C">
              <w:rPr>
                <w:sz w:val="24"/>
                <w:szCs w:val="24"/>
              </w:rPr>
              <w:t>Проектът включва преработка и производство на биологични продукти</w:t>
            </w:r>
          </w:p>
        </w:tc>
        <w:tc>
          <w:tcPr>
            <w:tcW w:w="1160" w:type="dxa"/>
            <w:shd w:val="clear" w:color="auto" w:fill="auto"/>
          </w:tcPr>
          <w:p w:rsidR="0033227C" w:rsidRPr="00694C0D" w:rsidRDefault="0033227C" w:rsidP="006F6B94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33227C" w:rsidRPr="00430FA4" w:rsidRDefault="0033227C" w:rsidP="006F6B94">
            <w:pPr>
              <w:pStyle w:val="TableParagraph"/>
              <w:ind w:left="448"/>
              <w:jc w:val="right"/>
              <w:rPr>
                <w:b/>
                <w:sz w:val="24"/>
                <w:szCs w:val="24"/>
              </w:rPr>
            </w:pPr>
            <w:r w:rsidRPr="00430FA4">
              <w:rPr>
                <w:b/>
                <w:sz w:val="24"/>
                <w:szCs w:val="24"/>
              </w:rPr>
              <w:t>10</w:t>
            </w:r>
          </w:p>
        </w:tc>
      </w:tr>
      <w:tr w:rsidR="0033227C" w:rsidRPr="00694C0D" w:rsidTr="0033227C">
        <w:trPr>
          <w:trHeight w:val="385"/>
        </w:trPr>
        <w:tc>
          <w:tcPr>
            <w:tcW w:w="445" w:type="dxa"/>
            <w:shd w:val="clear" w:color="auto" w:fill="auto"/>
          </w:tcPr>
          <w:p w:rsidR="0033227C" w:rsidRPr="00C578B9" w:rsidRDefault="0033227C" w:rsidP="009436C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  <w:lang w:val="en-US"/>
              </w:rPr>
            </w:pPr>
            <w:r w:rsidRPr="00C578B9"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E97D7C" w:rsidP="009436C1">
            <w:pPr>
              <w:pStyle w:val="TableParagraph"/>
              <w:spacing w:line="276" w:lineRule="auto"/>
              <w:ind w:left="110" w:right="77"/>
              <w:jc w:val="both"/>
              <w:rPr>
                <w:sz w:val="24"/>
                <w:szCs w:val="24"/>
              </w:rPr>
            </w:pPr>
            <w:r w:rsidRPr="00E97D7C">
              <w:rPr>
                <w:sz w:val="24"/>
                <w:szCs w:val="24"/>
              </w:rPr>
              <w:t>Проектът е свързан с инвестиции за постигане стандартите на ЕС, подпомагани по мярката, включително такива за намаляване на емисиите при производство на енергия от биомаса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33227C" w:rsidRDefault="0033227C" w:rsidP="006F6B94">
            <w:pPr>
              <w:jc w:val="right"/>
              <w:rPr>
                <w:lang w:bidi="bg-BG"/>
              </w:rPr>
            </w:pPr>
            <w:r>
              <w:rPr>
                <w:lang w:val="en-US" w:bidi="bg-BG"/>
              </w:rPr>
              <w:t xml:space="preserve">       </w:t>
            </w:r>
            <w:r w:rsidR="00E97D7C">
              <w:rPr>
                <w:b/>
                <w:lang w:bidi="bg-BG"/>
              </w:rPr>
              <w:t>10</w:t>
            </w:r>
          </w:p>
          <w:p w:rsidR="0033227C" w:rsidRPr="00694C0D" w:rsidRDefault="0033227C" w:rsidP="006F6B94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  <w:tr w:rsidR="0033227C" w:rsidRPr="00694C0D" w:rsidTr="0033227C">
        <w:trPr>
          <w:trHeight w:val="126"/>
        </w:trPr>
        <w:tc>
          <w:tcPr>
            <w:tcW w:w="445" w:type="dxa"/>
            <w:shd w:val="clear" w:color="auto" w:fill="auto"/>
          </w:tcPr>
          <w:p w:rsidR="0033227C" w:rsidRPr="00C578B9" w:rsidRDefault="0033227C" w:rsidP="009436C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  <w:lang w:val="en-US"/>
              </w:rPr>
            </w:pPr>
            <w:r w:rsidRPr="00C578B9">
              <w:rPr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E97D7C" w:rsidP="00E97D7C">
            <w:pPr>
              <w:pStyle w:val="TableParagraph"/>
              <w:spacing w:line="276" w:lineRule="auto"/>
              <w:ind w:left="228" w:right="73" w:hanging="123"/>
              <w:jc w:val="both"/>
              <w:rPr>
                <w:sz w:val="24"/>
                <w:szCs w:val="24"/>
              </w:rPr>
            </w:pPr>
            <w:r w:rsidRPr="00E97D7C">
              <w:rPr>
                <w:sz w:val="24"/>
                <w:szCs w:val="24"/>
              </w:rPr>
              <w:t>Проектът предвижда производство на крайни продукти, които ще се реализират</w:t>
            </w:r>
            <w:r>
              <w:rPr>
                <w:sz w:val="24"/>
                <w:szCs w:val="24"/>
              </w:rPr>
              <w:t xml:space="preserve"> </w:t>
            </w:r>
            <w:r w:rsidRPr="00E97D7C">
              <w:rPr>
                <w:sz w:val="24"/>
                <w:szCs w:val="24"/>
              </w:rPr>
              <w:t>на територията на МИГ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33227C" w:rsidRPr="00E97D7C" w:rsidRDefault="0033227C" w:rsidP="006F6B94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430FA4">
              <w:rPr>
                <w:b/>
                <w:sz w:val="24"/>
                <w:szCs w:val="24"/>
                <w:lang w:val="en-US"/>
              </w:rPr>
              <w:t>1</w:t>
            </w:r>
            <w:r w:rsidR="00E97D7C">
              <w:rPr>
                <w:b/>
                <w:sz w:val="24"/>
                <w:szCs w:val="24"/>
              </w:rPr>
              <w:t>5</w:t>
            </w:r>
          </w:p>
        </w:tc>
      </w:tr>
      <w:tr w:rsidR="0033227C" w:rsidRPr="00694C0D" w:rsidTr="0033227C">
        <w:trPr>
          <w:trHeight w:val="498"/>
        </w:trPr>
        <w:tc>
          <w:tcPr>
            <w:tcW w:w="445" w:type="dxa"/>
            <w:shd w:val="clear" w:color="auto" w:fill="auto"/>
          </w:tcPr>
          <w:p w:rsidR="0033227C" w:rsidRPr="00C578B9" w:rsidRDefault="0033227C" w:rsidP="009436C1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  <w:lang w:val="en-US"/>
              </w:rPr>
            </w:pPr>
            <w:r w:rsidRPr="00C578B9">
              <w:rPr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7472" w:type="dxa"/>
            <w:shd w:val="clear" w:color="auto" w:fill="auto"/>
          </w:tcPr>
          <w:p w:rsidR="0033227C" w:rsidRPr="00694C0D" w:rsidRDefault="00E97D7C" w:rsidP="009436C1">
            <w:pPr>
              <w:pStyle w:val="TableParagraph"/>
              <w:spacing w:line="276" w:lineRule="auto"/>
              <w:ind w:left="110" w:right="77"/>
              <w:jc w:val="both"/>
              <w:rPr>
                <w:sz w:val="24"/>
                <w:szCs w:val="24"/>
              </w:rPr>
            </w:pPr>
            <w:r w:rsidRPr="00E97D7C">
              <w:rPr>
                <w:sz w:val="24"/>
                <w:szCs w:val="24"/>
              </w:rPr>
              <w:t>Проектът насърчава заетостта чрез разкриването на работни места при запазване на съществуващите работни места</w:t>
            </w:r>
          </w:p>
        </w:tc>
        <w:tc>
          <w:tcPr>
            <w:tcW w:w="1160" w:type="dxa"/>
            <w:shd w:val="clear" w:color="auto" w:fill="auto"/>
          </w:tcPr>
          <w:p w:rsidR="0033227C" w:rsidRPr="00E97D7C" w:rsidRDefault="0033227C" w:rsidP="006F6B94">
            <w:pPr>
              <w:jc w:val="right"/>
              <w:rPr>
                <w:lang w:bidi="bg-BG"/>
              </w:rPr>
            </w:pPr>
            <w:r>
              <w:rPr>
                <w:lang w:val="en-US" w:bidi="bg-BG"/>
              </w:rPr>
              <w:t xml:space="preserve">     </w:t>
            </w:r>
            <w:r w:rsidRPr="00430FA4">
              <w:rPr>
                <w:b/>
                <w:lang w:val="en-US" w:bidi="bg-BG"/>
              </w:rPr>
              <w:t xml:space="preserve"> </w:t>
            </w:r>
            <w:r w:rsidR="00E97D7C">
              <w:rPr>
                <w:b/>
                <w:lang w:bidi="bg-BG"/>
              </w:rPr>
              <w:t>15</w:t>
            </w:r>
          </w:p>
        </w:tc>
      </w:tr>
      <w:tr w:rsidR="0033227C" w:rsidRPr="00694C0D" w:rsidTr="005C2DC1">
        <w:trPr>
          <w:trHeight w:val="374"/>
        </w:trPr>
        <w:tc>
          <w:tcPr>
            <w:tcW w:w="7917" w:type="dxa"/>
            <w:gridSpan w:val="2"/>
            <w:shd w:val="clear" w:color="auto" w:fill="auto"/>
          </w:tcPr>
          <w:p w:rsidR="0033227C" w:rsidRPr="00F04AC1" w:rsidRDefault="0033227C" w:rsidP="0033227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3227C" w:rsidRPr="00F04AC1" w:rsidRDefault="0033227C" w:rsidP="009436C1">
            <w:pPr>
              <w:pStyle w:val="TableParagraph"/>
              <w:spacing w:line="276" w:lineRule="auto"/>
              <w:ind w:right="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Максимален</w:t>
            </w:r>
            <w:r w:rsidRPr="00F04AC1">
              <w:rPr>
                <w:b/>
                <w:sz w:val="24"/>
                <w:szCs w:val="24"/>
              </w:rPr>
              <w:t xml:space="preserve"> брой точки</w:t>
            </w:r>
          </w:p>
        </w:tc>
        <w:tc>
          <w:tcPr>
            <w:tcW w:w="1160" w:type="dxa"/>
            <w:shd w:val="clear" w:color="auto" w:fill="auto"/>
          </w:tcPr>
          <w:p w:rsidR="0033227C" w:rsidRDefault="0033227C" w:rsidP="006F6B94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:rsidR="0033227C" w:rsidRPr="00F04AC1" w:rsidRDefault="0033227C" w:rsidP="006F6B94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F04AC1">
              <w:rPr>
                <w:b/>
                <w:sz w:val="24"/>
                <w:szCs w:val="24"/>
              </w:rPr>
              <w:t>100 т.</w:t>
            </w:r>
          </w:p>
        </w:tc>
      </w:tr>
      <w:tr w:rsidR="0033227C" w:rsidRPr="00694C0D" w:rsidTr="0033227C">
        <w:trPr>
          <w:trHeight w:val="395"/>
        </w:trPr>
        <w:tc>
          <w:tcPr>
            <w:tcW w:w="7917" w:type="dxa"/>
            <w:gridSpan w:val="2"/>
            <w:shd w:val="clear" w:color="auto" w:fill="auto"/>
          </w:tcPr>
          <w:p w:rsidR="0033227C" w:rsidRPr="000932C4" w:rsidRDefault="0033227C" w:rsidP="009436C1">
            <w:pPr>
              <w:pStyle w:val="TableParagraph"/>
              <w:spacing w:before="5"/>
              <w:jc w:val="right"/>
              <w:rPr>
                <w:b/>
                <w:sz w:val="24"/>
                <w:szCs w:val="24"/>
              </w:rPr>
            </w:pPr>
            <w:r w:rsidRPr="000932C4">
              <w:rPr>
                <w:b/>
                <w:sz w:val="24"/>
                <w:szCs w:val="24"/>
              </w:rPr>
              <w:lastRenderedPageBreak/>
              <w:t xml:space="preserve">Минимален брой точки  </w:t>
            </w:r>
          </w:p>
        </w:tc>
        <w:tc>
          <w:tcPr>
            <w:tcW w:w="1160" w:type="dxa"/>
            <w:shd w:val="clear" w:color="auto" w:fill="auto"/>
          </w:tcPr>
          <w:p w:rsidR="0033227C" w:rsidRPr="000932C4" w:rsidRDefault="0033227C" w:rsidP="006F6B94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т.</w:t>
            </w:r>
          </w:p>
        </w:tc>
      </w:tr>
    </w:tbl>
    <w:p w:rsidR="00A15E79" w:rsidRDefault="00A15E79" w:rsidP="00DA1E8D">
      <w:pPr>
        <w:jc w:val="both"/>
        <w:rPr>
          <w:b/>
        </w:rPr>
      </w:pPr>
      <w:r>
        <w:rPr>
          <w:b/>
        </w:rPr>
        <w:t xml:space="preserve">ВАЖНО: </w:t>
      </w:r>
      <w:r w:rsidR="00114D4A" w:rsidRPr="00114D4A">
        <w:rPr>
          <w:b/>
          <w:color w:val="000000"/>
        </w:rPr>
        <w:t>Проектите с равен брой точки, з</w:t>
      </w:r>
      <w:r w:rsidR="00EC4E0D">
        <w:rPr>
          <w:b/>
          <w:color w:val="000000"/>
        </w:rPr>
        <w:t>а които не достигат средства, ще</w:t>
      </w:r>
      <w:r w:rsidR="00114D4A" w:rsidRPr="00114D4A">
        <w:rPr>
          <w:b/>
          <w:color w:val="000000"/>
        </w:rPr>
        <w:t xml:space="preserve"> бъдат отхвърляни.</w:t>
      </w:r>
    </w:p>
    <w:p w:rsidR="00DA1E8D" w:rsidRDefault="00DA1E8D" w:rsidP="00DA1E8D">
      <w:pPr>
        <w:jc w:val="both"/>
        <w:rPr>
          <w:b/>
        </w:rPr>
      </w:pPr>
    </w:p>
    <w:p w:rsidR="00C235F6" w:rsidRPr="00C235F6" w:rsidRDefault="00C235F6" w:rsidP="00DA1E8D">
      <w:pPr>
        <w:jc w:val="both"/>
        <w:rPr>
          <w:lang w:val="en-US"/>
        </w:rPr>
      </w:pPr>
      <w:r w:rsidRPr="00C235F6">
        <w:rPr>
          <w:b/>
        </w:rPr>
        <w:t xml:space="preserve">Лице за контакти и място за достъп до подробна информация: </w:t>
      </w:r>
      <w:r>
        <w:t xml:space="preserve">Йонко Йонков, изпълнителен директор на Сдружение „МИГ Бяла Слатина“, тел. </w:t>
      </w:r>
      <w:r w:rsidR="008D6E33">
        <w:t>0910/504-20</w:t>
      </w:r>
      <w:r>
        <w:t xml:space="preserve">, адрес: 3200, гр. Бяла Слатина, ул. „Климент Охридски“ № 68, </w:t>
      </w:r>
      <w:r>
        <w:rPr>
          <w:lang w:val="en-US"/>
        </w:rPr>
        <w:t>e-mail</w:t>
      </w:r>
      <w:r>
        <w:t>:</w:t>
      </w:r>
      <w:r>
        <w:rPr>
          <w:lang w:val="en-US"/>
        </w:rPr>
        <w:t xml:space="preserve"> mig_bslatina@abv.bg.</w:t>
      </w:r>
    </w:p>
    <w:p w:rsidR="00C235F6" w:rsidRPr="00C235F6" w:rsidRDefault="00CF636D" w:rsidP="00DA1E8D">
      <w:pPr>
        <w:jc w:val="both"/>
        <w:rPr>
          <w:color w:val="0000FF" w:themeColor="hyperlink"/>
          <w:u w:val="single"/>
        </w:rPr>
      </w:pPr>
      <w:r>
        <w:t xml:space="preserve">Пълният </w:t>
      </w:r>
      <w:r w:rsidR="00C235F6">
        <w:t>пакет документи</w:t>
      </w:r>
      <w:r>
        <w:t xml:space="preserve"> за кандидатстване</w:t>
      </w:r>
      <w:r w:rsidR="00C235F6">
        <w:t xml:space="preserve"> с проектни предложения по настоящата процедура е публикуван </w:t>
      </w:r>
      <w:r>
        <w:t xml:space="preserve">на следните интернет адреси: </w:t>
      </w:r>
      <w:hyperlink r:id="rId7" w:history="1">
        <w:r w:rsidR="00FC76B1" w:rsidRPr="00203CCE">
          <w:rPr>
            <w:rStyle w:val="a9"/>
          </w:rPr>
          <w:t>http://www.mig-bsl.com</w:t>
        </w:r>
      </w:hyperlink>
      <w:r w:rsidR="00FC76B1">
        <w:t xml:space="preserve">, </w:t>
      </w:r>
      <w:hyperlink r:id="rId8" w:history="1">
        <w:r w:rsidR="00FC76B1" w:rsidRPr="00203CCE">
          <w:rPr>
            <w:rStyle w:val="a9"/>
            <w:lang w:val="en-US"/>
          </w:rPr>
          <w:t>https://eumis2020.government.bg</w:t>
        </w:r>
      </w:hyperlink>
      <w:r w:rsidR="00C235F6">
        <w:rPr>
          <w:rStyle w:val="a9"/>
        </w:rPr>
        <w:t>.</w:t>
      </w:r>
    </w:p>
    <w:p w:rsidR="00CF636D" w:rsidRDefault="00C235F6" w:rsidP="00DA1E8D">
      <w:pPr>
        <w:jc w:val="both"/>
      </w:pPr>
      <w:r>
        <w:rPr>
          <w:b/>
        </w:rPr>
        <w:t>Начален</w:t>
      </w:r>
      <w:r w:rsidR="00CF636D" w:rsidRPr="0045134B">
        <w:rPr>
          <w:b/>
        </w:rPr>
        <w:t xml:space="preserve"> срок за подаване на проектните предложения: </w:t>
      </w:r>
      <w:r w:rsidR="00F1144E">
        <w:t>05</w:t>
      </w:r>
      <w:r w:rsidR="00CF636D" w:rsidRPr="009757C3">
        <w:t>.</w:t>
      </w:r>
      <w:r w:rsidR="00F1144E">
        <w:rPr>
          <w:lang w:val="en-US"/>
        </w:rPr>
        <w:t>08</w:t>
      </w:r>
      <w:r w:rsidRPr="009757C3">
        <w:t>.201</w:t>
      </w:r>
      <w:r w:rsidR="00F1144E">
        <w:rPr>
          <w:lang w:val="en-US"/>
        </w:rPr>
        <w:t>9</w:t>
      </w:r>
      <w:r w:rsidRPr="009757C3">
        <w:t xml:space="preserve"> г.</w:t>
      </w:r>
    </w:p>
    <w:p w:rsidR="00C235F6" w:rsidRDefault="00C235F6" w:rsidP="00DA1E8D">
      <w:pPr>
        <w:jc w:val="both"/>
      </w:pPr>
      <w:r>
        <w:rPr>
          <w:b/>
        </w:rPr>
        <w:t>Краен</w:t>
      </w:r>
      <w:r w:rsidRPr="0045134B">
        <w:rPr>
          <w:b/>
        </w:rPr>
        <w:t xml:space="preserve"> срок за подаване на проектните предложения: </w:t>
      </w:r>
      <w:r w:rsidR="00F1144E">
        <w:t>09</w:t>
      </w:r>
      <w:r w:rsidRPr="009757C3">
        <w:t>.</w:t>
      </w:r>
      <w:r w:rsidR="009757C3" w:rsidRPr="009757C3">
        <w:rPr>
          <w:lang w:val="en-US"/>
        </w:rPr>
        <w:t>0</w:t>
      </w:r>
      <w:r w:rsidR="00F1144E">
        <w:rPr>
          <w:lang w:val="en-US"/>
        </w:rPr>
        <w:t>9</w:t>
      </w:r>
      <w:r w:rsidRPr="009757C3">
        <w:t>.201</w:t>
      </w:r>
      <w:r w:rsidR="009757C3" w:rsidRPr="009757C3">
        <w:rPr>
          <w:lang w:val="en-US"/>
        </w:rPr>
        <w:t>9</w:t>
      </w:r>
      <w:r w:rsidRPr="009757C3">
        <w:t xml:space="preserve"> г., </w:t>
      </w:r>
      <w:r w:rsidRPr="00A60A16">
        <w:t>17:30 ч.</w:t>
      </w:r>
    </w:p>
    <w:p w:rsidR="00CF636D" w:rsidRDefault="0045134B" w:rsidP="00DA1E8D">
      <w:pPr>
        <w:jc w:val="both"/>
        <w:rPr>
          <w:lang w:val="en-US"/>
        </w:rPr>
      </w:pPr>
      <w:r w:rsidRPr="000A354E">
        <w:rPr>
          <w:b/>
        </w:rPr>
        <w:t>Начин за подаване на проектни предложения:</w:t>
      </w:r>
      <w:r>
        <w:t xml:space="preserve"> </w:t>
      </w:r>
      <w:r w:rsidR="00CF636D">
        <w:t xml:space="preserve">Проектните предложения по настоящата процедура </w:t>
      </w:r>
      <w:r w:rsidR="000A354E">
        <w:t xml:space="preserve">се извършва електронно чрез </w:t>
      </w:r>
      <w:r w:rsidR="00611BAB">
        <w:t xml:space="preserve">Информационната система за управление и наблюдение на средствата от ЕС (ИСУН 2020) – </w:t>
      </w:r>
      <w:hyperlink r:id="rId9" w:history="1">
        <w:r w:rsidR="00611BAB" w:rsidRPr="00203CCE">
          <w:rPr>
            <w:rStyle w:val="a9"/>
            <w:lang w:val="en-US"/>
          </w:rPr>
          <w:t>https://eumis2020.government.bg</w:t>
        </w:r>
      </w:hyperlink>
    </w:p>
    <w:p w:rsidR="00611BAB" w:rsidRPr="00611BAB" w:rsidRDefault="00611BAB" w:rsidP="00765A0C">
      <w:pPr>
        <w:ind w:firstLine="708"/>
        <w:jc w:val="both"/>
        <w:rPr>
          <w:lang w:val="en-US"/>
        </w:rPr>
      </w:pPr>
    </w:p>
    <w:p w:rsidR="0092019E" w:rsidRPr="0092019E" w:rsidRDefault="0092019E">
      <w:pPr>
        <w:rPr>
          <w:lang w:val="en-US"/>
        </w:rPr>
      </w:pPr>
    </w:p>
    <w:p w:rsidR="0092019E" w:rsidRPr="0092019E" w:rsidRDefault="0092019E" w:rsidP="0092019E">
      <w:pPr>
        <w:rPr>
          <w:rFonts w:ascii="Calibri" w:eastAsia="Calibri" w:hAnsi="Calibri"/>
          <w:sz w:val="22"/>
          <w:szCs w:val="22"/>
          <w:lang w:eastAsia="en-US"/>
        </w:rPr>
      </w:pPr>
    </w:p>
    <w:p w:rsidR="003D7E55" w:rsidRDefault="003D7E55"/>
    <w:sectPr w:rsidR="003D7E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8E" w:rsidRDefault="004E248E" w:rsidP="003D7E55">
      <w:r>
        <w:separator/>
      </w:r>
    </w:p>
  </w:endnote>
  <w:endnote w:type="continuationSeparator" w:id="0">
    <w:p w:rsidR="004E248E" w:rsidRDefault="004E248E" w:rsidP="003D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39" w:rsidRDefault="00365639" w:rsidP="00365639">
    <w:pPr>
      <w:tabs>
        <w:tab w:val="center" w:pos="4536"/>
        <w:tab w:val="right" w:pos="8647"/>
        <w:tab w:val="right" w:pos="9072"/>
      </w:tabs>
      <w:jc w:val="center"/>
      <w:rPr>
        <w:i/>
        <w:sz w:val="16"/>
        <w:szCs w:val="16"/>
      </w:rPr>
    </w:pPr>
  </w:p>
  <w:p w:rsidR="00257D76" w:rsidRPr="00A41315" w:rsidRDefault="00257D76" w:rsidP="00257D76">
    <w:pPr>
      <w:pStyle w:val="a5"/>
      <w:tabs>
        <w:tab w:val="clear" w:pos="9072"/>
        <w:tab w:val="right" w:pos="9923"/>
      </w:tabs>
      <w:ind w:left="-709" w:right="-284"/>
      <w:jc w:val="center"/>
      <w:rPr>
        <w:i/>
        <w:sz w:val="18"/>
      </w:rPr>
    </w:pPr>
    <w:r w:rsidRPr="00A41315">
      <w:rPr>
        <w:rFonts w:ascii="Times New Roman" w:hAnsi="Times New Roman" w:cs="Times New Roman"/>
        <w:i/>
        <w:sz w:val="18"/>
      </w:rPr>
      <w:t>Този документ е</w:t>
    </w:r>
    <w:r>
      <w:rPr>
        <w:rFonts w:ascii="Times New Roman" w:hAnsi="Times New Roman" w:cs="Times New Roman"/>
        <w:i/>
        <w:sz w:val="18"/>
      </w:rPr>
      <w:t xml:space="preserve"> създаден в рамките на проект №</w:t>
    </w:r>
    <w:r w:rsidRPr="00A41315">
      <w:rPr>
        <w:rFonts w:ascii="Times New Roman" w:hAnsi="Times New Roman" w:cs="Times New Roman"/>
        <w:i/>
        <w:sz w:val="18"/>
        <w:lang w:val="en-US"/>
      </w:rPr>
      <w:t xml:space="preserve">BG06RDNP001-19.001-0040 </w:t>
    </w:r>
    <w:r w:rsidRPr="00A41315">
      <w:rPr>
        <w:rFonts w:ascii="Times New Roman" w:hAnsi="Times New Roman" w:cs="Times New Roman"/>
        <w:i/>
        <w:sz w:val="18"/>
      </w:rPr>
      <w:t xml:space="preserve">„Стратегия за Водено от общностите местно развитие на територията на МИГ Бяла Слатина“, който се осъществява с финансовата подкрепа на </w:t>
    </w:r>
    <w:r>
      <w:rPr>
        <w:rFonts w:ascii="Times New Roman" w:hAnsi="Times New Roman" w:cs="Times New Roman"/>
        <w:i/>
        <w:sz w:val="18"/>
      </w:rPr>
      <w:t>П</w:t>
    </w:r>
    <w:r w:rsidRPr="00A41315">
      <w:rPr>
        <w:rFonts w:ascii="Times New Roman" w:hAnsi="Times New Roman" w:cs="Times New Roman"/>
        <w:i/>
        <w:sz w:val="18"/>
      </w:rPr>
      <w:t xml:space="preserve">рограма </w:t>
    </w:r>
    <w:r>
      <w:rPr>
        <w:rFonts w:ascii="Times New Roman" w:hAnsi="Times New Roman" w:cs="Times New Roman"/>
        <w:i/>
        <w:sz w:val="18"/>
      </w:rPr>
      <w:t xml:space="preserve">за развитие на селските райони </w:t>
    </w:r>
    <w:r w:rsidRPr="00A41315">
      <w:rPr>
        <w:rFonts w:ascii="Times New Roman" w:hAnsi="Times New Roman" w:cs="Times New Roman"/>
        <w:i/>
        <w:sz w:val="18"/>
      </w:rPr>
      <w:t xml:space="preserve">2014-2020 г. и Оперативна програма „Иновации и конкурентоспособност“ 2014 – 2020 г., съфинансирани от Европейския съюз чрез Европейските структурни и инвестиционни фондове. Цялата отговорност за съдържанието на публикацията се носи от СНЦ „Местна инициативна група Бяла Слатина“ и при никакви обстоятелства не може да се счита, че този документ отразява официалното становище на Европейския </w:t>
    </w:r>
    <w:r>
      <w:rPr>
        <w:rFonts w:ascii="Times New Roman" w:hAnsi="Times New Roman" w:cs="Times New Roman"/>
        <w:i/>
        <w:sz w:val="18"/>
      </w:rPr>
      <w:t xml:space="preserve">съюз и Управляващите органи на ПРСР 2014 – 2020 г. и ОПИК </w:t>
    </w:r>
    <w:r w:rsidRPr="00A41315">
      <w:rPr>
        <w:rFonts w:ascii="Times New Roman" w:hAnsi="Times New Roman" w:cs="Times New Roman"/>
        <w:i/>
        <w:sz w:val="18"/>
      </w:rPr>
      <w:t>2014-2020 г.</w:t>
    </w:r>
  </w:p>
  <w:p w:rsidR="00365639" w:rsidRDefault="00365639" w:rsidP="00794E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8E" w:rsidRDefault="004E248E" w:rsidP="003D7E55">
      <w:r>
        <w:separator/>
      </w:r>
    </w:p>
  </w:footnote>
  <w:footnote w:type="continuationSeparator" w:id="0">
    <w:p w:rsidR="004E248E" w:rsidRDefault="004E248E" w:rsidP="003D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55" w:rsidRDefault="001A12D0" w:rsidP="003D7E55">
    <w:pPr>
      <w:pStyle w:val="a3"/>
      <w:ind w:left="-709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4728D36" wp14:editId="79A02848">
          <wp:simplePos x="0" y="0"/>
          <wp:positionH relativeFrom="column">
            <wp:posOffset>3930015</wp:posOffset>
          </wp:positionH>
          <wp:positionV relativeFrom="paragraph">
            <wp:posOffset>131445</wp:posOffset>
          </wp:positionV>
          <wp:extent cx="2218099" cy="800100"/>
          <wp:effectExtent l="0" t="0" r="0" b="0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099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55">
      <w:t xml:space="preserve">  </w:t>
    </w:r>
    <w:r w:rsidR="00365639">
      <w:t xml:space="preserve"> </w:t>
    </w:r>
    <w:r w:rsidR="0037754B">
      <w:rPr>
        <w:noProof/>
        <w:lang w:eastAsia="bg-BG"/>
      </w:rPr>
      <w:drawing>
        <wp:inline distT="0" distB="0" distL="0" distR="0" wp14:anchorId="75A744FE" wp14:editId="2D0EA96E">
          <wp:extent cx="893135" cy="901667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voja_chas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70" cy="90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5639">
      <w:t xml:space="preserve"> </w:t>
    </w:r>
    <w:r w:rsidR="0037754B">
      <w:rPr>
        <w:noProof/>
        <w:lang w:eastAsia="bg-BG"/>
      </w:rPr>
      <w:drawing>
        <wp:inline distT="0" distB="0" distL="0" distR="0" wp14:anchorId="42E748C9" wp14:editId="3DE01818">
          <wp:extent cx="786809" cy="786809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Заснемане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88" cy="78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754B">
      <w:t xml:space="preserve"> </w:t>
    </w:r>
    <w:r w:rsidR="0037754B">
      <w:rPr>
        <w:noProof/>
        <w:lang w:eastAsia="bg-BG"/>
      </w:rPr>
      <w:drawing>
        <wp:inline distT="0" distB="0" distL="0" distR="0" wp14:anchorId="08AD182D" wp14:editId="73853822">
          <wp:extent cx="2360428" cy="741274"/>
          <wp:effectExtent l="0" t="0" r="1905" b="1905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G_Bqla_Slatina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427" cy="74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754B">
      <w:t xml:space="preserve"> </w:t>
    </w:r>
  </w:p>
  <w:p w:rsidR="00EE1E2E" w:rsidRDefault="00EE1E2E" w:rsidP="003D7E55">
    <w:pPr>
      <w:pStyle w:val="a3"/>
      <w:ind w:left="-709"/>
      <w:rPr>
        <w:lang w:val="en-US"/>
      </w:rPr>
    </w:pPr>
    <w:r>
      <w:rPr>
        <w:lang w:val="en-US"/>
      </w:rPr>
      <w:t xml:space="preserve">________________________________________________________________________________________    </w:t>
    </w:r>
  </w:p>
  <w:p w:rsidR="00EE1E2E" w:rsidRPr="00B82D70" w:rsidRDefault="00EE1E2E" w:rsidP="00EE1E2E">
    <w:pPr>
      <w:pStyle w:val="a3"/>
      <w:ind w:left="-709"/>
      <w:jc w:val="center"/>
      <w:rPr>
        <w:rFonts w:ascii="Times New Roman" w:hAnsi="Times New Roman" w:cs="Times New Roman"/>
        <w:sz w:val="18"/>
      </w:rPr>
    </w:pPr>
    <w:r w:rsidRPr="00B82D70">
      <w:rPr>
        <w:rFonts w:ascii="Times New Roman" w:hAnsi="Times New Roman" w:cs="Times New Roman"/>
        <w:sz w:val="18"/>
      </w:rPr>
      <w:t>„Европейски</w:t>
    </w:r>
    <w:r w:rsidR="00552D32">
      <w:rPr>
        <w:rFonts w:ascii="Times New Roman" w:hAnsi="Times New Roman" w:cs="Times New Roman"/>
        <w:sz w:val="18"/>
      </w:rPr>
      <w:t>ят</w:t>
    </w:r>
    <w:r w:rsidRPr="00B82D70">
      <w:rPr>
        <w:rFonts w:ascii="Times New Roman" w:hAnsi="Times New Roman" w:cs="Times New Roman"/>
        <w:sz w:val="18"/>
      </w:rPr>
      <w:t xml:space="preserve"> земеделски фонд за развитие на селските райони: Европа инвестира в селските райони“</w:t>
    </w:r>
  </w:p>
  <w:p w:rsidR="00B82D70" w:rsidRPr="00B82D70" w:rsidRDefault="00B82D70" w:rsidP="00EE1E2E">
    <w:pPr>
      <w:pStyle w:val="a3"/>
      <w:ind w:left="-709"/>
      <w:jc w:val="center"/>
      <w:rPr>
        <w:rFonts w:ascii="Times New Roman" w:hAnsi="Times New Roman" w:cs="Times New Roman"/>
        <w:sz w:val="18"/>
      </w:rPr>
    </w:pPr>
    <w:r w:rsidRPr="00B82D70">
      <w:rPr>
        <w:rFonts w:ascii="Times New Roman" w:hAnsi="Times New Roman" w:cs="Times New Roman"/>
        <w:sz w:val="18"/>
      </w:rPr>
      <w:t xml:space="preserve">Подмярка 19.2 „Прилагане на операции в рамките на стратегии за Водено от общностите местно развитие“ </w:t>
    </w:r>
  </w:p>
  <w:p w:rsidR="00B82D70" w:rsidRPr="00B82D70" w:rsidRDefault="00B82D70" w:rsidP="00EE1E2E">
    <w:pPr>
      <w:pStyle w:val="a3"/>
      <w:ind w:left="-709"/>
      <w:jc w:val="center"/>
      <w:rPr>
        <w:rFonts w:ascii="Times New Roman" w:hAnsi="Times New Roman" w:cs="Times New Roman"/>
        <w:sz w:val="18"/>
      </w:rPr>
    </w:pPr>
    <w:r w:rsidRPr="00B82D70">
      <w:rPr>
        <w:rFonts w:ascii="Times New Roman" w:hAnsi="Times New Roman" w:cs="Times New Roman"/>
        <w:sz w:val="18"/>
      </w:rPr>
      <w:t>Мярка 19 „Водено от общностите местно развитие“ от Програмата за развитие на селските райони 2014 – 2020 г.</w:t>
    </w:r>
  </w:p>
  <w:p w:rsidR="00EE1E2E" w:rsidRPr="00B82D70" w:rsidRDefault="00EE1E2E" w:rsidP="00EE1E2E">
    <w:pPr>
      <w:pStyle w:val="a3"/>
      <w:ind w:left="-709"/>
      <w:jc w:val="center"/>
      <w:rPr>
        <w:rFonts w:ascii="Times New Roman" w:hAnsi="Times New Roman" w:cs="Times New Roman"/>
        <w:sz w:val="18"/>
        <w:lang w:val="en-US"/>
      </w:rPr>
    </w:pPr>
    <w:r w:rsidRPr="00B82D70">
      <w:rPr>
        <w:rFonts w:ascii="Times New Roman" w:hAnsi="Times New Roman" w:cs="Times New Roman"/>
        <w:sz w:val="18"/>
      </w:rPr>
      <w:t>Споразумение № РД50-29/16.04.2018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455B"/>
    <w:multiLevelType w:val="hybridMultilevel"/>
    <w:tmpl w:val="7D4C37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34FF"/>
    <w:multiLevelType w:val="hybridMultilevel"/>
    <w:tmpl w:val="3B2EE36C"/>
    <w:lvl w:ilvl="0" w:tplc="E78C9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91EDC"/>
    <w:multiLevelType w:val="hybridMultilevel"/>
    <w:tmpl w:val="F328DCAC"/>
    <w:lvl w:ilvl="0" w:tplc="61765634">
      <w:start w:val="1"/>
      <w:numFmt w:val="decimal"/>
      <w:pStyle w:val="BulletNumbers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ABA69DD2">
      <w:start w:val="5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2"/>
    <w:rsid w:val="00021456"/>
    <w:rsid w:val="000A0F6D"/>
    <w:rsid w:val="000A354E"/>
    <w:rsid w:val="000B6E2B"/>
    <w:rsid w:val="000E4E41"/>
    <w:rsid w:val="00100884"/>
    <w:rsid w:val="00101FC5"/>
    <w:rsid w:val="00114D4A"/>
    <w:rsid w:val="001278B8"/>
    <w:rsid w:val="001819A1"/>
    <w:rsid w:val="001A12D0"/>
    <w:rsid w:val="001C2948"/>
    <w:rsid w:val="001E1A95"/>
    <w:rsid w:val="001F1DBA"/>
    <w:rsid w:val="002166B0"/>
    <w:rsid w:val="00226A08"/>
    <w:rsid w:val="00257D76"/>
    <w:rsid w:val="00271467"/>
    <w:rsid w:val="002D051E"/>
    <w:rsid w:val="002F5EAB"/>
    <w:rsid w:val="00326BF4"/>
    <w:rsid w:val="0033227C"/>
    <w:rsid w:val="00365639"/>
    <w:rsid w:val="00373F5A"/>
    <w:rsid w:val="0037754B"/>
    <w:rsid w:val="00392DCB"/>
    <w:rsid w:val="003D7E55"/>
    <w:rsid w:val="00441C56"/>
    <w:rsid w:val="0045134B"/>
    <w:rsid w:val="00482FD2"/>
    <w:rsid w:val="0048396B"/>
    <w:rsid w:val="004B334C"/>
    <w:rsid w:val="004D3F25"/>
    <w:rsid w:val="004E248E"/>
    <w:rsid w:val="0051583B"/>
    <w:rsid w:val="00535000"/>
    <w:rsid w:val="005472DF"/>
    <w:rsid w:val="00552D32"/>
    <w:rsid w:val="005B325C"/>
    <w:rsid w:val="005C2DC1"/>
    <w:rsid w:val="005C62AD"/>
    <w:rsid w:val="005D71A7"/>
    <w:rsid w:val="005E175C"/>
    <w:rsid w:val="005F5B2B"/>
    <w:rsid w:val="005F7254"/>
    <w:rsid w:val="00607C6A"/>
    <w:rsid w:val="00611BAB"/>
    <w:rsid w:val="006861EE"/>
    <w:rsid w:val="00687033"/>
    <w:rsid w:val="00692257"/>
    <w:rsid w:val="006B2F2D"/>
    <w:rsid w:val="006C6723"/>
    <w:rsid w:val="006D0126"/>
    <w:rsid w:val="006D20B9"/>
    <w:rsid w:val="006E2FC5"/>
    <w:rsid w:val="006F6B94"/>
    <w:rsid w:val="00720DDC"/>
    <w:rsid w:val="00737699"/>
    <w:rsid w:val="00765A0C"/>
    <w:rsid w:val="00767EF6"/>
    <w:rsid w:val="00777B77"/>
    <w:rsid w:val="00791F22"/>
    <w:rsid w:val="00794EB8"/>
    <w:rsid w:val="007C3520"/>
    <w:rsid w:val="007E1430"/>
    <w:rsid w:val="007E6158"/>
    <w:rsid w:val="0086528C"/>
    <w:rsid w:val="00890CAF"/>
    <w:rsid w:val="008B4F30"/>
    <w:rsid w:val="008D6E33"/>
    <w:rsid w:val="008F4B02"/>
    <w:rsid w:val="00900FA7"/>
    <w:rsid w:val="0092019E"/>
    <w:rsid w:val="0092286F"/>
    <w:rsid w:val="00956273"/>
    <w:rsid w:val="009757C3"/>
    <w:rsid w:val="00993BC3"/>
    <w:rsid w:val="009A47A1"/>
    <w:rsid w:val="009A75FD"/>
    <w:rsid w:val="009E4B79"/>
    <w:rsid w:val="00A15E79"/>
    <w:rsid w:val="00A16422"/>
    <w:rsid w:val="00A25804"/>
    <w:rsid w:val="00A4356C"/>
    <w:rsid w:val="00A44E72"/>
    <w:rsid w:val="00A60A16"/>
    <w:rsid w:val="00AA64D9"/>
    <w:rsid w:val="00B2765F"/>
    <w:rsid w:val="00B51118"/>
    <w:rsid w:val="00B82D70"/>
    <w:rsid w:val="00B94334"/>
    <w:rsid w:val="00BB2560"/>
    <w:rsid w:val="00BD1632"/>
    <w:rsid w:val="00C1793D"/>
    <w:rsid w:val="00C21584"/>
    <w:rsid w:val="00C235F6"/>
    <w:rsid w:val="00C44FEC"/>
    <w:rsid w:val="00C56019"/>
    <w:rsid w:val="00C752B4"/>
    <w:rsid w:val="00CA5434"/>
    <w:rsid w:val="00CF636D"/>
    <w:rsid w:val="00D303CA"/>
    <w:rsid w:val="00D63AC2"/>
    <w:rsid w:val="00D74B2B"/>
    <w:rsid w:val="00DA1E8D"/>
    <w:rsid w:val="00DC1365"/>
    <w:rsid w:val="00E271AF"/>
    <w:rsid w:val="00E97D7C"/>
    <w:rsid w:val="00EC4E0D"/>
    <w:rsid w:val="00EE1E2E"/>
    <w:rsid w:val="00EF5392"/>
    <w:rsid w:val="00EF5550"/>
    <w:rsid w:val="00EF6F6E"/>
    <w:rsid w:val="00F1144E"/>
    <w:rsid w:val="00F24002"/>
    <w:rsid w:val="00F43852"/>
    <w:rsid w:val="00F51E44"/>
    <w:rsid w:val="00F565F2"/>
    <w:rsid w:val="00F64124"/>
    <w:rsid w:val="00FC0238"/>
    <w:rsid w:val="00FC76B1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B5D17CB-CFA1-45D6-8E31-78D220A8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link w:val="30"/>
    <w:qFormat/>
    <w:rsid w:val="003656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3D7E55"/>
  </w:style>
  <w:style w:type="paragraph" w:styleId="a5">
    <w:name w:val="footer"/>
    <w:basedOn w:val="a"/>
    <w:link w:val="a6"/>
    <w:uiPriority w:val="99"/>
    <w:unhideWhenUsed/>
    <w:rsid w:val="003D7E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D7E55"/>
  </w:style>
  <w:style w:type="paragraph" w:styleId="a7">
    <w:name w:val="Balloon Text"/>
    <w:basedOn w:val="a"/>
    <w:link w:val="a8"/>
    <w:uiPriority w:val="99"/>
    <w:semiHidden/>
    <w:unhideWhenUsed/>
    <w:rsid w:val="003D7E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3D7E55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rsid w:val="0036563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3656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p1">
    <w:name w:val="p1"/>
    <w:basedOn w:val="a"/>
    <w:rsid w:val="0036563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9A47A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C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ПАРАГРАФ,List1,List Paragraph11,List Paragraph111,Списък на абзаци1,List Paragraph1,Colorful List - Accent 11,List Paragraph1111"/>
    <w:basedOn w:val="a"/>
    <w:link w:val="ac"/>
    <w:uiPriority w:val="34"/>
    <w:qFormat/>
    <w:rsid w:val="00A2580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c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b"/>
    <w:uiPriority w:val="34"/>
    <w:qFormat/>
    <w:locked/>
    <w:rsid w:val="00A2580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TableParagraph">
    <w:name w:val="Table Paragraph"/>
    <w:basedOn w:val="a"/>
    <w:uiPriority w:val="1"/>
    <w:qFormat/>
    <w:rsid w:val="00692257"/>
    <w:pPr>
      <w:widowControl w:val="0"/>
      <w:autoSpaceDE w:val="0"/>
      <w:autoSpaceDN w:val="0"/>
    </w:pPr>
    <w:rPr>
      <w:sz w:val="22"/>
      <w:szCs w:val="22"/>
      <w:lang w:bidi="bg-BG"/>
    </w:rPr>
  </w:style>
  <w:style w:type="paragraph" w:styleId="ad">
    <w:name w:val="annotation text"/>
    <w:basedOn w:val="a"/>
    <w:link w:val="ae"/>
    <w:uiPriority w:val="99"/>
    <w:unhideWhenUsed/>
    <w:rsid w:val="002D051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rsid w:val="002D051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ulletNumbers">
    <w:name w:val="BulletNumbers"/>
    <w:basedOn w:val="ab"/>
    <w:link w:val="BulletNumbersChar"/>
    <w:qFormat/>
    <w:rsid w:val="004B334C"/>
    <w:pPr>
      <w:widowControl/>
      <w:numPr>
        <w:numId w:val="2"/>
      </w:numPr>
      <w:autoSpaceDE/>
      <w:autoSpaceDN/>
      <w:adjustRightInd/>
      <w:spacing w:after="20" w:line="276" w:lineRule="auto"/>
    </w:pPr>
    <w:rPr>
      <w:rFonts w:eastAsia="Calibri"/>
      <w:sz w:val="24"/>
      <w:szCs w:val="24"/>
    </w:rPr>
  </w:style>
  <w:style w:type="character" w:customStyle="1" w:styleId="BulletNumbersChar">
    <w:name w:val="BulletNumbers Char"/>
    <w:basedOn w:val="ac"/>
    <w:link w:val="BulletNumbers"/>
    <w:rsid w:val="004B334C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-bs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Tsvetina Projects</dc:creator>
  <cp:lastModifiedBy>mig 2</cp:lastModifiedBy>
  <cp:revision>116</cp:revision>
  <cp:lastPrinted>2019-06-24T13:57:00Z</cp:lastPrinted>
  <dcterms:created xsi:type="dcterms:W3CDTF">2018-04-19T07:04:00Z</dcterms:created>
  <dcterms:modified xsi:type="dcterms:W3CDTF">2019-07-02T08:49:00Z</dcterms:modified>
</cp:coreProperties>
</file>