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B6" w:rsidRDefault="00617FB6"/>
    <w:p w:rsidR="00D3123F" w:rsidRPr="004D1E8C" w:rsidRDefault="00D3123F" w:rsidP="007D21CC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4D1E8C">
        <w:rPr>
          <w:b/>
          <w:color w:val="548DD4"/>
          <w:sz w:val="28"/>
          <w:szCs w:val="28"/>
          <w:u w:val="single"/>
        </w:rPr>
        <w:t>О Б Я В А</w:t>
      </w:r>
    </w:p>
    <w:p w:rsidR="00D3123F" w:rsidRPr="004D1E8C" w:rsidRDefault="00D3123F" w:rsidP="007D21CC">
      <w:pPr>
        <w:spacing w:after="0" w:line="23" w:lineRule="atLeast"/>
        <w:jc w:val="center"/>
        <w:outlineLvl w:val="0"/>
        <w:rPr>
          <w:b/>
          <w:color w:val="548DD4"/>
          <w:szCs w:val="24"/>
        </w:rPr>
      </w:pPr>
    </w:p>
    <w:p w:rsidR="00D3123F" w:rsidRPr="004D1E8C" w:rsidRDefault="00D3123F" w:rsidP="007D21CC">
      <w:pPr>
        <w:spacing w:after="0" w:line="23" w:lineRule="atLeast"/>
        <w:jc w:val="center"/>
        <w:outlineLvl w:val="0"/>
        <w:rPr>
          <w:b/>
          <w:color w:val="548DD4"/>
          <w:szCs w:val="24"/>
        </w:rPr>
      </w:pPr>
      <w:r w:rsidRPr="004D1E8C">
        <w:rPr>
          <w:b/>
          <w:color w:val="548DD4"/>
          <w:szCs w:val="24"/>
        </w:rPr>
        <w:t xml:space="preserve">МЕСТНА ИНИЦИАТИВНА ГРУПА  </w:t>
      </w:r>
      <w:r w:rsidR="00946B8A">
        <w:rPr>
          <w:b/>
          <w:color w:val="548DD4"/>
          <w:szCs w:val="24"/>
        </w:rPr>
        <w:t>„НОВИ ПАЗАР – КАСПИЧАН”</w:t>
      </w:r>
    </w:p>
    <w:p w:rsidR="00D3123F" w:rsidRPr="004D1E8C" w:rsidRDefault="00D3123F" w:rsidP="007D21CC">
      <w:pPr>
        <w:spacing w:after="0" w:line="23" w:lineRule="atLeast"/>
        <w:jc w:val="center"/>
        <w:outlineLvl w:val="0"/>
        <w:rPr>
          <w:b/>
          <w:color w:val="548DD4"/>
          <w:szCs w:val="24"/>
        </w:rPr>
      </w:pPr>
      <w:r w:rsidRPr="004D1E8C">
        <w:rPr>
          <w:b/>
          <w:caps/>
          <w:color w:val="548DD4"/>
          <w:szCs w:val="24"/>
        </w:rPr>
        <w:t>Открива процедура за подбор на проектни предложения</w:t>
      </w:r>
    </w:p>
    <w:p w:rsidR="00D3123F" w:rsidRPr="00863849" w:rsidRDefault="00D3123F" w:rsidP="00863849">
      <w:pPr>
        <w:spacing w:after="0" w:line="23" w:lineRule="atLeast"/>
        <w:jc w:val="center"/>
        <w:outlineLvl w:val="0"/>
        <w:rPr>
          <w:rStyle w:val="indented"/>
          <w:b/>
          <w:caps/>
          <w:color w:val="548DD4"/>
          <w:szCs w:val="24"/>
        </w:rPr>
      </w:pPr>
      <w:r w:rsidRPr="004D1E8C">
        <w:rPr>
          <w:b/>
          <w:caps/>
          <w:color w:val="548DD4"/>
          <w:szCs w:val="24"/>
        </w:rPr>
        <w:t>за предОставяне на безвъзмездна финансова помощ</w:t>
      </w:r>
      <w:r w:rsidR="00863849">
        <w:rPr>
          <w:b/>
          <w:caps/>
          <w:color w:val="548DD4"/>
          <w:szCs w:val="24"/>
        </w:rPr>
        <w:t xml:space="preserve"> ПО</w:t>
      </w:r>
    </w:p>
    <w:p w:rsidR="00D3123F" w:rsidRPr="0020556D" w:rsidRDefault="00E549B9" w:rsidP="0020556D">
      <w:pPr>
        <w:jc w:val="center"/>
        <w:outlineLvl w:val="0"/>
        <w:rPr>
          <w:b/>
          <w:color w:val="2E74B5" w:themeColor="accent1" w:themeShade="BF"/>
          <w:szCs w:val="28"/>
          <w:lang w:val="en-US"/>
        </w:rPr>
      </w:pPr>
      <w:r w:rsidRPr="00E549B9">
        <w:rPr>
          <w:b/>
          <w:noProof/>
          <w:color w:val="2E74B5" w:themeColor="accent1" w:themeShade="BF"/>
          <w:szCs w:val="28"/>
        </w:rPr>
        <w:t>М</w:t>
      </w:r>
      <w:r w:rsidRPr="00E549B9">
        <w:rPr>
          <w:b/>
          <w:noProof/>
          <w:color w:val="2E74B5" w:themeColor="accent1" w:themeShade="BF"/>
          <w:szCs w:val="28"/>
          <w:lang w:val="fr-BE"/>
        </w:rPr>
        <w:t>ЯРКА 4.2</w:t>
      </w:r>
      <w:r w:rsidRPr="00E549B9">
        <w:rPr>
          <w:b/>
          <w:noProof/>
          <w:color w:val="2E74B5" w:themeColor="accent1" w:themeShade="BF"/>
          <w:szCs w:val="28"/>
        </w:rPr>
        <w:t>.1</w:t>
      </w:r>
      <w:r w:rsidRPr="00E549B9">
        <w:rPr>
          <w:b/>
          <w:noProof/>
          <w:color w:val="2E74B5" w:themeColor="accent1" w:themeShade="BF"/>
          <w:szCs w:val="28"/>
          <w:lang w:val="fr-BE"/>
        </w:rPr>
        <w:t xml:space="preserve"> „ИНВЕСТИЦИИ В ПРЕРАБОТКА/МАРКЕТИНГ НА СЕЛСКОСТОПАНСКИ ПРОДУКТИ“</w:t>
      </w:r>
    </w:p>
    <w:p w:rsidR="0085296A" w:rsidRPr="005B4A49" w:rsidRDefault="00D3123F" w:rsidP="005B4A49">
      <w:pPr>
        <w:keepNext/>
        <w:spacing w:before="240" w:after="240"/>
        <w:jc w:val="center"/>
        <w:outlineLvl w:val="4"/>
        <w:rPr>
          <w:b/>
          <w:sz w:val="28"/>
          <w:lang w:val="en-US"/>
        </w:rPr>
      </w:pPr>
      <w:r w:rsidRPr="008772E7">
        <w:rPr>
          <w:rFonts w:cs="Times New Roman"/>
          <w:szCs w:val="24"/>
        </w:rPr>
        <w:t xml:space="preserve">Сдружение </w:t>
      </w:r>
      <w:r w:rsidRPr="008772E7">
        <w:rPr>
          <w:rFonts w:cs="Times New Roman"/>
          <w:b/>
          <w:szCs w:val="24"/>
        </w:rPr>
        <w:t xml:space="preserve">„Местна инициативна група </w:t>
      </w:r>
      <w:r w:rsidR="00946B8A" w:rsidRPr="008772E7">
        <w:rPr>
          <w:rFonts w:cs="Times New Roman"/>
          <w:b/>
          <w:szCs w:val="24"/>
        </w:rPr>
        <w:t>–</w:t>
      </w:r>
      <w:r w:rsidRPr="008772E7">
        <w:rPr>
          <w:rFonts w:cs="Times New Roman"/>
          <w:b/>
          <w:szCs w:val="24"/>
        </w:rPr>
        <w:t xml:space="preserve"> </w:t>
      </w:r>
      <w:r w:rsidR="00946B8A" w:rsidRPr="008772E7">
        <w:rPr>
          <w:rFonts w:cs="Times New Roman"/>
          <w:b/>
          <w:szCs w:val="24"/>
        </w:rPr>
        <w:t>Нови пазар-Каспичан</w:t>
      </w:r>
      <w:r w:rsidRPr="008772E7">
        <w:rPr>
          <w:rFonts w:cs="Times New Roman"/>
          <w:b/>
          <w:szCs w:val="24"/>
        </w:rPr>
        <w:t>”</w:t>
      </w:r>
      <w:r w:rsidRPr="008772E7">
        <w:rPr>
          <w:rFonts w:cs="Times New Roman"/>
          <w:szCs w:val="24"/>
        </w:rPr>
        <w:t xml:space="preserve"> открива процедура за подбор на проектни предложения </w:t>
      </w:r>
      <w:r w:rsidR="005B4A49" w:rsidRPr="005B4A49">
        <w:rPr>
          <w:rStyle w:val="indented"/>
          <w:b/>
        </w:rPr>
        <w:t>BG06RDNP001-19.337</w:t>
      </w:r>
      <w:r w:rsidR="005B4A49">
        <w:rPr>
          <w:rStyle w:val="indented"/>
          <w:b/>
          <w:sz w:val="28"/>
          <w:lang w:val="en-US"/>
        </w:rPr>
        <w:t xml:space="preserve"> </w:t>
      </w:r>
      <w:r w:rsidR="0085296A" w:rsidRPr="008772E7">
        <w:rPr>
          <w:rStyle w:val="indented"/>
          <w:rFonts w:cs="Times New Roman"/>
          <w:b/>
          <w:szCs w:val="24"/>
        </w:rPr>
        <w:t xml:space="preserve">по </w:t>
      </w:r>
      <w:r w:rsidR="0085296A" w:rsidRPr="008772E7">
        <w:rPr>
          <w:rFonts w:cs="Times New Roman"/>
          <w:b/>
          <w:noProof/>
          <w:color w:val="000000" w:themeColor="text1"/>
          <w:szCs w:val="24"/>
        </w:rPr>
        <w:t>м</w:t>
      </w:r>
      <w:r w:rsidR="0085296A" w:rsidRPr="008772E7">
        <w:rPr>
          <w:rFonts w:cs="Times New Roman"/>
          <w:b/>
          <w:noProof/>
          <w:color w:val="000000" w:themeColor="text1"/>
          <w:szCs w:val="24"/>
          <w:lang w:val="fr-BE"/>
        </w:rPr>
        <w:t>ярка 4.2</w:t>
      </w:r>
      <w:r w:rsidR="0085296A" w:rsidRPr="008772E7">
        <w:rPr>
          <w:rFonts w:cs="Times New Roman"/>
          <w:b/>
          <w:noProof/>
          <w:color w:val="000000" w:themeColor="text1"/>
          <w:szCs w:val="24"/>
        </w:rPr>
        <w:t>.1</w:t>
      </w:r>
      <w:r w:rsidR="0085296A" w:rsidRPr="008772E7">
        <w:rPr>
          <w:rFonts w:cs="Times New Roman"/>
          <w:b/>
          <w:noProof/>
          <w:color w:val="000000" w:themeColor="text1"/>
          <w:szCs w:val="24"/>
          <w:lang w:val="fr-BE"/>
        </w:rPr>
        <w:t xml:space="preserve"> „</w:t>
      </w:r>
      <w:r w:rsidR="0085296A" w:rsidRPr="008772E7">
        <w:rPr>
          <w:rFonts w:cs="Times New Roman"/>
          <w:b/>
          <w:noProof/>
          <w:color w:val="000000" w:themeColor="text1"/>
          <w:szCs w:val="24"/>
        </w:rPr>
        <w:t>И</w:t>
      </w:r>
      <w:r w:rsidR="0085296A" w:rsidRPr="008772E7">
        <w:rPr>
          <w:rFonts w:cs="Times New Roman"/>
          <w:b/>
          <w:noProof/>
          <w:color w:val="000000" w:themeColor="text1"/>
          <w:szCs w:val="24"/>
          <w:lang w:val="fr-BE"/>
        </w:rPr>
        <w:t>нвестиции в преработка/маркетинг на селскостопански продукти“</w:t>
      </w:r>
    </w:p>
    <w:p w:rsidR="0085296A" w:rsidRPr="008772E7" w:rsidRDefault="0085296A" w:rsidP="008772E7">
      <w:pPr>
        <w:spacing w:after="0" w:line="276" w:lineRule="auto"/>
        <w:ind w:right="23"/>
        <w:jc w:val="center"/>
        <w:rPr>
          <w:rFonts w:cs="Times New Roman"/>
          <w:color w:val="000000" w:themeColor="text1"/>
          <w:szCs w:val="24"/>
        </w:rPr>
      </w:pPr>
    </w:p>
    <w:p w:rsidR="00D3123F" w:rsidRPr="008772E7" w:rsidRDefault="00D3123F" w:rsidP="008772E7">
      <w:pPr>
        <w:spacing w:after="0" w:line="276" w:lineRule="auto"/>
        <w:outlineLvl w:val="0"/>
        <w:rPr>
          <w:rFonts w:cs="Times New Roman"/>
          <w:szCs w:val="24"/>
        </w:rPr>
      </w:pPr>
      <w:r w:rsidRPr="008772E7">
        <w:rPr>
          <w:rFonts w:cs="Times New Roman"/>
          <w:b/>
          <w:szCs w:val="24"/>
        </w:rPr>
        <w:t xml:space="preserve">Оперативна програма: </w:t>
      </w:r>
      <w:r w:rsidR="00F04B88" w:rsidRPr="008772E7">
        <w:rPr>
          <w:rFonts w:cs="Times New Roman"/>
          <w:szCs w:val="24"/>
        </w:rPr>
        <w:t>Програма за развитие на селските райони 2014 -2020г</w:t>
      </w:r>
      <w:r w:rsidRPr="008772E7">
        <w:rPr>
          <w:rFonts w:cs="Times New Roman"/>
          <w:szCs w:val="24"/>
        </w:rPr>
        <w:t>.</w:t>
      </w:r>
    </w:p>
    <w:p w:rsidR="00D3123F" w:rsidRPr="008772E7" w:rsidRDefault="00F713D6" w:rsidP="008772E7">
      <w:pPr>
        <w:spacing w:after="0" w:line="276" w:lineRule="auto"/>
        <w:outlineLvl w:val="0"/>
        <w:rPr>
          <w:rFonts w:cs="Times New Roman"/>
          <w:szCs w:val="24"/>
        </w:rPr>
      </w:pPr>
      <w:r w:rsidRPr="008772E7">
        <w:rPr>
          <w:rFonts w:cs="Times New Roman"/>
          <w:b/>
          <w:szCs w:val="24"/>
        </w:rPr>
        <w:t>Мярка</w:t>
      </w:r>
      <w:r w:rsidR="00D3123F" w:rsidRPr="008772E7">
        <w:rPr>
          <w:rFonts w:cs="Times New Roman"/>
          <w:szCs w:val="24"/>
        </w:rPr>
        <w:t xml:space="preserve">: 19 </w:t>
      </w:r>
      <w:r w:rsidR="00F04B88" w:rsidRPr="008772E7">
        <w:rPr>
          <w:rFonts w:cs="Times New Roman"/>
          <w:szCs w:val="24"/>
        </w:rPr>
        <w:t>„Водено от общностите местно развитие“</w:t>
      </w:r>
    </w:p>
    <w:p w:rsidR="00A37137" w:rsidRPr="008772E7" w:rsidRDefault="00A37137" w:rsidP="008772E7">
      <w:pPr>
        <w:spacing w:after="0" w:line="276" w:lineRule="auto"/>
        <w:jc w:val="both"/>
        <w:rPr>
          <w:rFonts w:cs="Times New Roman"/>
          <w:b/>
          <w:szCs w:val="24"/>
          <w:lang w:val="en-US"/>
        </w:rPr>
      </w:pPr>
    </w:p>
    <w:p w:rsidR="005562AA" w:rsidRPr="008772E7" w:rsidRDefault="00D3123F" w:rsidP="008772E7">
      <w:pPr>
        <w:spacing w:after="0" w:line="276" w:lineRule="auto"/>
        <w:jc w:val="both"/>
        <w:rPr>
          <w:rFonts w:cs="Times New Roman"/>
          <w:b/>
          <w:szCs w:val="24"/>
        </w:rPr>
      </w:pPr>
      <w:r w:rsidRPr="008772E7">
        <w:rPr>
          <w:rFonts w:cs="Times New Roman"/>
          <w:b/>
          <w:szCs w:val="24"/>
        </w:rPr>
        <w:t xml:space="preserve">Основната цел на процедурата: </w:t>
      </w:r>
    </w:p>
    <w:p w:rsidR="0085296A" w:rsidRPr="008772E7" w:rsidRDefault="00DE5FF3" w:rsidP="008772E7">
      <w:pPr>
        <w:spacing w:after="0" w:line="276" w:lineRule="auto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t>М</w:t>
      </w:r>
      <w:r w:rsidR="0085296A" w:rsidRPr="008772E7">
        <w:rPr>
          <w:rFonts w:cs="Times New Roman"/>
          <w:szCs w:val="24"/>
        </w:rPr>
        <w:t>одернизиране</w:t>
      </w:r>
      <w:r w:rsidRPr="008772E7">
        <w:rPr>
          <w:rFonts w:cs="Times New Roman"/>
          <w:szCs w:val="24"/>
        </w:rPr>
        <w:t xml:space="preserve"> на</w:t>
      </w:r>
      <w:r w:rsidR="0085296A" w:rsidRPr="008772E7">
        <w:rPr>
          <w:rFonts w:cs="Times New Roman"/>
          <w:szCs w:val="24"/>
        </w:rPr>
        <w:t xml:space="preserve"> технологичната база и внедряване на иновации в специфични за територията предприятия от ХВП</w:t>
      </w:r>
      <w:r w:rsidR="0085296A" w:rsidRPr="008772E7">
        <w:rPr>
          <w:rFonts w:cs="Times New Roman"/>
          <w:szCs w:val="24"/>
          <w:highlight w:val="white"/>
          <w:shd w:val="clear" w:color="auto" w:fill="FEFEFE"/>
        </w:rPr>
        <w:t xml:space="preserve"> чрез:</w:t>
      </w:r>
    </w:p>
    <w:p w:rsidR="0085296A" w:rsidRPr="008772E7" w:rsidRDefault="0085296A" w:rsidP="008772E7">
      <w:pPr>
        <w:spacing w:after="0" w:line="276" w:lineRule="auto"/>
        <w:jc w:val="both"/>
        <w:rPr>
          <w:rFonts w:cs="Times New Roman"/>
          <w:szCs w:val="24"/>
          <w:highlight w:val="white"/>
          <w:shd w:val="clear" w:color="auto" w:fill="FEFEFE"/>
        </w:rPr>
      </w:pPr>
      <w:r w:rsidRPr="008772E7">
        <w:rPr>
          <w:rFonts w:cs="Times New Roman"/>
          <w:szCs w:val="24"/>
          <w:highlight w:val="white"/>
          <w:shd w:val="clear" w:color="auto" w:fill="FEFEFE"/>
        </w:rPr>
        <w:t>1. по-добро използване на факторите за производство;</w:t>
      </w:r>
    </w:p>
    <w:p w:rsidR="0085296A" w:rsidRPr="008772E7" w:rsidRDefault="0085296A" w:rsidP="008772E7">
      <w:pPr>
        <w:spacing w:after="0" w:line="276" w:lineRule="auto"/>
        <w:jc w:val="both"/>
        <w:rPr>
          <w:rFonts w:cs="Times New Roman"/>
          <w:szCs w:val="24"/>
          <w:highlight w:val="white"/>
          <w:shd w:val="clear" w:color="auto" w:fill="FEFEFE"/>
        </w:rPr>
      </w:pPr>
      <w:r w:rsidRPr="008772E7">
        <w:rPr>
          <w:rFonts w:cs="Times New Roman"/>
          <w:szCs w:val="24"/>
          <w:highlight w:val="white"/>
          <w:shd w:val="clear" w:color="auto" w:fill="FEFEFE"/>
        </w:rPr>
        <w:t>2. въвеждане на нови продукти, процеси и технологии, включително къси вериги на доставка;</w:t>
      </w:r>
    </w:p>
    <w:p w:rsidR="0085296A" w:rsidRPr="008772E7" w:rsidRDefault="0085296A" w:rsidP="008772E7">
      <w:pPr>
        <w:spacing w:after="0" w:line="276" w:lineRule="auto"/>
        <w:jc w:val="both"/>
        <w:rPr>
          <w:rFonts w:cs="Times New Roman"/>
          <w:szCs w:val="24"/>
          <w:highlight w:val="white"/>
          <w:shd w:val="clear" w:color="auto" w:fill="FEFEFE"/>
        </w:rPr>
      </w:pPr>
      <w:r w:rsidRPr="008772E7">
        <w:rPr>
          <w:rFonts w:cs="Times New Roman"/>
          <w:szCs w:val="24"/>
          <w:highlight w:val="white"/>
          <w:shd w:val="clear" w:color="auto" w:fill="FEFEFE"/>
        </w:rPr>
        <w:t xml:space="preserve">3. подобряване на качеството и безопасността на храните и тяхната </w:t>
      </w:r>
      <w:proofErr w:type="spellStart"/>
      <w:r w:rsidRPr="008772E7">
        <w:rPr>
          <w:rFonts w:cs="Times New Roman"/>
          <w:szCs w:val="24"/>
          <w:highlight w:val="white"/>
          <w:shd w:val="clear" w:color="auto" w:fill="FEFEFE"/>
        </w:rPr>
        <w:t>проследяемост</w:t>
      </w:r>
      <w:proofErr w:type="spellEnd"/>
      <w:r w:rsidRPr="008772E7">
        <w:rPr>
          <w:rFonts w:cs="Times New Roman"/>
          <w:szCs w:val="24"/>
          <w:highlight w:val="white"/>
          <w:shd w:val="clear" w:color="auto" w:fill="FEFEFE"/>
        </w:rPr>
        <w:t>;</w:t>
      </w:r>
    </w:p>
    <w:p w:rsidR="0085296A" w:rsidRPr="008772E7" w:rsidRDefault="0085296A" w:rsidP="008772E7">
      <w:pPr>
        <w:spacing w:after="0" w:line="276" w:lineRule="auto"/>
        <w:jc w:val="both"/>
        <w:rPr>
          <w:rFonts w:cs="Times New Roman"/>
          <w:szCs w:val="24"/>
          <w:highlight w:val="white"/>
          <w:shd w:val="clear" w:color="auto" w:fill="FEFEFE"/>
        </w:rPr>
      </w:pPr>
      <w:r w:rsidRPr="008772E7">
        <w:rPr>
          <w:rFonts w:cs="Times New Roman"/>
          <w:szCs w:val="24"/>
          <w:highlight w:val="white"/>
          <w:shd w:val="clear" w:color="auto" w:fill="FEFEFE"/>
        </w:rPr>
        <w:t>4. постигане на съответствие със стандартите на Европейския съюз (ЕС);</w:t>
      </w:r>
    </w:p>
    <w:p w:rsidR="0085296A" w:rsidRPr="008772E7" w:rsidRDefault="0085296A" w:rsidP="008772E7">
      <w:pPr>
        <w:spacing w:after="0" w:line="276" w:lineRule="auto"/>
        <w:jc w:val="both"/>
        <w:rPr>
          <w:rFonts w:cs="Times New Roman"/>
          <w:szCs w:val="24"/>
          <w:highlight w:val="white"/>
          <w:shd w:val="clear" w:color="auto" w:fill="FEFEFE"/>
        </w:rPr>
      </w:pPr>
      <w:r w:rsidRPr="008772E7">
        <w:rPr>
          <w:rFonts w:cs="Times New Roman"/>
          <w:szCs w:val="24"/>
          <w:highlight w:val="white"/>
          <w:shd w:val="clear" w:color="auto" w:fill="FEFEFE"/>
        </w:rPr>
        <w:t>5. подобряване опазването на околната среда.</w:t>
      </w:r>
    </w:p>
    <w:p w:rsidR="00D3123F" w:rsidRPr="008772E7" w:rsidRDefault="00D3123F" w:rsidP="008772E7">
      <w:pPr>
        <w:spacing w:after="0" w:line="276" w:lineRule="auto"/>
        <w:jc w:val="both"/>
        <w:rPr>
          <w:rFonts w:cs="Times New Roman"/>
          <w:b/>
          <w:szCs w:val="24"/>
        </w:rPr>
      </w:pPr>
      <w:r w:rsidRPr="008772E7">
        <w:rPr>
          <w:rFonts w:cs="Times New Roman"/>
          <w:szCs w:val="24"/>
        </w:rPr>
        <w:t xml:space="preserve">Процедурата за безвъзмездна финансова помощ </w:t>
      </w:r>
      <w:r w:rsidRPr="008772E7">
        <w:rPr>
          <w:rFonts w:cs="Times New Roman"/>
          <w:b/>
          <w:szCs w:val="24"/>
        </w:rPr>
        <w:t>се реализира с финансовата подкрепа на Европейския земеделски фонд за развитие на селските райони.</w:t>
      </w:r>
    </w:p>
    <w:p w:rsidR="00946B8A" w:rsidRPr="008772E7" w:rsidRDefault="00946B8A" w:rsidP="008772E7">
      <w:pPr>
        <w:tabs>
          <w:tab w:val="left" w:pos="142"/>
        </w:tabs>
        <w:spacing w:after="0" w:line="276" w:lineRule="auto"/>
        <w:jc w:val="both"/>
        <w:rPr>
          <w:rFonts w:cs="Times New Roman"/>
          <w:b/>
          <w:color w:val="000000"/>
          <w:szCs w:val="24"/>
          <w:shd w:val="clear" w:color="auto" w:fill="FEFEFE"/>
          <w:lang w:val="ru-RU"/>
        </w:rPr>
      </w:pPr>
    </w:p>
    <w:p w:rsidR="00D3123F" w:rsidRPr="008772E7" w:rsidRDefault="00D3123F" w:rsidP="008772E7">
      <w:pPr>
        <w:shd w:val="clear" w:color="auto" w:fill="FEFEFE"/>
        <w:spacing w:after="0" w:line="276" w:lineRule="auto"/>
        <w:rPr>
          <w:rStyle w:val="indented"/>
          <w:rFonts w:cs="Times New Roman"/>
          <w:b/>
          <w:color w:val="548DD4"/>
          <w:szCs w:val="24"/>
          <w:lang w:val="ru-RU"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1. НАИМЕНОВАНИЕ НА МЯРКАТА ОТ СТРАТЕГИЯТА ЗА ВОМР</w:t>
      </w:r>
    </w:p>
    <w:p w:rsidR="00D3123F" w:rsidRDefault="00D3123F" w:rsidP="0020556D">
      <w:pPr>
        <w:shd w:val="clear" w:color="auto" w:fill="FEFEFE"/>
        <w:spacing w:after="0" w:line="276" w:lineRule="auto"/>
        <w:jc w:val="both"/>
        <w:rPr>
          <w:rFonts w:cs="Times New Roman"/>
          <w:b/>
          <w:i/>
          <w:color w:val="C00000"/>
          <w:szCs w:val="24"/>
          <w:lang w:val="en-US" w:eastAsia="bg-BG"/>
        </w:rPr>
      </w:pPr>
      <w:r w:rsidRPr="008772E7">
        <w:rPr>
          <w:rStyle w:val="indented"/>
          <w:rFonts w:cs="Times New Roman"/>
          <w:b/>
          <w:i/>
          <w:szCs w:val="24"/>
        </w:rPr>
        <w:t xml:space="preserve">„МИГ </w:t>
      </w:r>
      <w:r w:rsidR="00946B8A" w:rsidRPr="008772E7">
        <w:rPr>
          <w:rStyle w:val="indented"/>
          <w:rFonts w:cs="Times New Roman"/>
          <w:b/>
          <w:i/>
          <w:szCs w:val="24"/>
        </w:rPr>
        <w:t>Нови пазар – Каспичан”</w:t>
      </w:r>
      <w:r w:rsidRPr="008772E7">
        <w:rPr>
          <w:rStyle w:val="indented"/>
          <w:rFonts w:cs="Times New Roman"/>
          <w:b/>
          <w:i/>
          <w:szCs w:val="24"/>
        </w:rPr>
        <w:t xml:space="preserve"> - Мярка </w:t>
      </w:r>
      <w:r w:rsidR="00B053A1" w:rsidRPr="008772E7">
        <w:rPr>
          <w:rFonts w:cs="Times New Roman"/>
          <w:b/>
          <w:i/>
          <w:noProof/>
          <w:color w:val="000000" w:themeColor="text1"/>
          <w:szCs w:val="24"/>
          <w:lang w:val="fr-BE"/>
        </w:rPr>
        <w:t>4.2</w:t>
      </w:r>
      <w:r w:rsidR="00B053A1" w:rsidRPr="008772E7">
        <w:rPr>
          <w:rFonts w:cs="Times New Roman"/>
          <w:b/>
          <w:i/>
          <w:noProof/>
          <w:color w:val="000000" w:themeColor="text1"/>
          <w:szCs w:val="24"/>
        </w:rPr>
        <w:t>.1</w:t>
      </w:r>
      <w:r w:rsidR="00B053A1" w:rsidRPr="008772E7">
        <w:rPr>
          <w:rFonts w:cs="Times New Roman"/>
          <w:b/>
          <w:i/>
          <w:noProof/>
          <w:color w:val="000000" w:themeColor="text1"/>
          <w:szCs w:val="24"/>
          <w:lang w:val="fr-BE"/>
        </w:rPr>
        <w:t xml:space="preserve"> „</w:t>
      </w:r>
      <w:r w:rsidR="00B053A1" w:rsidRPr="008772E7">
        <w:rPr>
          <w:rFonts w:cs="Times New Roman"/>
          <w:b/>
          <w:i/>
          <w:noProof/>
          <w:color w:val="000000" w:themeColor="text1"/>
          <w:szCs w:val="24"/>
        </w:rPr>
        <w:t>И</w:t>
      </w:r>
      <w:r w:rsidR="00B053A1" w:rsidRPr="008772E7">
        <w:rPr>
          <w:rFonts w:cs="Times New Roman"/>
          <w:b/>
          <w:i/>
          <w:noProof/>
          <w:color w:val="000000" w:themeColor="text1"/>
          <w:szCs w:val="24"/>
          <w:lang w:val="fr-BE"/>
        </w:rPr>
        <w:t>нвестиции в преработка/маркетинг на селскостопански продукти“</w:t>
      </w:r>
    </w:p>
    <w:p w:rsidR="0020556D" w:rsidRPr="0020556D" w:rsidRDefault="0020556D" w:rsidP="0020556D">
      <w:pPr>
        <w:shd w:val="clear" w:color="auto" w:fill="FEFEFE"/>
        <w:spacing w:after="0" w:line="276" w:lineRule="auto"/>
        <w:jc w:val="both"/>
        <w:rPr>
          <w:rFonts w:cs="Times New Roman"/>
          <w:b/>
          <w:i/>
          <w:color w:val="C00000"/>
          <w:szCs w:val="24"/>
          <w:lang w:val="en-US" w:eastAsia="bg-BG"/>
        </w:rPr>
      </w:pPr>
    </w:p>
    <w:p w:rsidR="00D3123F" w:rsidRPr="008772E7" w:rsidRDefault="00D3123F" w:rsidP="008772E7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val="ru-RU"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2. ДОПУСТИМИ КАНДИДАТИ</w:t>
      </w:r>
    </w:p>
    <w:p w:rsidR="00DC3579" w:rsidRPr="008772E7" w:rsidRDefault="00DC3579" w:rsidP="008772E7">
      <w:pPr>
        <w:numPr>
          <w:ilvl w:val="0"/>
          <w:numId w:val="31"/>
        </w:numPr>
        <w:tabs>
          <w:tab w:val="left" w:pos="226"/>
        </w:tabs>
        <w:spacing w:after="0" w:line="276" w:lineRule="auto"/>
        <w:ind w:left="0" w:firstLine="0"/>
        <w:contextualSpacing/>
        <w:jc w:val="both"/>
        <w:rPr>
          <w:rFonts w:eastAsia="SimSun" w:cs="Times New Roman"/>
          <w:szCs w:val="24"/>
          <w:lang w:eastAsia="zh-CN"/>
        </w:rPr>
      </w:pPr>
      <w:r w:rsidRPr="008772E7">
        <w:rPr>
          <w:rFonts w:eastAsia="SimSun" w:cs="Times New Roman"/>
          <w:szCs w:val="24"/>
          <w:lang w:eastAsia="zh-CN"/>
        </w:rPr>
        <w:t>земеделски стопани;</w:t>
      </w:r>
    </w:p>
    <w:p w:rsidR="00DC3579" w:rsidRPr="008772E7" w:rsidRDefault="00DC3579" w:rsidP="008772E7">
      <w:pPr>
        <w:numPr>
          <w:ilvl w:val="0"/>
          <w:numId w:val="31"/>
        </w:numPr>
        <w:tabs>
          <w:tab w:val="left" w:pos="226"/>
        </w:tabs>
        <w:spacing w:after="0" w:line="276" w:lineRule="auto"/>
        <w:ind w:left="0" w:firstLine="0"/>
        <w:contextualSpacing/>
        <w:jc w:val="both"/>
        <w:rPr>
          <w:rFonts w:eastAsia="SimSun" w:cs="Times New Roman"/>
          <w:szCs w:val="24"/>
          <w:lang w:eastAsia="zh-CN"/>
        </w:rPr>
      </w:pPr>
      <w:r w:rsidRPr="008772E7">
        <w:rPr>
          <w:rFonts w:eastAsia="SimSun" w:cs="Times New Roman"/>
          <w:szCs w:val="24"/>
          <w:lang w:eastAsia="zh-CN"/>
        </w:rPr>
        <w:t>признати групи или организации на производители или такива, одобрени за финансова помощ по мярка 9 „Учредяване на групи и организации на производители” от ПРСР 2014-2020г.;</w:t>
      </w:r>
    </w:p>
    <w:p w:rsidR="00DC3579" w:rsidRPr="008772E7" w:rsidRDefault="00DC3579" w:rsidP="008772E7">
      <w:pPr>
        <w:numPr>
          <w:ilvl w:val="0"/>
          <w:numId w:val="31"/>
        </w:numPr>
        <w:tabs>
          <w:tab w:val="left" w:pos="226"/>
        </w:tabs>
        <w:spacing w:after="0" w:line="276" w:lineRule="auto"/>
        <w:ind w:left="0" w:firstLine="0"/>
        <w:contextualSpacing/>
        <w:jc w:val="both"/>
        <w:rPr>
          <w:rFonts w:eastAsia="SimSun" w:cs="Times New Roman"/>
          <w:szCs w:val="24"/>
          <w:lang w:eastAsia="zh-CN"/>
        </w:rPr>
      </w:pPr>
      <w:r w:rsidRPr="008772E7">
        <w:rPr>
          <w:rFonts w:eastAsia="SimSun" w:cs="Times New Roman"/>
          <w:szCs w:val="24"/>
          <w:lang w:eastAsia="zh-CN"/>
        </w:rPr>
        <w:t>еднолични търговци и юридически лица, различни от кандидатите по т. 1 и 2;</w:t>
      </w:r>
    </w:p>
    <w:p w:rsidR="00DC3579" w:rsidRPr="008772E7" w:rsidRDefault="00DE5FF3" w:rsidP="008772E7">
      <w:pPr>
        <w:tabs>
          <w:tab w:val="left" w:pos="226"/>
        </w:tabs>
        <w:spacing w:after="0" w:line="276" w:lineRule="auto"/>
        <w:jc w:val="both"/>
        <w:rPr>
          <w:rFonts w:eastAsia="SimSun" w:cs="Times New Roman"/>
          <w:szCs w:val="24"/>
          <w:lang w:eastAsia="zh-CN"/>
        </w:rPr>
      </w:pPr>
      <w:r w:rsidRPr="008772E7">
        <w:rPr>
          <w:rFonts w:eastAsia="SimSun" w:cs="Times New Roman"/>
          <w:szCs w:val="24"/>
          <w:lang w:eastAsia="zh-CN"/>
        </w:rPr>
        <w:lastRenderedPageBreak/>
        <w:t>Кандидатите по т.</w:t>
      </w:r>
      <w:r w:rsidR="00DC3579" w:rsidRPr="008772E7">
        <w:rPr>
          <w:rFonts w:eastAsia="SimSun" w:cs="Times New Roman"/>
          <w:szCs w:val="24"/>
          <w:lang w:eastAsia="zh-CN"/>
        </w:rPr>
        <w:t>1, 2</w:t>
      </w:r>
      <w:r w:rsidR="00DC3579" w:rsidRPr="008772E7">
        <w:rPr>
          <w:rFonts w:eastAsia="SimSun" w:cs="Times New Roman"/>
          <w:szCs w:val="24"/>
          <w:lang w:val="en-US" w:eastAsia="zh-CN"/>
        </w:rPr>
        <w:t xml:space="preserve"> </w:t>
      </w:r>
      <w:r w:rsidR="00DC3579" w:rsidRPr="008772E7">
        <w:rPr>
          <w:rFonts w:eastAsia="SimSun" w:cs="Times New Roman"/>
          <w:szCs w:val="24"/>
          <w:lang w:eastAsia="zh-CN"/>
        </w:rPr>
        <w:t xml:space="preserve">и 3 трябва да са регистрирани по </w:t>
      </w:r>
      <w:hyperlink r:id="rId8" w:history="1">
        <w:r w:rsidR="00DC3579" w:rsidRPr="008772E7">
          <w:rPr>
            <w:rFonts w:eastAsia="SimSun" w:cs="Times New Roman"/>
            <w:szCs w:val="24"/>
            <w:lang w:eastAsia="zh-CN"/>
          </w:rPr>
          <w:t>Търговския закон</w:t>
        </w:r>
      </w:hyperlink>
      <w:r w:rsidR="00DC3579" w:rsidRPr="008772E7">
        <w:rPr>
          <w:rFonts w:eastAsia="SimSun" w:cs="Times New Roman"/>
          <w:szCs w:val="24"/>
          <w:lang w:eastAsia="zh-CN"/>
        </w:rPr>
        <w:t xml:space="preserve"> или </w:t>
      </w:r>
      <w:hyperlink r:id="rId9" w:history="1">
        <w:r w:rsidR="00DC3579" w:rsidRPr="008772E7">
          <w:rPr>
            <w:rFonts w:eastAsia="SimSun" w:cs="Times New Roman"/>
            <w:szCs w:val="24"/>
            <w:lang w:eastAsia="zh-CN"/>
          </w:rPr>
          <w:t>Закона за кооперациите</w:t>
        </w:r>
      </w:hyperlink>
      <w:r w:rsidR="00DC3579" w:rsidRPr="008772E7">
        <w:rPr>
          <w:rFonts w:eastAsia="SimSun" w:cs="Times New Roman"/>
          <w:szCs w:val="24"/>
          <w:lang w:eastAsia="zh-CN"/>
        </w:rPr>
        <w:t>.</w:t>
      </w:r>
    </w:p>
    <w:p w:rsidR="00314253" w:rsidRPr="008772E7" w:rsidRDefault="00DC3579" w:rsidP="008772E7">
      <w:pPr>
        <w:tabs>
          <w:tab w:val="left" w:pos="226"/>
        </w:tabs>
        <w:spacing w:after="0" w:line="276" w:lineRule="auto"/>
        <w:jc w:val="both"/>
        <w:rPr>
          <w:rFonts w:eastAsia="Times New Roman" w:cs="Times New Roman"/>
          <w:szCs w:val="24"/>
          <w:lang w:eastAsia="bg-BG"/>
        </w:rPr>
      </w:pPr>
      <w:r w:rsidRPr="008772E7">
        <w:rPr>
          <w:rFonts w:eastAsia="Times New Roman" w:cs="Times New Roman"/>
          <w:szCs w:val="24"/>
          <w:lang w:eastAsia="bg-BG"/>
        </w:rPr>
        <w:t>Допустими са само кандидати със седалище за ЮЛ и постоянен адрес за физическите лица на територията на МИГ.</w:t>
      </w:r>
    </w:p>
    <w:p w:rsidR="00DC3579" w:rsidRPr="008772E7" w:rsidRDefault="00DC3579" w:rsidP="008772E7">
      <w:pPr>
        <w:tabs>
          <w:tab w:val="left" w:pos="226"/>
        </w:tabs>
        <w:spacing w:after="0" w:line="276" w:lineRule="auto"/>
        <w:jc w:val="both"/>
        <w:rPr>
          <w:rFonts w:eastAsia="SimSun" w:cs="Times New Roman"/>
          <w:szCs w:val="24"/>
          <w:lang w:eastAsia="zh-CN"/>
        </w:rPr>
      </w:pPr>
    </w:p>
    <w:p w:rsidR="00D3123F" w:rsidRPr="008772E7" w:rsidRDefault="00D3123F" w:rsidP="008772E7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val="ru-RU"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3. ДОПУСТИМИ ДЕЙНОСТИ</w:t>
      </w:r>
    </w:p>
    <w:p w:rsidR="00DC3579" w:rsidRPr="008772E7" w:rsidRDefault="00DC3579" w:rsidP="008772E7">
      <w:pPr>
        <w:pStyle w:val="Default"/>
        <w:spacing w:line="276" w:lineRule="auto"/>
        <w:jc w:val="both"/>
        <w:rPr>
          <w:b/>
          <w:color w:val="auto"/>
          <w:lang w:eastAsia="bg-BG"/>
        </w:rPr>
      </w:pPr>
      <w:r w:rsidRPr="008772E7">
        <w:rPr>
          <w:color w:val="000000" w:themeColor="text1"/>
          <w:lang w:eastAsia="bg-BG"/>
        </w:rPr>
        <w:t>Допустими са само дейности на територията на МИГ за:</w:t>
      </w:r>
    </w:p>
    <w:p w:rsidR="00DC3579" w:rsidRPr="008772E7" w:rsidRDefault="00DC3579" w:rsidP="008772E7">
      <w:pPr>
        <w:pStyle w:val="Default"/>
        <w:numPr>
          <w:ilvl w:val="0"/>
          <w:numId w:val="30"/>
        </w:numPr>
        <w:tabs>
          <w:tab w:val="left" w:pos="0"/>
          <w:tab w:val="left" w:pos="227"/>
        </w:tabs>
        <w:spacing w:line="276" w:lineRule="auto"/>
        <w:ind w:left="0" w:firstLine="0"/>
        <w:jc w:val="both"/>
      </w:pPr>
      <w:r w:rsidRPr="008772E7">
        <w:t xml:space="preserve">внедряване на нови и/или модернизиране на наличните мощности и подобряване на използването им, и/или </w:t>
      </w:r>
    </w:p>
    <w:p w:rsidR="00DC3579" w:rsidRPr="008772E7" w:rsidRDefault="00DC3579" w:rsidP="008772E7">
      <w:pPr>
        <w:pStyle w:val="Default"/>
        <w:numPr>
          <w:ilvl w:val="0"/>
          <w:numId w:val="30"/>
        </w:numPr>
        <w:tabs>
          <w:tab w:val="left" w:pos="0"/>
          <w:tab w:val="left" w:pos="227"/>
        </w:tabs>
        <w:spacing w:line="276" w:lineRule="auto"/>
        <w:ind w:left="0" w:firstLine="0"/>
        <w:jc w:val="both"/>
      </w:pPr>
      <w:r w:rsidRPr="008772E7">
        <w:t>внедряване на нови продукти, процеси и технологии, и/или</w:t>
      </w:r>
    </w:p>
    <w:p w:rsidR="00DC3579" w:rsidRPr="008772E7" w:rsidRDefault="00DC3579" w:rsidP="008772E7">
      <w:pPr>
        <w:pStyle w:val="Default"/>
        <w:spacing w:line="276" w:lineRule="auto"/>
        <w:jc w:val="both"/>
      </w:pPr>
      <w:r w:rsidRPr="008772E7">
        <w:t xml:space="preserve">3. намаляване на себестойността на произвежданата продукция, и/или </w:t>
      </w:r>
    </w:p>
    <w:p w:rsidR="00DC3579" w:rsidRPr="008772E7" w:rsidRDefault="00DC3579" w:rsidP="008772E7">
      <w:pPr>
        <w:pStyle w:val="Default"/>
        <w:spacing w:line="276" w:lineRule="auto"/>
        <w:jc w:val="both"/>
      </w:pPr>
      <w:r w:rsidRPr="008772E7">
        <w:t xml:space="preserve">4. постигане на съответствие с ново въведени стандарти на ЕС, и/или </w:t>
      </w:r>
    </w:p>
    <w:p w:rsidR="00DC3579" w:rsidRPr="008772E7" w:rsidRDefault="00DC3579" w:rsidP="008772E7">
      <w:pPr>
        <w:pStyle w:val="Default"/>
        <w:spacing w:line="276" w:lineRule="auto"/>
        <w:jc w:val="both"/>
      </w:pPr>
      <w:r w:rsidRPr="008772E7">
        <w:t xml:space="preserve">5. подобряване на сътрудничеството с производителите на суровини, и/или </w:t>
      </w:r>
    </w:p>
    <w:p w:rsidR="00DC3579" w:rsidRPr="008772E7" w:rsidRDefault="00DC3579" w:rsidP="008772E7">
      <w:pPr>
        <w:pStyle w:val="Default"/>
        <w:spacing w:line="276" w:lineRule="auto"/>
        <w:jc w:val="both"/>
      </w:pPr>
      <w:r w:rsidRPr="008772E7">
        <w:t xml:space="preserve">6. опазване на околната среда, включително намаляване на вредните емисии и отпадъци, и/или </w:t>
      </w:r>
    </w:p>
    <w:p w:rsidR="00DC3579" w:rsidRPr="008772E7" w:rsidRDefault="00DC3579" w:rsidP="008772E7">
      <w:pPr>
        <w:pStyle w:val="Default"/>
        <w:spacing w:line="276" w:lineRule="auto"/>
        <w:jc w:val="both"/>
      </w:pPr>
      <w:r w:rsidRPr="008772E7">
        <w:t xml:space="preserve">7. подобряване на енергийната ефективност в предприятията, и/или </w:t>
      </w:r>
    </w:p>
    <w:p w:rsidR="00DC3579" w:rsidRPr="008772E7" w:rsidRDefault="00DC3579" w:rsidP="008772E7">
      <w:pPr>
        <w:pStyle w:val="Default"/>
        <w:spacing w:line="276" w:lineRule="auto"/>
        <w:jc w:val="both"/>
      </w:pPr>
      <w:r w:rsidRPr="008772E7">
        <w:t xml:space="preserve">8. подобряване на безопасността и хигиенните условия на производство и труд, и/или </w:t>
      </w:r>
    </w:p>
    <w:p w:rsidR="00DC3579" w:rsidRPr="008772E7" w:rsidRDefault="00DC3579" w:rsidP="008772E7">
      <w:pPr>
        <w:pStyle w:val="Default"/>
        <w:spacing w:line="276" w:lineRule="auto"/>
        <w:jc w:val="both"/>
      </w:pPr>
      <w:r w:rsidRPr="008772E7">
        <w:t xml:space="preserve">9. подобряване на качеството и безопасността на храните и тяхната </w:t>
      </w:r>
      <w:proofErr w:type="spellStart"/>
      <w:r w:rsidRPr="008772E7">
        <w:t>проследяемост</w:t>
      </w:r>
      <w:proofErr w:type="spellEnd"/>
      <w:r w:rsidRPr="008772E7">
        <w:t xml:space="preserve">, и/или </w:t>
      </w:r>
    </w:p>
    <w:p w:rsidR="00B053A1" w:rsidRPr="0020556D" w:rsidRDefault="00DC3579" w:rsidP="0020556D">
      <w:pPr>
        <w:pStyle w:val="Default"/>
        <w:spacing w:line="276" w:lineRule="auto"/>
        <w:jc w:val="both"/>
        <w:rPr>
          <w:lang w:val="en-US"/>
        </w:rPr>
      </w:pPr>
      <w:r w:rsidRPr="008772E7">
        <w:t>10.подобряване на възможностите за производство на биологични храни чрез преработка на първични земеделски биологични продукти</w:t>
      </w:r>
    </w:p>
    <w:p w:rsidR="00314253" w:rsidRPr="008772E7" w:rsidRDefault="00D3123F" w:rsidP="008772E7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 xml:space="preserve">4. </w:t>
      </w:r>
      <w:r w:rsidR="00314253" w:rsidRPr="008772E7">
        <w:rPr>
          <w:rFonts w:cs="Times New Roman"/>
          <w:b/>
          <w:color w:val="548DD4"/>
          <w:szCs w:val="24"/>
          <w:lang w:eastAsia="bg-BG"/>
        </w:rPr>
        <w:t>ДО</w:t>
      </w:r>
      <w:r w:rsidR="00DC3579" w:rsidRPr="008772E7">
        <w:rPr>
          <w:rFonts w:cs="Times New Roman"/>
          <w:b/>
          <w:color w:val="548DD4"/>
          <w:szCs w:val="24"/>
          <w:lang w:eastAsia="bg-BG"/>
        </w:rPr>
        <w:t>П</w:t>
      </w:r>
      <w:r w:rsidR="00314253" w:rsidRPr="008772E7">
        <w:rPr>
          <w:rFonts w:cs="Times New Roman"/>
          <w:b/>
          <w:color w:val="548DD4"/>
          <w:szCs w:val="24"/>
          <w:lang w:eastAsia="bg-BG"/>
        </w:rPr>
        <w:t>УСТИМИ РАЗХОДИ: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1. изграждане, придобиване и модернизиране на сгради и други недвижими активи, свързани с производството и/или маркетинга, включително такива, използвани за опазване компонентите на околната среда;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2. закупуване, включително чрез финансов лизинг, и/или инсталиране на нови машини, съоръжения и оборудване, необходими за подобряване на производствения процес по преработка и маркетинга, в т.ч. за: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а) преработка, пакетиране, включително охлаждане, замразяване, сушене, съхраняване и др. на суровините или продукцията;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б) производство на нови продукти, въвеждане на нови технологии и процеси;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в) опазване компонентите на околната среда;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 xml:space="preserve">г) производство на енергия от </w:t>
      </w:r>
      <w:proofErr w:type="spellStart"/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възобновяеми</w:t>
      </w:r>
      <w:proofErr w:type="spellEnd"/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 xml:space="preserve"> енергийни източници за собствените нужди на предприятието, включително чрез преработка на растителна и животинска първична и вторична биомаса;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д) подобряване на енергийната ефективност и за подобряване и контрол на качеството и безопасността на суровините и храните;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3. закупуване на земя,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производствени дейности;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lastRenderedPageBreak/>
        <w:t>4. закупуване на сгради, помещения и други недвижими имоти, необходими за изпълнение на проекта, предназначени за производствени дейности на територията на МИГ;</w:t>
      </w:r>
    </w:p>
    <w:p w:rsidR="00DC3579" w:rsidRPr="008772E7" w:rsidRDefault="00DC3579" w:rsidP="008772E7">
      <w:pPr>
        <w:widowControl w:val="0"/>
        <w:tabs>
          <w:tab w:val="left" w:pos="227"/>
          <w:tab w:val="left" w:pos="36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5. закупуване, включително чрез финансов лизинг, на специализирани транспортни средства, включително хладилни такива, за превоз на суровините или готовата продукция, използвани и произвеждани от предприятието;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6. изграждане/модернизиране, включително оборудване на лаборатории, които са собственост на кандидата, разположени са на територията на предприятието и са пряко свързани с нуждите на производствения процес, включително чрез финансов лизинг;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7. материални инвестиции за постигане на съответствие</w:t>
      </w:r>
      <w:r w:rsidR="00F31D5F">
        <w:rPr>
          <w:rFonts w:eastAsia="Times New Roman" w:cs="Times New Roman"/>
          <w:szCs w:val="24"/>
          <w:shd w:val="clear" w:color="auto" w:fill="FEFEFE"/>
          <w:lang w:eastAsia="bg-BG"/>
        </w:rPr>
        <w:t xml:space="preserve"> с новоприети стандарти на Съюз</w:t>
      </w:r>
      <w:r w:rsidR="00D65450">
        <w:rPr>
          <w:rFonts w:eastAsia="Times New Roman" w:cs="Times New Roman"/>
          <w:szCs w:val="24"/>
          <w:shd w:val="clear" w:color="auto" w:fill="FEFEFE"/>
          <w:lang w:eastAsia="bg-BG"/>
        </w:rPr>
        <w:t xml:space="preserve"> за прилагане на </w:t>
      </w:r>
      <w:proofErr w:type="spellStart"/>
      <w:r w:rsidR="00D65450">
        <w:rPr>
          <w:rFonts w:eastAsia="Times New Roman" w:cs="Times New Roman"/>
          <w:szCs w:val="24"/>
          <w:shd w:val="clear" w:color="auto" w:fill="FEFEFE"/>
          <w:lang w:eastAsia="bg-BG"/>
        </w:rPr>
        <w:t>подмярка</w:t>
      </w:r>
      <w:proofErr w:type="spellEnd"/>
      <w:r w:rsidR="00D65450">
        <w:rPr>
          <w:rFonts w:eastAsia="Times New Roman" w:cs="Times New Roman"/>
          <w:szCs w:val="24"/>
          <w:shd w:val="clear" w:color="auto" w:fill="FEFEFE"/>
          <w:lang w:val="en-US" w:eastAsia="bg-BG"/>
        </w:rPr>
        <w:t xml:space="preserve"> </w:t>
      </w:r>
      <w:r w:rsidR="00D65450">
        <w:rPr>
          <w:rFonts w:eastAsia="Times New Roman" w:cs="Times New Roman"/>
          <w:szCs w:val="24"/>
          <w:shd w:val="clear" w:color="auto" w:fill="FEFEFE"/>
          <w:lang w:eastAsia="bg-BG"/>
        </w:rPr>
        <w:t>4.2.</w:t>
      </w: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„Инвестиции в преработка/маркетин</w:t>
      </w:r>
      <w:r w:rsidR="00DE5FF3" w:rsidRPr="008772E7">
        <w:rPr>
          <w:rFonts w:eastAsia="Times New Roman" w:cs="Times New Roman"/>
          <w:szCs w:val="24"/>
          <w:shd w:val="clear" w:color="auto" w:fill="FEFEFE"/>
          <w:lang w:eastAsia="bg-BG"/>
        </w:rPr>
        <w:t>г на селскостопански продукти“</w:t>
      </w: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, включително чрез финансов лизинг;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8. разходи за достигане на съответствие с международно признати стандарти за системи за управление, разходи за въвеждане на добри производствени практики, системи за управление на качеството и подготовка за сертификация в предприятията само когато тези разходи са част от общ проект на кандидата;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9. закупуване на софтуер, включително чрез финансов лизинг;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 xml:space="preserve">10. за </w:t>
      </w:r>
      <w:proofErr w:type="spellStart"/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ноу-хау</w:t>
      </w:r>
      <w:proofErr w:type="spellEnd"/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, придобиване на патентни права и лицензи, за регистрация на търговски марки и процеси, необходими за изготвяне и изпълнение на проекта;</w:t>
      </w:r>
    </w:p>
    <w:p w:rsidR="00DC3579" w:rsidRPr="008772E7" w:rsidRDefault="00DC3579" w:rsidP="008772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 xml:space="preserve">11. разходи, свързани с проекта, в т.ч. разходи за </w:t>
      </w:r>
      <w:proofErr w:type="spellStart"/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предпроектни</w:t>
      </w:r>
      <w:proofErr w:type="spellEnd"/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 xml:space="preserve"> проучвания, такси, хонорари за архитекти, инженери и консултанти, консултации за икономическа устойчивост на проекти,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 на сто от общия размер на допустимите раз</w:t>
      </w:r>
      <w:r w:rsidR="00DE5FF3" w:rsidRPr="008772E7">
        <w:rPr>
          <w:rFonts w:eastAsia="Times New Roman" w:cs="Times New Roman"/>
          <w:szCs w:val="24"/>
          <w:shd w:val="clear" w:color="auto" w:fill="FEFEFE"/>
          <w:lang w:eastAsia="bg-BG"/>
        </w:rPr>
        <w:t>ходи по проект, включени в т.1-</w:t>
      </w:r>
      <w:r w:rsidRPr="008772E7">
        <w:rPr>
          <w:rFonts w:eastAsia="Times New Roman" w:cs="Times New Roman"/>
          <w:szCs w:val="24"/>
          <w:shd w:val="clear" w:color="auto" w:fill="FEFEFE"/>
          <w:lang w:eastAsia="bg-BG"/>
        </w:rPr>
        <w:t>10.</w:t>
      </w:r>
    </w:p>
    <w:p w:rsidR="00D3123F" w:rsidRPr="008772E7" w:rsidRDefault="00314253" w:rsidP="008772E7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val="ru-RU"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5.</w:t>
      </w:r>
      <w:r w:rsidR="00D3123F" w:rsidRPr="008772E7">
        <w:rPr>
          <w:rFonts w:cs="Times New Roman"/>
          <w:b/>
          <w:color w:val="548DD4"/>
          <w:szCs w:val="24"/>
          <w:lang w:eastAsia="bg-BG"/>
        </w:rPr>
        <w:t>ПЕРИОД ЗА ПРИЕМ И МЯСТО ЗА ПОДАВАНЕ НА ПРОЕКТНИ ПРЕДЛОЖЕНИЯ</w:t>
      </w:r>
      <w:r w:rsidRPr="008772E7">
        <w:rPr>
          <w:rFonts w:cs="Times New Roman"/>
          <w:b/>
          <w:color w:val="548DD4"/>
          <w:szCs w:val="24"/>
          <w:lang w:eastAsia="bg-BG"/>
        </w:rPr>
        <w:t>:</w:t>
      </w:r>
    </w:p>
    <w:p w:rsidR="00D3123F" w:rsidRPr="008772E7" w:rsidRDefault="00314253" w:rsidP="008772E7">
      <w:pPr>
        <w:shd w:val="clear" w:color="auto" w:fill="FEFEFE"/>
        <w:spacing w:after="0" w:line="276" w:lineRule="auto"/>
        <w:rPr>
          <w:rFonts w:cs="Times New Roman"/>
          <w:b/>
          <w:color w:val="000000"/>
          <w:szCs w:val="24"/>
          <w:lang w:eastAsia="bg-BG"/>
        </w:rPr>
      </w:pPr>
      <w:r w:rsidRPr="008772E7">
        <w:rPr>
          <w:rFonts w:cs="Times New Roman"/>
          <w:b/>
          <w:color w:val="000000"/>
          <w:szCs w:val="24"/>
          <w:lang w:eastAsia="bg-BG"/>
        </w:rPr>
        <w:t>П</w:t>
      </w:r>
      <w:r w:rsidR="00D3123F" w:rsidRPr="008772E7">
        <w:rPr>
          <w:rFonts w:cs="Times New Roman"/>
          <w:b/>
          <w:color w:val="000000"/>
          <w:szCs w:val="24"/>
          <w:lang w:eastAsia="bg-BG"/>
        </w:rPr>
        <w:t>ериод на прием на проектни предложения:</w:t>
      </w:r>
    </w:p>
    <w:p w:rsidR="00D3123F" w:rsidRPr="008772E7" w:rsidRDefault="00D3123F" w:rsidP="008772E7">
      <w:pPr>
        <w:spacing w:after="0" w:line="276" w:lineRule="auto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t xml:space="preserve">Начален срок за подаване на проектните предложения: </w:t>
      </w:r>
      <w:r w:rsidRPr="008772E7">
        <w:rPr>
          <w:rFonts w:cs="Times New Roman"/>
          <w:b/>
          <w:szCs w:val="24"/>
        </w:rPr>
        <w:t xml:space="preserve">от </w:t>
      </w:r>
      <w:r w:rsidR="005B4A49">
        <w:rPr>
          <w:rFonts w:cs="Times New Roman"/>
          <w:b/>
          <w:szCs w:val="24"/>
        </w:rPr>
        <w:t>02.</w:t>
      </w:r>
      <w:r w:rsidR="005B4A49">
        <w:rPr>
          <w:rFonts w:cs="Times New Roman"/>
          <w:b/>
          <w:szCs w:val="24"/>
          <w:lang w:val="en-US"/>
        </w:rPr>
        <w:t>12</w:t>
      </w:r>
      <w:r w:rsidR="00DE5FF3" w:rsidRPr="008772E7">
        <w:rPr>
          <w:rFonts w:cs="Times New Roman"/>
          <w:b/>
          <w:szCs w:val="24"/>
        </w:rPr>
        <w:t>.</w:t>
      </w:r>
      <w:r w:rsidRPr="008772E7">
        <w:rPr>
          <w:rFonts w:cs="Times New Roman"/>
          <w:b/>
          <w:szCs w:val="24"/>
        </w:rPr>
        <w:t>201</w:t>
      </w:r>
      <w:r w:rsidR="005B4A49">
        <w:rPr>
          <w:rFonts w:cs="Times New Roman"/>
          <w:b/>
          <w:szCs w:val="24"/>
          <w:lang w:val="en-US"/>
        </w:rPr>
        <w:t>9</w:t>
      </w:r>
      <w:r w:rsidRPr="008772E7">
        <w:rPr>
          <w:rFonts w:cs="Times New Roman"/>
          <w:b/>
          <w:szCs w:val="24"/>
        </w:rPr>
        <w:t>г.</w:t>
      </w:r>
    </w:p>
    <w:p w:rsidR="00D3123F" w:rsidRPr="008772E7" w:rsidRDefault="00D3123F" w:rsidP="008772E7">
      <w:pPr>
        <w:spacing w:after="0" w:line="276" w:lineRule="auto"/>
        <w:jc w:val="both"/>
        <w:rPr>
          <w:rFonts w:cs="Times New Roman"/>
          <w:b/>
          <w:szCs w:val="24"/>
        </w:rPr>
      </w:pPr>
      <w:r w:rsidRPr="008772E7">
        <w:rPr>
          <w:rFonts w:cs="Times New Roman"/>
          <w:szCs w:val="24"/>
        </w:rPr>
        <w:t xml:space="preserve">Краен срок за подаване на проектни предложения: </w:t>
      </w:r>
      <w:r w:rsidR="00F713D6" w:rsidRPr="008772E7">
        <w:rPr>
          <w:rFonts w:cs="Times New Roman"/>
          <w:b/>
          <w:szCs w:val="24"/>
        </w:rPr>
        <w:t>до 17.0</w:t>
      </w:r>
      <w:r w:rsidRPr="008772E7">
        <w:rPr>
          <w:rFonts w:cs="Times New Roman"/>
          <w:b/>
          <w:szCs w:val="24"/>
        </w:rPr>
        <w:t xml:space="preserve">0 часа на </w:t>
      </w:r>
      <w:r w:rsidR="005B4A49">
        <w:rPr>
          <w:rFonts w:cs="Times New Roman"/>
          <w:b/>
          <w:szCs w:val="24"/>
          <w:lang w:val="en-US"/>
        </w:rPr>
        <w:t>30</w:t>
      </w:r>
      <w:r w:rsidR="008F234C">
        <w:rPr>
          <w:rFonts w:cs="Times New Roman"/>
          <w:b/>
          <w:szCs w:val="24"/>
        </w:rPr>
        <w:t>.0</w:t>
      </w:r>
      <w:r w:rsidR="005B4A49">
        <w:rPr>
          <w:rFonts w:cs="Times New Roman"/>
          <w:b/>
          <w:szCs w:val="24"/>
          <w:lang w:val="en-US"/>
        </w:rPr>
        <w:t>1</w:t>
      </w:r>
      <w:r w:rsidR="00DE5FF3" w:rsidRPr="008772E7">
        <w:rPr>
          <w:rFonts w:cs="Times New Roman"/>
          <w:b/>
          <w:szCs w:val="24"/>
        </w:rPr>
        <w:t>.</w:t>
      </w:r>
      <w:r w:rsidR="005B4A49">
        <w:rPr>
          <w:rFonts w:cs="Times New Roman"/>
          <w:b/>
          <w:szCs w:val="24"/>
        </w:rPr>
        <w:t>20</w:t>
      </w:r>
      <w:r w:rsidR="005B4A49">
        <w:rPr>
          <w:rFonts w:cs="Times New Roman"/>
          <w:b/>
          <w:szCs w:val="24"/>
          <w:lang w:val="en-US"/>
        </w:rPr>
        <w:t>20</w:t>
      </w:r>
      <w:r w:rsidRPr="008772E7">
        <w:rPr>
          <w:rFonts w:cs="Times New Roman"/>
          <w:b/>
          <w:szCs w:val="24"/>
        </w:rPr>
        <w:t>г.</w:t>
      </w:r>
    </w:p>
    <w:p w:rsidR="00D3123F" w:rsidRPr="008772E7" w:rsidRDefault="00D3123F" w:rsidP="008772E7">
      <w:pPr>
        <w:spacing w:after="0" w:line="276" w:lineRule="auto"/>
        <w:jc w:val="both"/>
        <w:rPr>
          <w:rFonts w:cs="Times New Roman"/>
          <w:b/>
          <w:szCs w:val="24"/>
        </w:rPr>
      </w:pPr>
      <w:r w:rsidRPr="008772E7">
        <w:rPr>
          <w:rFonts w:cs="Times New Roman"/>
          <w:b/>
          <w:szCs w:val="24"/>
        </w:rPr>
        <w:t xml:space="preserve">Място на подаване на проектните предложения: </w:t>
      </w:r>
      <w:r w:rsidRPr="008772E7">
        <w:rPr>
          <w:rFonts w:cs="Times New Roman"/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8772E7">
        <w:rPr>
          <w:rFonts w:cs="Times New Roman"/>
          <w:b/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r w:rsidRPr="008772E7">
        <w:rPr>
          <w:rFonts w:cs="Times New Roman"/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0" w:history="1">
        <w:r w:rsidRPr="008772E7">
          <w:rPr>
            <w:rStyle w:val="a7"/>
            <w:rFonts w:cs="Times New Roman"/>
            <w:szCs w:val="24"/>
          </w:rPr>
          <w:t>https://eumis2020.government.bg</w:t>
        </w:r>
      </w:hyperlink>
      <w:r w:rsidRPr="008772E7">
        <w:rPr>
          <w:rFonts w:cs="Times New Roman"/>
          <w:szCs w:val="24"/>
        </w:rPr>
        <w:t>.</w:t>
      </w:r>
    </w:p>
    <w:p w:rsidR="00314253" w:rsidRDefault="00314253" w:rsidP="008772E7">
      <w:pPr>
        <w:shd w:val="clear" w:color="auto" w:fill="FEFEFE"/>
        <w:spacing w:after="0" w:line="276" w:lineRule="auto"/>
        <w:rPr>
          <w:rFonts w:cs="Times New Roman"/>
          <w:b/>
          <w:color w:val="000000"/>
          <w:szCs w:val="24"/>
          <w:lang w:eastAsia="bg-BG"/>
        </w:rPr>
      </w:pPr>
    </w:p>
    <w:p w:rsidR="00D3123F" w:rsidRPr="008772E7" w:rsidRDefault="00314253" w:rsidP="008772E7">
      <w:pPr>
        <w:shd w:val="clear" w:color="auto" w:fill="FEFEFE"/>
        <w:spacing w:after="0" w:line="276" w:lineRule="auto"/>
        <w:rPr>
          <w:rFonts w:cs="Times New Roman"/>
          <w:b/>
          <w:i/>
          <w:color w:val="548DD4"/>
          <w:szCs w:val="24"/>
          <w:lang w:val="ru-RU"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6</w:t>
      </w:r>
      <w:r w:rsidR="00D3123F" w:rsidRPr="008772E7">
        <w:rPr>
          <w:rFonts w:cs="Times New Roman"/>
          <w:b/>
          <w:color w:val="548DD4"/>
          <w:szCs w:val="24"/>
          <w:lang w:eastAsia="bg-BG"/>
        </w:rPr>
        <w:t>. БЮДЖЕТ НА ПРИЕМА</w:t>
      </w:r>
    </w:p>
    <w:p w:rsidR="00D3123F" w:rsidRPr="008772E7" w:rsidRDefault="00F86E39" w:rsidP="008772E7">
      <w:pPr>
        <w:spacing w:after="0" w:line="276" w:lineRule="auto"/>
        <w:jc w:val="both"/>
        <w:rPr>
          <w:rFonts w:cs="Times New Roman"/>
          <w:b/>
          <w:i/>
          <w:szCs w:val="24"/>
          <w:lang w:val="en-US"/>
        </w:rPr>
      </w:pPr>
      <w:r>
        <w:rPr>
          <w:b/>
          <w:szCs w:val="24"/>
        </w:rPr>
        <w:t>Остатъчния бюджет</w:t>
      </w:r>
      <w:r w:rsidRPr="00F81507">
        <w:rPr>
          <w:b/>
          <w:szCs w:val="24"/>
        </w:rPr>
        <w:t xml:space="preserve">  по настоящата процедура е в размер</w:t>
      </w:r>
      <w:r>
        <w:rPr>
          <w:b/>
          <w:i/>
          <w:szCs w:val="24"/>
        </w:rPr>
        <w:t>:</w:t>
      </w:r>
      <w:r>
        <w:rPr>
          <w:b/>
          <w:i/>
          <w:szCs w:val="24"/>
          <w:lang w:val="en-US"/>
        </w:rPr>
        <w:t xml:space="preserve"> </w:t>
      </w:r>
      <w:r w:rsidR="00D3123F" w:rsidRPr="008772E7">
        <w:rPr>
          <w:rFonts w:cs="Times New Roman"/>
          <w:b/>
          <w:i/>
          <w:szCs w:val="24"/>
        </w:rPr>
        <w:t xml:space="preserve"> </w:t>
      </w:r>
      <w:r w:rsidR="000250B9">
        <w:rPr>
          <w:b/>
          <w:szCs w:val="24"/>
          <w:lang w:val="en-US"/>
        </w:rPr>
        <w:t xml:space="preserve">121 233.04 </w:t>
      </w:r>
      <w:r w:rsidR="000250B9" w:rsidRPr="00E85081">
        <w:rPr>
          <w:b/>
          <w:szCs w:val="24"/>
        </w:rPr>
        <w:t>лв</w:t>
      </w:r>
      <w:r w:rsidR="000250B9" w:rsidRPr="00E85081">
        <w:rPr>
          <w:b/>
          <w:i/>
          <w:szCs w:val="24"/>
        </w:rPr>
        <w:t>.</w:t>
      </w:r>
    </w:p>
    <w:p w:rsidR="00F0638C" w:rsidRPr="008772E7" w:rsidRDefault="00F0638C" w:rsidP="008772E7">
      <w:pPr>
        <w:spacing w:after="0" w:line="276" w:lineRule="auto"/>
        <w:jc w:val="both"/>
        <w:rPr>
          <w:rFonts w:cs="Times New Roman"/>
          <w:b/>
          <w:i/>
          <w:szCs w:val="24"/>
          <w:lang w:val="en-US"/>
        </w:rPr>
      </w:pPr>
    </w:p>
    <w:p w:rsidR="00D3123F" w:rsidRPr="008772E7" w:rsidRDefault="00314253" w:rsidP="008772E7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7</w:t>
      </w:r>
      <w:r w:rsidR="00D3123F" w:rsidRPr="008772E7">
        <w:rPr>
          <w:rFonts w:cs="Times New Roman"/>
          <w:b/>
          <w:color w:val="548DD4"/>
          <w:szCs w:val="24"/>
          <w:lang w:eastAsia="bg-BG"/>
        </w:rPr>
        <w:t xml:space="preserve">. МИНИМАЛЕН И МАКСИМАЛЕН РАЗМЕР НА </w:t>
      </w:r>
      <w:r w:rsidR="000744AA" w:rsidRPr="008772E7">
        <w:rPr>
          <w:rFonts w:cs="Times New Roman"/>
          <w:b/>
          <w:color w:val="548DD4"/>
          <w:szCs w:val="24"/>
          <w:lang w:eastAsia="bg-BG"/>
        </w:rPr>
        <w:t xml:space="preserve">ДОПУСТИМИТЕ РАЗХОДИ </w:t>
      </w:r>
      <w:r w:rsidR="00D3123F" w:rsidRPr="008772E7">
        <w:rPr>
          <w:rFonts w:cs="Times New Roman"/>
          <w:b/>
          <w:color w:val="548DD4"/>
          <w:szCs w:val="24"/>
          <w:lang w:eastAsia="bg-BG"/>
        </w:rPr>
        <w:t>ЗА ПРОЕКТ</w:t>
      </w:r>
    </w:p>
    <w:p w:rsidR="00F86E39" w:rsidRDefault="000744AA" w:rsidP="008772E7">
      <w:pPr>
        <w:shd w:val="clear" w:color="auto" w:fill="FEFEFE"/>
        <w:spacing w:after="0" w:line="276" w:lineRule="auto"/>
        <w:rPr>
          <w:lang w:val="en-US"/>
        </w:rPr>
      </w:pPr>
      <w:r w:rsidRPr="008772E7">
        <w:rPr>
          <w:rFonts w:cs="Times New Roman"/>
          <w:szCs w:val="24"/>
          <w:lang w:eastAsia="bg-BG"/>
        </w:rPr>
        <w:lastRenderedPageBreak/>
        <w:t xml:space="preserve">Минимален размер на допустимите разходи за проект: - </w:t>
      </w:r>
      <w:r w:rsidR="00993E78" w:rsidRPr="008772E7">
        <w:rPr>
          <w:rFonts w:cs="Times New Roman"/>
          <w:b/>
          <w:bCs/>
          <w:szCs w:val="24"/>
          <w:lang w:eastAsia="bg-BG"/>
        </w:rPr>
        <w:t>29 337 лева</w:t>
      </w:r>
      <w:r w:rsidRPr="008772E7">
        <w:rPr>
          <w:rFonts w:cs="Times New Roman"/>
          <w:b/>
          <w:szCs w:val="24"/>
          <w:lang w:eastAsia="bg-BG"/>
        </w:rPr>
        <w:br/>
      </w:r>
      <w:r w:rsidRPr="008772E7">
        <w:rPr>
          <w:rFonts w:cs="Times New Roman"/>
          <w:szCs w:val="24"/>
          <w:lang w:eastAsia="bg-BG"/>
        </w:rPr>
        <w:t xml:space="preserve">Максимален размер на допустимите разходи за проект: - </w:t>
      </w:r>
      <w:r w:rsidR="00993E78" w:rsidRPr="008772E7">
        <w:rPr>
          <w:rFonts w:cs="Times New Roman"/>
          <w:b/>
          <w:bCs/>
          <w:szCs w:val="24"/>
          <w:lang w:eastAsia="bg-BG"/>
        </w:rPr>
        <w:t>391 166 лева</w:t>
      </w:r>
      <w:r w:rsidR="00923D72" w:rsidRPr="008772E7">
        <w:rPr>
          <w:rFonts w:cs="Times New Roman"/>
          <w:b/>
          <w:szCs w:val="24"/>
          <w:lang w:eastAsia="bg-BG"/>
        </w:rPr>
        <w:br/>
      </w:r>
    </w:p>
    <w:p w:rsidR="00F86E39" w:rsidRPr="00F86E39" w:rsidRDefault="00F86E39" w:rsidP="00F86E39">
      <w:pPr>
        <w:rPr>
          <w:b/>
          <w:sz w:val="22"/>
        </w:rPr>
      </w:pPr>
      <w:r w:rsidRPr="00F86E39">
        <w:rPr>
          <w:b/>
          <w:sz w:val="22"/>
        </w:rPr>
        <w:t>Мин. стойност БФП/ФИ - 14 668,50 лв.</w:t>
      </w:r>
    </w:p>
    <w:p w:rsidR="00993E78" w:rsidRPr="008772E7" w:rsidRDefault="00F86E39" w:rsidP="00F86E39">
      <w:pPr>
        <w:shd w:val="clear" w:color="auto" w:fill="FEFEFE"/>
        <w:spacing w:after="0" w:line="276" w:lineRule="auto"/>
        <w:rPr>
          <w:rFonts w:cs="Times New Roman"/>
          <w:szCs w:val="24"/>
        </w:rPr>
      </w:pPr>
      <w:r w:rsidRPr="00F86E39">
        <w:rPr>
          <w:b/>
          <w:sz w:val="22"/>
        </w:rPr>
        <w:t>Макс. стойност БФП/ФИ -121 233,04 лв.</w:t>
      </w:r>
      <w:r w:rsidRPr="00803C3B">
        <w:rPr>
          <w:szCs w:val="24"/>
        </w:rPr>
        <w:br/>
      </w:r>
      <w:r w:rsidR="000744AA" w:rsidRPr="008772E7">
        <w:rPr>
          <w:rFonts w:cs="Times New Roman"/>
          <w:b/>
          <w:szCs w:val="24"/>
          <w:lang w:eastAsia="bg-BG"/>
        </w:rPr>
        <w:br/>
      </w:r>
      <w:r w:rsidR="00923D72" w:rsidRPr="008772E7">
        <w:rPr>
          <w:rFonts w:cs="Times New Roman"/>
          <w:b/>
          <w:color w:val="000000" w:themeColor="text1"/>
          <w:szCs w:val="24"/>
        </w:rPr>
        <w:t>Интензитет на финансовата помощ</w:t>
      </w:r>
      <w:r w:rsidR="00993E78" w:rsidRPr="008772E7">
        <w:rPr>
          <w:rFonts w:cs="Times New Roman"/>
          <w:b/>
          <w:color w:val="000000" w:themeColor="text1"/>
          <w:szCs w:val="24"/>
        </w:rPr>
        <w:t xml:space="preserve"> </w:t>
      </w:r>
      <w:r w:rsidR="00993E78" w:rsidRPr="008772E7">
        <w:rPr>
          <w:rFonts w:cs="Times New Roman"/>
          <w:szCs w:val="24"/>
        </w:rPr>
        <w:t xml:space="preserve">за одобрени проекти е в размер 50 на сто от общия размер на допустимите за финансово подпомагане разходи за проекти, представени от </w:t>
      </w:r>
      <w:proofErr w:type="spellStart"/>
      <w:r w:rsidR="00993E78" w:rsidRPr="008772E7">
        <w:rPr>
          <w:rFonts w:cs="Times New Roman"/>
          <w:szCs w:val="24"/>
        </w:rPr>
        <w:t>микро-</w:t>
      </w:r>
      <w:proofErr w:type="spellEnd"/>
      <w:r w:rsidR="00993E78" w:rsidRPr="008772E7">
        <w:rPr>
          <w:rFonts w:cs="Times New Roman"/>
          <w:szCs w:val="24"/>
        </w:rPr>
        <w:t>, малки или средни предприятия, а за проекти, представени от големи предприятия, финансовата помощ е в размер на 40 на сто от общия размер на допустимите за финансово подпомагане разходи.</w:t>
      </w:r>
    </w:p>
    <w:p w:rsidR="00993E78" w:rsidRPr="008772E7" w:rsidRDefault="00923D72" w:rsidP="008772E7">
      <w:pPr>
        <w:shd w:val="clear" w:color="auto" w:fill="FEFEFE"/>
        <w:spacing w:after="0" w:line="276" w:lineRule="auto"/>
        <w:rPr>
          <w:rFonts w:eastAsia="Times New Roman" w:cs="Times New Roman"/>
          <w:szCs w:val="24"/>
          <w:lang w:eastAsia="bg-BG"/>
        </w:rPr>
      </w:pPr>
      <w:r w:rsidRPr="008772E7">
        <w:rPr>
          <w:rFonts w:eastAsia="Times New Roman" w:cs="Times New Roman"/>
          <w:b/>
          <w:szCs w:val="24"/>
          <w:lang w:eastAsia="bg-BG"/>
        </w:rPr>
        <w:t>Размерът на финансовата помощ</w:t>
      </w:r>
      <w:r w:rsidRPr="008772E7">
        <w:rPr>
          <w:rFonts w:eastAsia="Times New Roman" w:cs="Times New Roman"/>
          <w:szCs w:val="24"/>
          <w:lang w:eastAsia="bg-BG"/>
        </w:rPr>
        <w:t xml:space="preserve"> </w:t>
      </w:r>
      <w:r w:rsidR="00993E78" w:rsidRPr="008772E7">
        <w:rPr>
          <w:rFonts w:eastAsia="Times New Roman" w:cs="Times New Roman"/>
          <w:szCs w:val="24"/>
          <w:lang w:eastAsia="bg-BG"/>
        </w:rPr>
        <w:t>се увеличава с 10 % от общия размер на допустимите за финансово подпомагане разходи за проекти с дейности, подпомагани по линия на ЕПИ</w:t>
      </w:r>
    </w:p>
    <w:p w:rsidR="00993E78" w:rsidRPr="008772E7" w:rsidRDefault="00993E78" w:rsidP="008772E7">
      <w:pPr>
        <w:shd w:val="clear" w:color="auto" w:fill="FEFEFE"/>
        <w:spacing w:after="0" w:line="276" w:lineRule="auto"/>
        <w:rPr>
          <w:rFonts w:eastAsia="Times New Roman" w:cs="Times New Roman"/>
          <w:szCs w:val="24"/>
          <w:lang w:eastAsia="bg-BG"/>
        </w:rPr>
      </w:pPr>
    </w:p>
    <w:p w:rsidR="00D3123F" w:rsidRPr="008772E7" w:rsidRDefault="00314253" w:rsidP="008772E7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val="ru-RU"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8</w:t>
      </w:r>
      <w:r w:rsidR="00D3123F" w:rsidRPr="008772E7">
        <w:rPr>
          <w:rFonts w:cs="Times New Roman"/>
          <w:b/>
          <w:color w:val="548DD4"/>
          <w:szCs w:val="24"/>
          <w:lang w:eastAsia="bg-BG"/>
        </w:rPr>
        <w:t>. КРИТЕРИИ ЗА ИЗБОР НА ПРОЕКТНИ ПРЕДЛОЖЕНИЯ И ТЯХНАТА ТЕЖЕСТ</w:t>
      </w:r>
      <w:r w:rsidR="00966FFB" w:rsidRPr="008772E7">
        <w:rPr>
          <w:rFonts w:cs="Times New Roman"/>
          <w:b/>
          <w:color w:val="548DD4"/>
          <w:szCs w:val="24"/>
          <w:lang w:eastAsia="bg-BG"/>
        </w:rPr>
        <w:t>:</w:t>
      </w:r>
    </w:p>
    <w:tbl>
      <w:tblPr>
        <w:tblStyle w:val="a8"/>
        <w:tblW w:w="9894" w:type="dxa"/>
        <w:tblInd w:w="-5" w:type="dxa"/>
        <w:tblLayout w:type="fixed"/>
        <w:tblLook w:val="04A0"/>
      </w:tblPr>
      <w:tblGrid>
        <w:gridCol w:w="851"/>
        <w:gridCol w:w="8051"/>
        <w:gridCol w:w="992"/>
      </w:tblGrid>
      <w:tr w:rsidR="007C3C18" w:rsidRPr="008772E7" w:rsidTr="008772E7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C3C18" w:rsidRPr="008772E7" w:rsidRDefault="007C3C1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1" w:type="dxa"/>
            <w:shd w:val="clear" w:color="auto" w:fill="D9D9D9" w:themeFill="background1" w:themeFillShade="D9"/>
            <w:vAlign w:val="center"/>
          </w:tcPr>
          <w:p w:rsidR="007C3C18" w:rsidRPr="008772E7" w:rsidRDefault="007C3C1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C3C18" w:rsidRPr="008772E7" w:rsidRDefault="007C3C1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Мак</w:t>
            </w:r>
            <w:r w:rsidR="00A67769" w:rsidRPr="008772E7">
              <w:rPr>
                <w:rFonts w:cs="Times New Roman"/>
                <w:b/>
                <w:sz w:val="24"/>
                <w:szCs w:val="24"/>
              </w:rPr>
              <w:t>с</w:t>
            </w:r>
            <w:r w:rsidRPr="008772E7">
              <w:rPr>
                <w:rFonts w:cs="Times New Roman"/>
                <w:b/>
                <w:sz w:val="24"/>
                <w:szCs w:val="24"/>
              </w:rPr>
              <w:t>.</w:t>
            </w:r>
            <w:r w:rsidR="009078AD" w:rsidRPr="008772E7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772E7">
              <w:rPr>
                <w:rFonts w:cs="Times New Roman"/>
                <w:b/>
                <w:sz w:val="24"/>
                <w:szCs w:val="24"/>
              </w:rPr>
              <w:t>точки</w:t>
            </w:r>
          </w:p>
        </w:tc>
      </w:tr>
      <w:tr w:rsidR="00993E78" w:rsidRPr="008772E7" w:rsidTr="008772E7">
        <w:trPr>
          <w:trHeight w:val="473"/>
        </w:trPr>
        <w:tc>
          <w:tcPr>
            <w:tcW w:w="8902" w:type="dxa"/>
            <w:gridSpan w:val="2"/>
            <w:vAlign w:val="center"/>
          </w:tcPr>
          <w:p w:rsidR="00993E78" w:rsidRPr="008772E7" w:rsidRDefault="00993E78" w:rsidP="008772E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Cs/>
                <w:sz w:val="24"/>
                <w:szCs w:val="24"/>
              </w:rPr>
              <w:t xml:space="preserve">1.Предприятието е класифицирано като </w:t>
            </w:r>
            <w:proofErr w:type="spellStart"/>
            <w:r w:rsidRPr="008772E7">
              <w:rPr>
                <w:rFonts w:cs="Times New Roman"/>
                <w:bCs/>
                <w:sz w:val="24"/>
                <w:szCs w:val="24"/>
              </w:rPr>
              <w:t>микро</w:t>
            </w:r>
            <w:proofErr w:type="spellEnd"/>
            <w:r w:rsidRPr="008772E7">
              <w:rPr>
                <w:rFonts w:cs="Times New Roman"/>
                <w:bCs/>
                <w:sz w:val="24"/>
                <w:szCs w:val="24"/>
              </w:rPr>
              <w:t>, съгласно препоръка на ЕС 2003/361/ЕС</w:t>
            </w:r>
          </w:p>
        </w:tc>
        <w:tc>
          <w:tcPr>
            <w:tcW w:w="992" w:type="dxa"/>
            <w:vAlign w:val="center"/>
          </w:tcPr>
          <w:p w:rsidR="00993E78" w:rsidRPr="008772E7" w:rsidRDefault="00993E7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  <w:tr w:rsidR="00993E78" w:rsidRPr="008772E7" w:rsidTr="008772E7">
        <w:trPr>
          <w:trHeight w:val="240"/>
        </w:trPr>
        <w:tc>
          <w:tcPr>
            <w:tcW w:w="8902" w:type="dxa"/>
            <w:gridSpan w:val="2"/>
            <w:vAlign w:val="center"/>
          </w:tcPr>
          <w:p w:rsidR="00993E78" w:rsidRPr="008772E7" w:rsidRDefault="00993E78" w:rsidP="008772E7">
            <w:pPr>
              <w:pStyle w:val="a9"/>
              <w:tabs>
                <w:tab w:val="left" w:pos="72"/>
                <w:tab w:val="left" w:pos="255"/>
              </w:tabs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>2. Проекти, насърчаващи интеграцията на земеделските стопани - Предприятието на кандидата предвижда в бизнес плана преработката на минимум 65 % собствени или на членовете на групата/организация на производители или на предприятието суровини (земеделски продукти)</w:t>
            </w:r>
          </w:p>
        </w:tc>
        <w:tc>
          <w:tcPr>
            <w:tcW w:w="992" w:type="dxa"/>
            <w:vAlign w:val="center"/>
          </w:tcPr>
          <w:p w:rsidR="00993E78" w:rsidRPr="008772E7" w:rsidRDefault="00993E7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993E78" w:rsidRPr="008772E7" w:rsidTr="008772E7">
        <w:trPr>
          <w:trHeight w:val="240"/>
        </w:trPr>
        <w:tc>
          <w:tcPr>
            <w:tcW w:w="8902" w:type="dxa"/>
            <w:gridSpan w:val="2"/>
            <w:vAlign w:val="center"/>
          </w:tcPr>
          <w:p w:rsidR="00993E78" w:rsidRPr="008772E7" w:rsidRDefault="00993E78" w:rsidP="008772E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>3. Проекти с инвестиции и дейности, насочени в чувствителни сектори - над 75% от обема на преработваните суровини са от растителен или животински произход, попадащи в обхвата на чувствителните сектори: плодове и/или зеленчуци и/или етерично-маслени растения и/или животновъдство.</w:t>
            </w:r>
          </w:p>
        </w:tc>
        <w:tc>
          <w:tcPr>
            <w:tcW w:w="992" w:type="dxa"/>
            <w:vAlign w:val="center"/>
          </w:tcPr>
          <w:p w:rsidR="00993E78" w:rsidRPr="008772E7" w:rsidRDefault="00993E7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993E78" w:rsidRPr="008772E7" w:rsidTr="008772E7">
        <w:trPr>
          <w:trHeight w:val="240"/>
        </w:trPr>
        <w:tc>
          <w:tcPr>
            <w:tcW w:w="8902" w:type="dxa"/>
            <w:gridSpan w:val="2"/>
            <w:vAlign w:val="center"/>
          </w:tcPr>
          <w:p w:rsidR="00993E78" w:rsidRPr="008772E7" w:rsidRDefault="00993E78" w:rsidP="008772E7">
            <w:pPr>
              <w:tabs>
                <w:tab w:val="left" w:pos="72"/>
                <w:tab w:val="left" w:pos="255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>4.</w:t>
            </w:r>
            <w:r w:rsidR="005842A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8772E7">
              <w:rPr>
                <w:rFonts w:cs="Times New Roman"/>
                <w:sz w:val="24"/>
                <w:szCs w:val="24"/>
              </w:rPr>
              <w:t>Проектът създава нови работни места с постоянна заетост</w:t>
            </w:r>
          </w:p>
          <w:p w:rsidR="00993E78" w:rsidRPr="008772E7" w:rsidRDefault="00993E78" w:rsidP="008772E7">
            <w:pPr>
              <w:tabs>
                <w:tab w:val="left" w:pos="72"/>
                <w:tab w:val="left" w:pos="256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>-</w:t>
            </w:r>
            <w:r w:rsidRPr="008772E7">
              <w:rPr>
                <w:rFonts w:cs="Times New Roman"/>
                <w:sz w:val="24"/>
                <w:szCs w:val="24"/>
              </w:rPr>
              <w:tab/>
              <w:t xml:space="preserve">до 3 работни места – 5 точки </w:t>
            </w:r>
          </w:p>
          <w:p w:rsidR="00993E78" w:rsidRPr="008772E7" w:rsidRDefault="00993E78" w:rsidP="008772E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>-   над 3 работни места – 10 точки</w:t>
            </w:r>
          </w:p>
        </w:tc>
        <w:tc>
          <w:tcPr>
            <w:tcW w:w="992" w:type="dxa"/>
            <w:vAlign w:val="center"/>
          </w:tcPr>
          <w:p w:rsidR="00993E78" w:rsidRPr="008772E7" w:rsidRDefault="00993E7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993E78" w:rsidRPr="008772E7" w:rsidTr="008772E7">
        <w:trPr>
          <w:trHeight w:val="240"/>
        </w:trPr>
        <w:tc>
          <w:tcPr>
            <w:tcW w:w="8902" w:type="dxa"/>
            <w:gridSpan w:val="2"/>
            <w:vAlign w:val="center"/>
          </w:tcPr>
          <w:p w:rsidR="00993E78" w:rsidRPr="008772E7" w:rsidRDefault="00993E78" w:rsidP="008772E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>5.</w:t>
            </w:r>
            <w:r w:rsidR="005842A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8772E7">
              <w:rPr>
                <w:rFonts w:cs="Times New Roman"/>
                <w:sz w:val="24"/>
                <w:szCs w:val="24"/>
              </w:rPr>
              <w:t>Минимум 10 % от допустимите инвестиционни разходи са за подобряване на енергийната ефективност на предприятието</w:t>
            </w:r>
          </w:p>
        </w:tc>
        <w:tc>
          <w:tcPr>
            <w:tcW w:w="992" w:type="dxa"/>
            <w:vAlign w:val="center"/>
          </w:tcPr>
          <w:p w:rsidR="00993E78" w:rsidRPr="008772E7" w:rsidRDefault="00993E7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993E78" w:rsidRPr="008772E7" w:rsidTr="008772E7">
        <w:trPr>
          <w:trHeight w:val="24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E78" w:rsidRPr="008772E7" w:rsidRDefault="00993E78" w:rsidP="008772E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>6.</w:t>
            </w:r>
            <w:r w:rsidR="005842A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8772E7">
              <w:rPr>
                <w:rFonts w:cs="Times New Roman"/>
                <w:sz w:val="24"/>
                <w:szCs w:val="24"/>
              </w:rPr>
              <w:t>Иновативност - въвеждане на нови за територията практика и/или услуга и/или продукт в предприятието - над 30 % от допустимите инвестиционни разходи по проекта са свързани с иновации в предприятието</w:t>
            </w:r>
          </w:p>
        </w:tc>
        <w:tc>
          <w:tcPr>
            <w:tcW w:w="992" w:type="dxa"/>
            <w:vAlign w:val="center"/>
          </w:tcPr>
          <w:p w:rsidR="00993E78" w:rsidRPr="008772E7" w:rsidRDefault="00993E7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993E78" w:rsidRPr="008772E7" w:rsidTr="008772E7">
        <w:trPr>
          <w:trHeight w:val="240"/>
        </w:trPr>
        <w:tc>
          <w:tcPr>
            <w:tcW w:w="8902" w:type="dxa"/>
            <w:gridSpan w:val="2"/>
            <w:tcBorders>
              <w:top w:val="single" w:sz="4" w:space="0" w:color="auto"/>
            </w:tcBorders>
            <w:vAlign w:val="center"/>
          </w:tcPr>
          <w:p w:rsidR="00993E78" w:rsidRPr="008772E7" w:rsidRDefault="00993E78" w:rsidP="008772E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>7.Проектът включва преработка и производство на биологични продукти</w:t>
            </w:r>
          </w:p>
        </w:tc>
        <w:tc>
          <w:tcPr>
            <w:tcW w:w="992" w:type="dxa"/>
            <w:vAlign w:val="center"/>
          </w:tcPr>
          <w:p w:rsidR="00993E78" w:rsidRPr="008772E7" w:rsidRDefault="00993E7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993E78" w:rsidRPr="008772E7" w:rsidTr="008772E7">
        <w:trPr>
          <w:trHeight w:val="240"/>
        </w:trPr>
        <w:tc>
          <w:tcPr>
            <w:tcW w:w="8902" w:type="dxa"/>
            <w:gridSpan w:val="2"/>
            <w:tcBorders>
              <w:top w:val="single" w:sz="4" w:space="0" w:color="auto"/>
            </w:tcBorders>
            <w:vAlign w:val="center"/>
          </w:tcPr>
          <w:p w:rsidR="00993E78" w:rsidRPr="008772E7" w:rsidRDefault="00993E78" w:rsidP="008772E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 xml:space="preserve">8.Кандидатът не е получавал подкрепа от </w:t>
            </w:r>
            <w:r w:rsidRPr="008772E7">
              <w:rPr>
                <w:rFonts w:cs="Times New Roman"/>
                <w:color w:val="000000" w:themeColor="text1"/>
                <w:sz w:val="24"/>
                <w:szCs w:val="24"/>
              </w:rPr>
              <w:t>европейската общност</w:t>
            </w:r>
            <w:r w:rsidRPr="008772E7">
              <w:rPr>
                <w:rFonts w:cs="Times New Roman"/>
                <w:sz w:val="24"/>
                <w:szCs w:val="24"/>
              </w:rPr>
              <w:t xml:space="preserve"> за подобна инвестиция</w:t>
            </w:r>
          </w:p>
        </w:tc>
        <w:tc>
          <w:tcPr>
            <w:tcW w:w="992" w:type="dxa"/>
            <w:vAlign w:val="center"/>
          </w:tcPr>
          <w:p w:rsidR="00993E78" w:rsidRPr="008772E7" w:rsidRDefault="00993E7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993E78" w:rsidRPr="008772E7" w:rsidTr="008772E7">
        <w:trPr>
          <w:trHeight w:val="240"/>
        </w:trPr>
        <w:tc>
          <w:tcPr>
            <w:tcW w:w="8902" w:type="dxa"/>
            <w:gridSpan w:val="2"/>
            <w:tcBorders>
              <w:top w:val="single" w:sz="4" w:space="0" w:color="auto"/>
            </w:tcBorders>
            <w:vAlign w:val="center"/>
          </w:tcPr>
          <w:p w:rsidR="00993E78" w:rsidRPr="008772E7" w:rsidRDefault="00993E78" w:rsidP="008772E7">
            <w:pPr>
              <w:pStyle w:val="a9"/>
              <w:tabs>
                <w:tab w:val="left" w:pos="-284"/>
                <w:tab w:val="left" w:pos="0"/>
                <w:tab w:val="left" w:pos="72"/>
                <w:tab w:val="left" w:pos="255"/>
              </w:tabs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lastRenderedPageBreak/>
              <w:t>9.Проектът включва дейности с позитивен принос към околната среда</w:t>
            </w:r>
          </w:p>
          <w:p w:rsidR="00993E78" w:rsidRPr="008772E7" w:rsidRDefault="008772E7" w:rsidP="008772E7">
            <w:pPr>
              <w:tabs>
                <w:tab w:val="left" w:pos="-284"/>
                <w:tab w:val="left" w:pos="0"/>
                <w:tab w:val="left" w:pos="72"/>
                <w:tab w:val="left" w:pos="356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 xml:space="preserve">- над 30% </w:t>
            </w:r>
            <w:r w:rsidR="00993E78" w:rsidRPr="008772E7">
              <w:rPr>
                <w:rFonts w:cs="Times New Roman"/>
                <w:sz w:val="24"/>
                <w:szCs w:val="24"/>
              </w:rPr>
              <w:t>от инвестициите са насочени към дейнос</w:t>
            </w:r>
            <w:r w:rsidRPr="008772E7">
              <w:rPr>
                <w:rFonts w:cs="Times New Roman"/>
                <w:sz w:val="24"/>
                <w:szCs w:val="24"/>
              </w:rPr>
              <w:t>ти, опазващи околната среда - 3</w:t>
            </w:r>
            <w:r w:rsidR="00993E78" w:rsidRPr="008772E7">
              <w:rPr>
                <w:rFonts w:cs="Times New Roman"/>
                <w:sz w:val="24"/>
                <w:szCs w:val="24"/>
              </w:rPr>
              <w:t>т.</w:t>
            </w:r>
          </w:p>
          <w:p w:rsidR="00993E78" w:rsidRPr="008772E7" w:rsidRDefault="008772E7" w:rsidP="008772E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>- над 50</w:t>
            </w:r>
            <w:r w:rsidR="00993E78" w:rsidRPr="008772E7">
              <w:rPr>
                <w:rFonts w:cs="Times New Roman"/>
                <w:sz w:val="24"/>
                <w:szCs w:val="24"/>
              </w:rPr>
              <w:t>% от инвестициите са насочени към дейнос</w:t>
            </w:r>
            <w:r w:rsidRPr="008772E7">
              <w:rPr>
                <w:rFonts w:cs="Times New Roman"/>
                <w:sz w:val="24"/>
                <w:szCs w:val="24"/>
              </w:rPr>
              <w:t>ти, опазващи околната среда - 5</w:t>
            </w:r>
            <w:r w:rsidR="00993E78" w:rsidRPr="008772E7">
              <w:rPr>
                <w:rFonts w:cs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993E78" w:rsidRPr="008772E7" w:rsidRDefault="00993E7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993E78" w:rsidRPr="008772E7" w:rsidTr="008772E7">
        <w:trPr>
          <w:trHeight w:val="360"/>
        </w:trPr>
        <w:tc>
          <w:tcPr>
            <w:tcW w:w="8902" w:type="dxa"/>
            <w:gridSpan w:val="2"/>
            <w:vAlign w:val="center"/>
          </w:tcPr>
          <w:p w:rsidR="00993E78" w:rsidRPr="008772E7" w:rsidRDefault="00993E78" w:rsidP="008772E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sz w:val="24"/>
                <w:szCs w:val="24"/>
              </w:rPr>
              <w:t>10.Проектът предвижда използването на местни доставчици на стоки и/или услуги</w:t>
            </w:r>
          </w:p>
        </w:tc>
        <w:tc>
          <w:tcPr>
            <w:tcW w:w="992" w:type="dxa"/>
            <w:vAlign w:val="center"/>
          </w:tcPr>
          <w:p w:rsidR="00993E78" w:rsidRPr="008772E7" w:rsidRDefault="00993E7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993E78" w:rsidRPr="008772E7" w:rsidTr="008772E7">
        <w:trPr>
          <w:trHeight w:val="240"/>
        </w:trPr>
        <w:tc>
          <w:tcPr>
            <w:tcW w:w="8902" w:type="dxa"/>
            <w:gridSpan w:val="2"/>
            <w:vAlign w:val="center"/>
          </w:tcPr>
          <w:p w:rsidR="00993E78" w:rsidRPr="008772E7" w:rsidRDefault="00993E78" w:rsidP="0020556D">
            <w:pPr>
              <w:tabs>
                <w:tab w:val="left" w:pos="-284"/>
                <w:tab w:val="left" w:pos="0"/>
              </w:tabs>
              <w:spacing w:beforeLines="60" w:afterLines="60" w:line="276" w:lineRule="auto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992" w:type="dxa"/>
            <w:vAlign w:val="center"/>
          </w:tcPr>
          <w:p w:rsidR="00993E78" w:rsidRPr="008772E7" w:rsidRDefault="00993E78" w:rsidP="008772E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2E7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</w:tbl>
    <w:p w:rsidR="00A71BAF" w:rsidRDefault="00A71BAF" w:rsidP="00A71BAF">
      <w:pPr>
        <w:rPr>
          <w:b/>
          <w:szCs w:val="24"/>
        </w:rPr>
      </w:pPr>
      <w:r>
        <w:rPr>
          <w:szCs w:val="24"/>
        </w:rPr>
        <w:t>М</w:t>
      </w:r>
      <w:r w:rsidRPr="005F2497">
        <w:rPr>
          <w:szCs w:val="24"/>
        </w:rPr>
        <w:t>инимално допустимата оценка за качество на проектните предложения</w:t>
      </w:r>
      <w:r>
        <w:rPr>
          <w:szCs w:val="24"/>
        </w:rPr>
        <w:t xml:space="preserve"> е – </w:t>
      </w:r>
      <w:r w:rsidR="00F86E39">
        <w:rPr>
          <w:b/>
          <w:szCs w:val="24"/>
          <w:lang w:val="en-US"/>
        </w:rPr>
        <w:t>25</w:t>
      </w:r>
      <w:r w:rsidRPr="00E83488">
        <w:rPr>
          <w:b/>
          <w:szCs w:val="24"/>
        </w:rPr>
        <w:t xml:space="preserve"> точки</w:t>
      </w:r>
      <w:r>
        <w:rPr>
          <w:b/>
          <w:szCs w:val="24"/>
        </w:rPr>
        <w:t>.</w:t>
      </w:r>
    </w:p>
    <w:p w:rsidR="00D3123F" w:rsidRPr="008772E7" w:rsidRDefault="00D3123F" w:rsidP="008772E7">
      <w:pPr>
        <w:shd w:val="clear" w:color="auto" w:fill="FEFEFE"/>
        <w:spacing w:after="0" w:line="276" w:lineRule="auto"/>
        <w:rPr>
          <w:rFonts w:cs="Times New Roman"/>
          <w:b/>
          <w:color w:val="FF0000"/>
          <w:szCs w:val="24"/>
          <w:lang w:eastAsia="bg-BG"/>
        </w:rPr>
      </w:pPr>
    </w:p>
    <w:p w:rsidR="00D3123F" w:rsidRPr="008772E7" w:rsidRDefault="00314253" w:rsidP="008772E7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9</w:t>
      </w:r>
      <w:r w:rsidR="00D3123F" w:rsidRPr="008772E7">
        <w:rPr>
          <w:rFonts w:cs="Times New Roman"/>
          <w:b/>
          <w:color w:val="548DD4"/>
          <w:szCs w:val="24"/>
          <w:lang w:eastAsia="bg-BG"/>
        </w:rPr>
        <w:t>. ЛИЦЕ/А ЗА КОНТАКТ И МЯСТО ЗА ДОСТЪП ДО ПОДРОБНА ИНФОРМАЦИЯ</w:t>
      </w:r>
      <w:r w:rsidR="00966FFB" w:rsidRPr="008772E7">
        <w:rPr>
          <w:rFonts w:cs="Times New Roman"/>
          <w:b/>
          <w:color w:val="548DD4"/>
          <w:szCs w:val="24"/>
          <w:lang w:eastAsia="bg-BG"/>
        </w:rPr>
        <w:t>:</w:t>
      </w:r>
    </w:p>
    <w:p w:rsidR="00A67769" w:rsidRPr="008772E7" w:rsidRDefault="0020556D" w:rsidP="008772E7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Лице за контакт:</w:t>
      </w:r>
      <w:r>
        <w:rPr>
          <w:rFonts w:cs="Times New Roman"/>
          <w:szCs w:val="24"/>
          <w:lang w:val="en-US"/>
        </w:rPr>
        <w:t xml:space="preserve"> </w:t>
      </w:r>
      <w:r w:rsidR="00863849" w:rsidRPr="008772E7">
        <w:rPr>
          <w:rFonts w:cs="Times New Roman"/>
          <w:szCs w:val="24"/>
        </w:rPr>
        <w:t>Милена Иванова</w:t>
      </w:r>
      <w:r w:rsidR="00314253" w:rsidRPr="008772E7">
        <w:rPr>
          <w:rFonts w:cs="Times New Roman"/>
          <w:szCs w:val="24"/>
        </w:rPr>
        <w:t xml:space="preserve"> – експерт СВОМР</w:t>
      </w:r>
      <w:r w:rsidR="00D3123F" w:rsidRPr="008772E7">
        <w:rPr>
          <w:rFonts w:cs="Times New Roman"/>
          <w:szCs w:val="24"/>
        </w:rPr>
        <w:t xml:space="preserve">, тел. </w:t>
      </w:r>
      <w:r w:rsidR="00C512CB" w:rsidRPr="008772E7">
        <w:rPr>
          <w:rFonts w:cs="Times New Roman"/>
          <w:szCs w:val="24"/>
        </w:rPr>
        <w:t>0886 336 550</w:t>
      </w:r>
      <w:r w:rsidR="00D3123F" w:rsidRPr="008772E7">
        <w:rPr>
          <w:rFonts w:cs="Times New Roman"/>
          <w:szCs w:val="24"/>
        </w:rPr>
        <w:t>;</w:t>
      </w:r>
      <w:r w:rsidR="00177F13" w:rsidRPr="008772E7">
        <w:rPr>
          <w:rFonts w:cs="Times New Roman"/>
          <w:szCs w:val="24"/>
        </w:rPr>
        <w:t xml:space="preserve"> </w:t>
      </w:r>
    </w:p>
    <w:p w:rsidR="00D3123F" w:rsidRPr="008772E7" w:rsidRDefault="00D3123F" w:rsidP="008772E7">
      <w:pPr>
        <w:spacing w:after="0" w:line="276" w:lineRule="auto"/>
        <w:rPr>
          <w:rStyle w:val="st"/>
          <w:rFonts w:cs="Times New Roman"/>
          <w:color w:val="000000" w:themeColor="text1"/>
          <w:szCs w:val="24"/>
        </w:rPr>
      </w:pPr>
      <w:r w:rsidRPr="008772E7">
        <w:rPr>
          <w:rFonts w:cs="Times New Roman"/>
          <w:szCs w:val="24"/>
        </w:rPr>
        <w:t>е-</w:t>
      </w:r>
      <w:r w:rsidRPr="008772E7">
        <w:rPr>
          <w:rFonts w:cs="Times New Roman"/>
          <w:szCs w:val="24"/>
          <w:lang w:val="en-US"/>
        </w:rPr>
        <w:t>mail</w:t>
      </w:r>
      <w:r w:rsidRPr="008772E7">
        <w:rPr>
          <w:rFonts w:cs="Times New Roman"/>
          <w:szCs w:val="24"/>
          <w:lang w:val="ru-RU"/>
        </w:rPr>
        <w:t>:</w:t>
      </w:r>
      <w:r w:rsidR="00D34EC9" w:rsidRPr="008772E7">
        <w:rPr>
          <w:rFonts w:cs="Times New Roman"/>
          <w:color w:val="4472C4" w:themeColor="accent5"/>
          <w:szCs w:val="24"/>
          <w:lang w:val="ru-RU"/>
        </w:rPr>
        <w:t xml:space="preserve"> </w:t>
      </w:r>
      <w:hyperlink r:id="rId11" w:history="1">
        <w:r w:rsidR="00D34EC9" w:rsidRPr="008772E7">
          <w:rPr>
            <w:rStyle w:val="a7"/>
            <w:rFonts w:cs="Times New Roman"/>
            <w:szCs w:val="24"/>
          </w:rPr>
          <w:t>mignpk</w:t>
        </w:r>
        <w:r w:rsidR="00D34EC9" w:rsidRPr="008772E7">
          <w:rPr>
            <w:rStyle w:val="a7"/>
            <w:rFonts w:cs="Times New Roman"/>
            <w:i/>
            <w:szCs w:val="24"/>
          </w:rPr>
          <w:t>@</w:t>
        </w:r>
        <w:r w:rsidR="00D34EC9" w:rsidRPr="008772E7">
          <w:rPr>
            <w:rStyle w:val="a7"/>
            <w:rFonts w:cs="Times New Roman"/>
            <w:szCs w:val="24"/>
          </w:rPr>
          <w:t>abv.bg</w:t>
        </w:r>
      </w:hyperlink>
      <w:r w:rsidR="00D34EC9" w:rsidRPr="008772E7">
        <w:rPr>
          <w:rStyle w:val="st"/>
          <w:rFonts w:cs="Times New Roman"/>
          <w:color w:val="4472C4" w:themeColor="accent5"/>
          <w:szCs w:val="24"/>
        </w:rPr>
        <w:t xml:space="preserve"> </w:t>
      </w:r>
      <w:r w:rsidR="0020556D">
        <w:rPr>
          <w:rStyle w:val="st"/>
          <w:rFonts w:cs="Times New Roman"/>
          <w:color w:val="4472C4" w:themeColor="accent5"/>
          <w:szCs w:val="24"/>
          <w:lang w:val="en-US"/>
        </w:rPr>
        <w:t xml:space="preserve">, </w:t>
      </w:r>
      <w:r w:rsidR="00177F13" w:rsidRPr="008772E7">
        <w:rPr>
          <w:rStyle w:val="st"/>
          <w:rFonts w:cs="Times New Roman"/>
          <w:color w:val="000000" w:themeColor="text1"/>
          <w:szCs w:val="24"/>
        </w:rPr>
        <w:t>адрес: гр. Нови пазар, ул.”Оборище” №1, ет. ІІІ</w:t>
      </w:r>
    </w:p>
    <w:p w:rsidR="00D3123F" w:rsidRPr="008772E7" w:rsidRDefault="00D3123F" w:rsidP="008772E7">
      <w:pPr>
        <w:spacing w:after="0" w:line="276" w:lineRule="auto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t>Пълният пакет документи за кандидатстване са публикувани на следните интернет адреси:</w:t>
      </w:r>
    </w:p>
    <w:p w:rsidR="00D3123F" w:rsidRPr="008772E7" w:rsidRDefault="00A67769" w:rsidP="008772E7">
      <w:pPr>
        <w:numPr>
          <w:ilvl w:val="0"/>
          <w:numId w:val="13"/>
        </w:numPr>
        <w:tabs>
          <w:tab w:val="left" w:pos="142"/>
        </w:tabs>
        <w:snapToGrid w:val="0"/>
        <w:spacing w:after="0" w:line="276" w:lineRule="auto"/>
        <w:ind w:left="0" w:firstLine="0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t xml:space="preserve">на сайта на Сдружение „МИГ </w:t>
      </w:r>
      <w:r w:rsidR="00863849" w:rsidRPr="008772E7">
        <w:rPr>
          <w:rFonts w:cs="Times New Roman"/>
          <w:szCs w:val="24"/>
        </w:rPr>
        <w:t>Нови пазар – Каспичан”</w:t>
      </w:r>
      <w:r w:rsidR="00D3123F" w:rsidRPr="008772E7">
        <w:rPr>
          <w:rFonts w:cs="Times New Roman"/>
          <w:szCs w:val="24"/>
        </w:rPr>
        <w:t xml:space="preserve"> - </w:t>
      </w:r>
      <w:hyperlink r:id="rId12" w:history="1">
        <w:r w:rsidR="00863849" w:rsidRPr="008772E7">
          <w:rPr>
            <w:rStyle w:val="a7"/>
            <w:rFonts w:cs="Times New Roman"/>
            <w:szCs w:val="24"/>
          </w:rPr>
          <w:t>http://www.migbg.org./</w:t>
        </w:r>
      </w:hyperlink>
      <w:r w:rsidR="00D3123F" w:rsidRPr="008772E7">
        <w:rPr>
          <w:rFonts w:cs="Times New Roman"/>
          <w:szCs w:val="24"/>
        </w:rPr>
        <w:t>;</w:t>
      </w:r>
    </w:p>
    <w:p w:rsidR="00181874" w:rsidRDefault="00A67769" w:rsidP="008772E7">
      <w:pPr>
        <w:spacing w:after="0" w:line="276" w:lineRule="auto"/>
        <w:jc w:val="both"/>
        <w:rPr>
          <w:rStyle w:val="a7"/>
          <w:rFonts w:cs="Times New Roman"/>
          <w:szCs w:val="24"/>
        </w:rPr>
      </w:pPr>
      <w:r w:rsidRPr="008772E7">
        <w:rPr>
          <w:rFonts w:cs="Times New Roman"/>
          <w:szCs w:val="24"/>
        </w:rPr>
        <w:t xml:space="preserve">- </w:t>
      </w:r>
      <w:r w:rsidR="00D3123F" w:rsidRPr="008772E7">
        <w:rPr>
          <w:rFonts w:cs="Times New Roman"/>
          <w:szCs w:val="24"/>
        </w:rPr>
        <w:t xml:space="preserve">на сайта на </w:t>
      </w:r>
      <w:r w:rsidRPr="008772E7">
        <w:rPr>
          <w:rFonts w:cs="Times New Roman"/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8772E7">
        <w:rPr>
          <w:rFonts w:cs="Times New Roman"/>
          <w:szCs w:val="24"/>
          <w:lang w:val="en-US"/>
        </w:rPr>
        <w:t>(</w:t>
      </w:r>
      <w:r w:rsidRPr="008772E7">
        <w:rPr>
          <w:rFonts w:cs="Times New Roman"/>
          <w:szCs w:val="24"/>
        </w:rPr>
        <w:t>ИСУН 2020</w:t>
      </w:r>
      <w:r w:rsidR="009078AD" w:rsidRPr="008772E7">
        <w:rPr>
          <w:rFonts w:cs="Times New Roman"/>
          <w:szCs w:val="24"/>
          <w:lang w:val="en-US"/>
        </w:rPr>
        <w:t>)</w:t>
      </w:r>
      <w:r w:rsidRPr="008772E7">
        <w:rPr>
          <w:rFonts w:cs="Times New Roman"/>
          <w:szCs w:val="24"/>
        </w:rPr>
        <w:t xml:space="preserve"> в модула за електронно кандидатстване: </w:t>
      </w:r>
      <w:hyperlink r:id="rId13" w:history="1">
        <w:r w:rsidRPr="008772E7">
          <w:rPr>
            <w:rStyle w:val="a7"/>
            <w:rFonts w:cs="Times New Roman"/>
            <w:szCs w:val="24"/>
          </w:rPr>
          <w:t>http://eumis2020.government.bg/</w:t>
        </w:r>
      </w:hyperlink>
    </w:p>
    <w:p w:rsidR="0020556D" w:rsidRDefault="0020556D" w:rsidP="008772E7">
      <w:pPr>
        <w:shd w:val="clear" w:color="auto" w:fill="FEFEFE"/>
        <w:spacing w:after="0" w:line="276" w:lineRule="auto"/>
        <w:rPr>
          <w:rFonts w:cs="Times New Roman"/>
          <w:szCs w:val="24"/>
          <w:lang w:val="en-US"/>
        </w:rPr>
      </w:pPr>
    </w:p>
    <w:p w:rsidR="00D3123F" w:rsidRPr="008772E7" w:rsidRDefault="00966FFB" w:rsidP="008772E7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10</w:t>
      </w:r>
      <w:r w:rsidR="00D3123F" w:rsidRPr="008772E7">
        <w:rPr>
          <w:rFonts w:cs="Times New Roman"/>
          <w:b/>
          <w:color w:val="548DD4"/>
          <w:szCs w:val="24"/>
          <w:lang w:eastAsia="bg-BG"/>
        </w:rPr>
        <w:t>. НАЧИН ЗА ПОДАВАНЕ НА ПРОЕКТНИ ПРЕДЛОЖЕНИЯ</w:t>
      </w:r>
      <w:r w:rsidRPr="008772E7">
        <w:rPr>
          <w:rFonts w:cs="Times New Roman"/>
          <w:b/>
          <w:color w:val="548DD4"/>
          <w:szCs w:val="24"/>
          <w:lang w:eastAsia="bg-BG"/>
        </w:rPr>
        <w:t>:</w:t>
      </w:r>
    </w:p>
    <w:p w:rsidR="009A3ED8" w:rsidRDefault="00D3123F" w:rsidP="008772E7">
      <w:pPr>
        <w:spacing w:after="0" w:line="276" w:lineRule="auto"/>
        <w:jc w:val="both"/>
        <w:rPr>
          <w:lang w:val="en-US"/>
        </w:rPr>
      </w:pPr>
      <w:r w:rsidRPr="008772E7">
        <w:rPr>
          <w:rFonts w:cs="Times New Roman"/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8772E7">
        <w:rPr>
          <w:rFonts w:cs="Times New Roman"/>
          <w:b/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bookmarkEnd w:id="0"/>
      <w:bookmarkEnd w:id="1"/>
      <w:bookmarkEnd w:id="2"/>
      <w:r w:rsidR="009078AD" w:rsidRPr="008772E7">
        <w:rPr>
          <w:rFonts w:cs="Times New Roman"/>
          <w:szCs w:val="24"/>
        </w:rPr>
        <w:t xml:space="preserve">в модула за електронно кандидатстване: </w:t>
      </w:r>
      <w:hyperlink r:id="rId14" w:history="1">
        <w:r w:rsidR="009078AD" w:rsidRPr="008772E7">
          <w:rPr>
            <w:rStyle w:val="a7"/>
            <w:rFonts w:cs="Times New Roman"/>
            <w:szCs w:val="24"/>
          </w:rPr>
          <w:t>h</w:t>
        </w:r>
        <w:bookmarkStart w:id="3" w:name="_GoBack"/>
        <w:bookmarkEnd w:id="3"/>
        <w:r w:rsidR="009078AD" w:rsidRPr="008772E7">
          <w:rPr>
            <w:rStyle w:val="a7"/>
            <w:rFonts w:cs="Times New Roman"/>
            <w:szCs w:val="24"/>
          </w:rPr>
          <w:t>ttp://eumis2020.government.bg/</w:t>
        </w:r>
      </w:hyperlink>
      <w:r w:rsidR="00F86E39">
        <w:rPr>
          <w:lang w:val="en-US"/>
        </w:rPr>
        <w:t xml:space="preserve"> .</w:t>
      </w:r>
    </w:p>
    <w:p w:rsidR="00F86E39" w:rsidRDefault="00F86E39" w:rsidP="00F86E39">
      <w:pPr>
        <w:pStyle w:val="a9"/>
        <w:spacing w:line="240" w:lineRule="auto"/>
        <w:ind w:left="0"/>
        <w:contextualSpacing w:val="0"/>
        <w:jc w:val="both"/>
        <w:rPr>
          <w:rFonts w:cs="Times New Roman"/>
          <w:b/>
          <w:szCs w:val="24"/>
          <w:lang w:val="en-US"/>
        </w:rPr>
      </w:pPr>
    </w:p>
    <w:p w:rsidR="00F86E39" w:rsidRPr="00884C6B" w:rsidRDefault="00F86E39" w:rsidP="00F86E39">
      <w:pPr>
        <w:pStyle w:val="a9"/>
        <w:spacing w:line="276" w:lineRule="auto"/>
        <w:ind w:left="0"/>
        <w:contextualSpacing w:val="0"/>
        <w:jc w:val="both"/>
        <w:rPr>
          <w:rFonts w:cs="Times New Roman"/>
          <w:szCs w:val="24"/>
          <w:lang w:val="en-US"/>
        </w:rPr>
      </w:pPr>
      <w:r w:rsidRPr="00884C6B">
        <w:rPr>
          <w:rFonts w:cs="Times New Roman"/>
          <w:b/>
          <w:szCs w:val="24"/>
        </w:rPr>
        <w:t xml:space="preserve">ВАЖНО! </w:t>
      </w:r>
      <w:r w:rsidRPr="00884C6B">
        <w:rPr>
          <w:rFonts w:cs="Times New Roman"/>
          <w:szCs w:val="24"/>
        </w:rPr>
        <w:t xml:space="preserve">След обявяване на процедура да подбор МИГ „Нови пазар – Каспичан”  осигурява предоставяне на разяснения по документите. Кандидатите могат да задават допълнителни въпроси и да искат разяснения във връзка с Условията за кандидатстване </w:t>
      </w:r>
      <w:r w:rsidRPr="00884C6B">
        <w:rPr>
          <w:rFonts w:cs="Times New Roman"/>
          <w:b/>
          <w:szCs w:val="24"/>
        </w:rPr>
        <w:t>до три седмици</w:t>
      </w:r>
      <w:r w:rsidRPr="00884C6B">
        <w:rPr>
          <w:rFonts w:cs="Times New Roman"/>
          <w:szCs w:val="24"/>
        </w:rPr>
        <w:t xml:space="preserve"> преди крайния срок за подаване на проектни предложения. Допълнителни въпроси могат да се задават само по електронната поща на </w:t>
      </w:r>
      <w:r w:rsidRPr="00884C6B">
        <w:rPr>
          <w:rFonts w:cs="Times New Roman"/>
          <w:b/>
          <w:szCs w:val="24"/>
        </w:rPr>
        <w:t xml:space="preserve">МИГ - </w:t>
      </w:r>
      <w:hyperlink r:id="rId15" w:history="1">
        <w:r w:rsidRPr="00884C6B">
          <w:rPr>
            <w:rStyle w:val="a7"/>
            <w:rFonts w:cs="Times New Roman"/>
            <w:b/>
            <w:color w:val="4472C4" w:themeColor="accent5"/>
            <w:szCs w:val="24"/>
          </w:rPr>
          <w:t>mignpk</w:t>
        </w:r>
        <w:r w:rsidRPr="00884C6B">
          <w:rPr>
            <w:rStyle w:val="a7"/>
            <w:rFonts w:cs="Times New Roman"/>
            <w:b/>
            <w:color w:val="4472C4" w:themeColor="accent5"/>
            <w:szCs w:val="24"/>
            <w:lang w:val="ru-RU"/>
          </w:rPr>
          <w:t>@</w:t>
        </w:r>
        <w:r w:rsidRPr="00884C6B">
          <w:rPr>
            <w:rStyle w:val="a7"/>
            <w:rFonts w:cs="Times New Roman"/>
            <w:b/>
            <w:color w:val="4472C4" w:themeColor="accent5"/>
            <w:szCs w:val="24"/>
          </w:rPr>
          <w:t>abv</w:t>
        </w:r>
        <w:r w:rsidRPr="00884C6B">
          <w:rPr>
            <w:rStyle w:val="a7"/>
            <w:rFonts w:cs="Times New Roman"/>
            <w:b/>
            <w:color w:val="4472C4" w:themeColor="accent5"/>
            <w:szCs w:val="24"/>
            <w:lang w:val="ru-RU"/>
          </w:rPr>
          <w:t>.</w:t>
        </w:r>
        <w:proofErr w:type="spellStart"/>
        <w:r w:rsidRPr="00884C6B">
          <w:rPr>
            <w:rStyle w:val="a7"/>
            <w:rFonts w:cs="Times New Roman"/>
            <w:b/>
            <w:color w:val="4472C4" w:themeColor="accent5"/>
            <w:szCs w:val="24"/>
          </w:rPr>
          <w:t>b</w:t>
        </w:r>
        <w:r w:rsidRPr="00884C6B">
          <w:rPr>
            <w:rStyle w:val="a7"/>
            <w:rFonts w:cs="Times New Roman"/>
            <w:b/>
            <w:szCs w:val="24"/>
          </w:rPr>
          <w:t>g</w:t>
        </w:r>
        <w:proofErr w:type="spellEnd"/>
      </w:hyperlink>
      <w:r w:rsidRPr="00884C6B">
        <w:rPr>
          <w:rFonts w:cs="Times New Roman"/>
          <w:b/>
          <w:szCs w:val="24"/>
        </w:rPr>
        <w:t xml:space="preserve">, </w:t>
      </w:r>
      <w:r w:rsidRPr="00884C6B">
        <w:rPr>
          <w:rFonts w:cs="Times New Roman"/>
          <w:szCs w:val="24"/>
        </w:rPr>
        <w:t xml:space="preserve">като се посочва наименованието на процедурата за подбор на проекти. Разясненията следва да бъдат утвърдени от Председателя на Управителния съвет или </w:t>
      </w:r>
      <w:proofErr w:type="spellStart"/>
      <w:r w:rsidRPr="00884C6B">
        <w:rPr>
          <w:rFonts w:cs="Times New Roman"/>
          <w:szCs w:val="24"/>
        </w:rPr>
        <w:t>оправомощено</w:t>
      </w:r>
      <w:proofErr w:type="spellEnd"/>
      <w:r w:rsidRPr="00884C6B">
        <w:rPr>
          <w:rFonts w:cs="Times New Roman"/>
          <w:szCs w:val="24"/>
        </w:rPr>
        <w:t xml:space="preserve"> от него лице. Разясненията следва да се дават по отношение на условията за кандидатстване, не съдържат становище относно качеството на проектното предложение и са задължителни за всички кандидати. Разясненията се съобщават в срок </w:t>
      </w:r>
      <w:r w:rsidRPr="00884C6B">
        <w:rPr>
          <w:rFonts w:cs="Times New Roman"/>
          <w:b/>
          <w:szCs w:val="24"/>
        </w:rPr>
        <w:t>до две седмици</w:t>
      </w:r>
      <w:r w:rsidRPr="00884C6B">
        <w:rPr>
          <w:rFonts w:cs="Times New Roman"/>
          <w:szCs w:val="24"/>
        </w:rPr>
        <w:t xml:space="preserve"> преди изтичането на срока за кандидатстване. Отговорите на въпросите на кандидатите се публикуват </w:t>
      </w:r>
      <w:r>
        <w:rPr>
          <w:rFonts w:cs="Times New Roman"/>
          <w:szCs w:val="24"/>
        </w:rPr>
        <w:t>в</w:t>
      </w:r>
      <w:r w:rsidRPr="00884C6B">
        <w:rPr>
          <w:rFonts w:cs="Times New Roman"/>
          <w:b/>
          <w:szCs w:val="24"/>
        </w:rPr>
        <w:t xml:space="preserve"> ИСУН 2020 в 10- дневен срок </w:t>
      </w:r>
      <w:r w:rsidRPr="00884C6B">
        <w:rPr>
          <w:rFonts w:cs="Times New Roman"/>
          <w:szCs w:val="24"/>
        </w:rPr>
        <w:t xml:space="preserve">от получаването им, но не по-късно от две седмици преди изтичането на срока за кандидатстване. </w:t>
      </w:r>
    </w:p>
    <w:p w:rsidR="00F86E39" w:rsidRDefault="00F86E39" w:rsidP="00F86E39">
      <w:pPr>
        <w:rPr>
          <w:lang w:val="ru-RU"/>
        </w:rPr>
      </w:pPr>
    </w:p>
    <w:p w:rsidR="00F86E39" w:rsidRPr="00F86E39" w:rsidRDefault="00F86E39" w:rsidP="008772E7">
      <w:pPr>
        <w:spacing w:after="0" w:line="276" w:lineRule="auto"/>
        <w:jc w:val="both"/>
        <w:rPr>
          <w:rFonts w:cs="Times New Roman"/>
          <w:szCs w:val="24"/>
          <w:lang w:val="en-US"/>
        </w:rPr>
      </w:pPr>
    </w:p>
    <w:sectPr w:rsidR="00F86E39" w:rsidRPr="00F86E39" w:rsidSect="006D40C0">
      <w:headerReference w:type="default" r:id="rId16"/>
      <w:footerReference w:type="default" r:id="rId1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51" w:rsidRDefault="002D7F51" w:rsidP="00617FB6">
      <w:pPr>
        <w:spacing w:after="0" w:line="240" w:lineRule="auto"/>
      </w:pPr>
      <w:r>
        <w:separator/>
      </w:r>
    </w:p>
  </w:endnote>
  <w:endnote w:type="continuationSeparator" w:id="0">
    <w:p w:rsidR="002D7F51" w:rsidRDefault="002D7F51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A" w:rsidRPr="00946B8A" w:rsidRDefault="00946B8A" w:rsidP="00946B8A">
    <w:pPr>
      <w:pStyle w:val="a5"/>
      <w:jc w:val="center"/>
      <w:rPr>
        <w:sz w:val="20"/>
        <w:szCs w:val="20"/>
        <w:lang w:val="ru-RU"/>
      </w:rPr>
    </w:pPr>
    <w:r w:rsidRPr="00946B8A">
      <w:rPr>
        <w:sz w:val="20"/>
        <w:szCs w:val="20"/>
        <w:lang w:val="ru-RU"/>
      </w:rPr>
      <w:t xml:space="preserve">------------------------------------------------------------- </w:t>
    </w:r>
    <w:r w:rsidRPr="00946B8A">
      <w:rPr>
        <w:sz w:val="20"/>
        <w:szCs w:val="20"/>
        <w:lang w:val="en-US"/>
      </w:rPr>
      <w:t>www</w:t>
    </w:r>
    <w:r w:rsidRPr="00946B8A">
      <w:rPr>
        <w:sz w:val="20"/>
        <w:szCs w:val="20"/>
        <w:lang w:val="ru-RU"/>
      </w:rPr>
      <w:t>.</w:t>
    </w:r>
    <w:proofErr w:type="spellStart"/>
    <w:r w:rsidRPr="00946B8A">
      <w:rPr>
        <w:sz w:val="20"/>
        <w:szCs w:val="20"/>
        <w:lang w:val="en-US"/>
      </w:rPr>
      <w:t>eufunds</w:t>
    </w:r>
    <w:proofErr w:type="spellEnd"/>
    <w:r w:rsidRPr="00946B8A">
      <w:rPr>
        <w:sz w:val="20"/>
        <w:szCs w:val="20"/>
        <w:lang w:val="ru-RU"/>
      </w:rPr>
      <w:t>.</w:t>
    </w:r>
    <w:proofErr w:type="spellStart"/>
    <w:r w:rsidRPr="00946B8A">
      <w:rPr>
        <w:sz w:val="20"/>
        <w:szCs w:val="20"/>
        <w:lang w:val="en-US"/>
      </w:rPr>
      <w:t>bg</w:t>
    </w:r>
    <w:proofErr w:type="spellEnd"/>
    <w:r w:rsidRPr="00946B8A">
      <w:rPr>
        <w:sz w:val="20"/>
        <w:szCs w:val="20"/>
        <w:lang w:val="ru-RU"/>
      </w:rPr>
      <w:t xml:space="preserve"> -------------------------------------------------------------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  <w:r w:rsidRPr="00946B8A">
      <w:rPr>
        <w:b/>
        <w:bCs/>
        <w:sz w:val="20"/>
        <w:szCs w:val="20"/>
      </w:rPr>
      <w:t>Проект:</w:t>
    </w:r>
    <w:r w:rsidRPr="00946B8A">
      <w:rPr>
        <w:sz w:val="20"/>
        <w:szCs w:val="20"/>
      </w:rPr>
      <w:t xml:space="preserve"> „Изпълнение на Стратегия за ВОМР”</w:t>
    </w:r>
    <w:r w:rsidRPr="00946B8A">
      <w:rPr>
        <w:sz w:val="20"/>
        <w:szCs w:val="20"/>
        <w:lang w:val="ru-RU"/>
      </w:rPr>
      <w:t xml:space="preserve">, № 19-19-2-01-12/31.05.2016 г. </w:t>
    </w:r>
    <w:r w:rsidRPr="00946B8A">
      <w:rPr>
        <w:sz w:val="20"/>
        <w:szCs w:val="20"/>
      </w:rPr>
      <w:t>Споразумение № РД 50-150/21.10.2016г., СДРУЖЕНИЕ „МЕСТНА ИНИЦИАТИВНА ГРУПА НОВИ ПАЗАР-КАСПИЧАН”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  <w:r w:rsidRPr="00946B8A">
      <w:rPr>
        <w:sz w:val="20"/>
        <w:szCs w:val="20"/>
      </w:rPr>
      <w:t xml:space="preserve">гр.Нови пазар, 9900, ул.”Оборище” 1, </w:t>
    </w:r>
    <w:r w:rsidRPr="00946B8A">
      <w:rPr>
        <w:sz w:val="20"/>
        <w:szCs w:val="20"/>
        <w:lang w:val="en-US"/>
      </w:rPr>
      <w:t>e</w:t>
    </w:r>
    <w:r w:rsidRPr="00946B8A">
      <w:rPr>
        <w:sz w:val="20"/>
        <w:szCs w:val="20"/>
        <w:lang w:val="ru-RU"/>
      </w:rPr>
      <w:t>-</w:t>
    </w:r>
    <w:r w:rsidRPr="00946B8A">
      <w:rPr>
        <w:sz w:val="20"/>
        <w:szCs w:val="20"/>
        <w:lang w:val="en-US"/>
      </w:rPr>
      <w:t>mail</w:t>
    </w:r>
    <w:r w:rsidRPr="00946B8A">
      <w:rPr>
        <w:sz w:val="20"/>
        <w:szCs w:val="20"/>
        <w:lang w:val="ru-RU"/>
      </w:rPr>
      <w:t xml:space="preserve">: </w:t>
    </w:r>
    <w:hyperlink r:id="rId1" w:history="1">
      <w:r w:rsidRPr="00946B8A">
        <w:rPr>
          <w:rStyle w:val="a7"/>
          <w:sz w:val="20"/>
          <w:szCs w:val="20"/>
        </w:rPr>
        <w:t>mignpk</w:t>
      </w:r>
      <w:r w:rsidRPr="00946B8A">
        <w:rPr>
          <w:rStyle w:val="a7"/>
          <w:sz w:val="20"/>
          <w:szCs w:val="20"/>
          <w:lang w:val="ru-RU"/>
        </w:rPr>
        <w:t>@</w:t>
      </w:r>
      <w:r w:rsidRPr="00946B8A">
        <w:rPr>
          <w:rStyle w:val="a7"/>
          <w:sz w:val="20"/>
          <w:szCs w:val="20"/>
        </w:rPr>
        <w:t>abv</w:t>
      </w:r>
      <w:r w:rsidRPr="00946B8A">
        <w:rPr>
          <w:rStyle w:val="a7"/>
          <w:sz w:val="20"/>
          <w:szCs w:val="20"/>
          <w:lang w:val="ru-RU"/>
        </w:rPr>
        <w:t>.</w:t>
      </w:r>
      <w:r w:rsidRPr="00946B8A">
        <w:rPr>
          <w:rStyle w:val="a7"/>
          <w:sz w:val="20"/>
          <w:szCs w:val="20"/>
        </w:rPr>
        <w:t>bg</w:t>
      </w:r>
    </w:hyperlink>
    <w:r w:rsidRPr="00946B8A">
      <w:rPr>
        <w:sz w:val="20"/>
        <w:szCs w:val="20"/>
        <w:lang w:val="ru-RU"/>
      </w:rPr>
      <w:t xml:space="preserve">, </w:t>
    </w:r>
    <w:r w:rsidRPr="00946B8A">
      <w:rPr>
        <w:sz w:val="20"/>
        <w:szCs w:val="20"/>
        <w:lang w:val="en-US"/>
      </w:rPr>
      <w:t>www</w:t>
    </w:r>
    <w:r w:rsidRPr="00946B8A">
      <w:rPr>
        <w:sz w:val="20"/>
        <w:szCs w:val="20"/>
        <w:lang w:val="ru-RU"/>
      </w:rPr>
      <w:t>.</w:t>
    </w:r>
    <w:r w:rsidRPr="00946B8A">
      <w:rPr>
        <w:sz w:val="20"/>
        <w:szCs w:val="20"/>
        <w:lang w:val="en-US"/>
      </w:rPr>
      <w:t>migbg</w:t>
    </w:r>
    <w:r w:rsidRPr="00946B8A">
      <w:rPr>
        <w:sz w:val="20"/>
        <w:szCs w:val="20"/>
        <w:lang w:val="ru-RU"/>
      </w:rPr>
      <w:t>.</w:t>
    </w:r>
    <w:r w:rsidRPr="00946B8A">
      <w:rPr>
        <w:sz w:val="20"/>
        <w:szCs w:val="20"/>
        <w:lang w:val="en-US"/>
      </w:rPr>
      <w:t>org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</w:p>
  <w:p w:rsidR="00617FB6" w:rsidRPr="00946B8A" w:rsidRDefault="00617FB6" w:rsidP="00946B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51" w:rsidRDefault="002D7F51" w:rsidP="00617FB6">
      <w:pPr>
        <w:spacing w:after="0" w:line="240" w:lineRule="auto"/>
      </w:pPr>
      <w:r>
        <w:separator/>
      </w:r>
    </w:p>
  </w:footnote>
  <w:footnote w:type="continuationSeparator" w:id="0">
    <w:p w:rsidR="002D7F51" w:rsidRDefault="002D7F51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A" w:rsidRDefault="00946B8A" w:rsidP="00946B8A">
    <w:pPr>
      <w:pStyle w:val="a3"/>
      <w:rPr>
        <w:noProof/>
      </w:rPr>
    </w:pPr>
    <w:r>
      <w:rPr>
        <w:noProof/>
        <w:lang w:eastAsia="bg-BG"/>
      </w:rPr>
      <w:drawing>
        <wp:inline distT="0" distB="0" distL="0" distR="0">
          <wp:extent cx="876300" cy="587410"/>
          <wp:effectExtent l="19050" t="0" r="0" b="0"/>
          <wp:docPr id="32" name="Картина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596" cy="587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bg-BG"/>
      </w:rPr>
      <w:drawing>
        <wp:inline distT="0" distB="0" distL="0" distR="0">
          <wp:extent cx="628650" cy="590550"/>
          <wp:effectExtent l="19050" t="0" r="0" b="0"/>
          <wp:docPr id="33" name="Картина 24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4" descr="Leader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>
          <wp:extent cx="1333500" cy="581025"/>
          <wp:effectExtent l="19050" t="0" r="0" b="0"/>
          <wp:docPr id="34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bg-BG"/>
      </w:rPr>
      <w:drawing>
        <wp:inline distT="0" distB="0" distL="0" distR="0">
          <wp:extent cx="1400175" cy="590550"/>
          <wp:effectExtent l="19050" t="0" r="9525" b="0"/>
          <wp:docPr id="35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>
          <wp:extent cx="809625" cy="542925"/>
          <wp:effectExtent l="19050" t="0" r="9525" b="0"/>
          <wp:docPr id="4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B8A" w:rsidRPr="00F713D6" w:rsidRDefault="00F713D6" w:rsidP="00946B8A">
    <w:pPr>
      <w:pStyle w:val="a3"/>
      <w:rPr>
        <w:noProof/>
        <w:sz w:val="14"/>
        <w:szCs w:val="14"/>
      </w:rPr>
    </w:pPr>
    <w:r>
      <w:rPr>
        <w:noProof/>
        <w:sz w:val="16"/>
        <w:szCs w:val="16"/>
      </w:rPr>
      <w:t xml:space="preserve"> </w:t>
    </w:r>
    <w:r w:rsidR="00946B8A" w:rsidRPr="00F713D6">
      <w:rPr>
        <w:noProof/>
        <w:sz w:val="14"/>
        <w:szCs w:val="14"/>
      </w:rPr>
      <w:t>ЕВРОПЕЙСКИ СЪЮЗ</w:t>
    </w:r>
  </w:p>
  <w:p w:rsidR="00946B8A" w:rsidRPr="00861B7F" w:rsidRDefault="00946B8A" w:rsidP="00F713D6">
    <w:pPr>
      <w:tabs>
        <w:tab w:val="left" w:pos="-720"/>
        <w:tab w:val="left" w:pos="567"/>
      </w:tabs>
      <w:suppressAutoHyphens/>
      <w:spacing w:after="0"/>
      <w:ind w:left="-180"/>
      <w:rPr>
        <w:rFonts w:ascii="Arial" w:hAnsi="Arial" w:cs="Arial"/>
        <w:b/>
        <w:snapToGrid w:val="0"/>
        <w:sz w:val="16"/>
        <w:szCs w:val="16"/>
        <w:lang w:val="ru-RU"/>
      </w:rPr>
    </w:pPr>
    <w:r>
      <w:rPr>
        <w:rFonts w:ascii="Arial" w:hAnsi="Arial" w:cs="Arial"/>
        <w:b/>
        <w:snapToGrid w:val="0"/>
        <w:sz w:val="16"/>
        <w:szCs w:val="16"/>
        <w:lang w:val="ru-RU"/>
      </w:rPr>
      <w:t xml:space="preserve">    ЕВРОПЕЙСКИ</w:t>
    </w:r>
    <w:r w:rsidRPr="00861B7F">
      <w:rPr>
        <w:rFonts w:ascii="Arial" w:hAnsi="Arial" w:cs="Arial"/>
        <w:b/>
        <w:snapToGrid w:val="0"/>
        <w:sz w:val="16"/>
        <w:szCs w:val="16"/>
        <w:lang w:val="ru-RU"/>
      </w:rPr>
      <w:t xml:space="preserve"> ЗЕМЕДЕЛСКИ ФОНД ЗА РАЗВИТИЕ НА СЕЛСКИТЕ РАЙОНИ-ЕВРОПА ИНВЕСТИРА В СЕЛСКИТЕ РАЙОНИ</w:t>
    </w:r>
  </w:p>
  <w:p w:rsidR="00946B8A" w:rsidRPr="005C344A" w:rsidRDefault="00946B8A" w:rsidP="00F713D6">
    <w:pPr>
      <w:pStyle w:val="a3"/>
      <w:jc w:val="center"/>
      <w:rPr>
        <w:rFonts w:ascii="Arial" w:hAnsi="Arial" w:cs="Arial"/>
        <w:b/>
        <w:sz w:val="16"/>
        <w:szCs w:val="16"/>
        <w:lang w:val="ru-RU"/>
      </w:rPr>
    </w:pPr>
    <w:r w:rsidRPr="00861CD1">
      <w:rPr>
        <w:rFonts w:ascii="Arial" w:hAnsi="Arial" w:cs="Arial"/>
        <w:b/>
        <w:sz w:val="16"/>
        <w:szCs w:val="16"/>
      </w:rPr>
      <w:t>ПРОГРАМА ЗА РАЗВИТИЕ НА СЕЛСКИТЕ РАЙОНИ 2014-2020г.</w:t>
    </w:r>
  </w:p>
  <w:p w:rsidR="00946B8A" w:rsidRPr="00946B8A" w:rsidRDefault="00946B8A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8"/>
  </w:num>
  <w:num w:numId="4">
    <w:abstractNumId w:val="16"/>
  </w:num>
  <w:num w:numId="5">
    <w:abstractNumId w:val="23"/>
  </w:num>
  <w:num w:numId="6">
    <w:abstractNumId w:val="30"/>
  </w:num>
  <w:num w:numId="7">
    <w:abstractNumId w:val="12"/>
  </w:num>
  <w:num w:numId="8">
    <w:abstractNumId w:val="15"/>
  </w:num>
  <w:num w:numId="9">
    <w:abstractNumId w:val="13"/>
  </w:num>
  <w:num w:numId="10">
    <w:abstractNumId w:val="10"/>
  </w:num>
  <w:num w:numId="11">
    <w:abstractNumId w:val="8"/>
  </w:num>
  <w:num w:numId="12">
    <w:abstractNumId w:val="24"/>
  </w:num>
  <w:num w:numId="13">
    <w:abstractNumId w:val="22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11"/>
  </w:num>
  <w:num w:numId="18">
    <w:abstractNumId w:val="0"/>
  </w:num>
  <w:num w:numId="19">
    <w:abstractNumId w:val="5"/>
  </w:num>
  <w:num w:numId="20">
    <w:abstractNumId w:val="21"/>
  </w:num>
  <w:num w:numId="21">
    <w:abstractNumId w:val="19"/>
  </w:num>
  <w:num w:numId="22">
    <w:abstractNumId w:val="20"/>
  </w:num>
  <w:num w:numId="23">
    <w:abstractNumId w:val="27"/>
  </w:num>
  <w:num w:numId="24">
    <w:abstractNumId w:val="26"/>
  </w:num>
  <w:num w:numId="25">
    <w:abstractNumId w:val="1"/>
  </w:num>
  <w:num w:numId="26">
    <w:abstractNumId w:val="29"/>
  </w:num>
  <w:num w:numId="27">
    <w:abstractNumId w:val="2"/>
  </w:num>
  <w:num w:numId="28">
    <w:abstractNumId w:val="18"/>
  </w:num>
  <w:num w:numId="29">
    <w:abstractNumId w:val="7"/>
  </w:num>
  <w:num w:numId="30">
    <w:abstractNumId w:val="1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17FB6"/>
    <w:rsid w:val="000250B9"/>
    <w:rsid w:val="000366F5"/>
    <w:rsid w:val="00044F6F"/>
    <w:rsid w:val="000744AA"/>
    <w:rsid w:val="000917B7"/>
    <w:rsid w:val="000A42AE"/>
    <w:rsid w:val="000B613D"/>
    <w:rsid w:val="000D0DD9"/>
    <w:rsid w:val="000E438E"/>
    <w:rsid w:val="0011419E"/>
    <w:rsid w:val="00177F13"/>
    <w:rsid w:val="00181874"/>
    <w:rsid w:val="0018286F"/>
    <w:rsid w:val="001A3B05"/>
    <w:rsid w:val="001B3F52"/>
    <w:rsid w:val="001D2D9B"/>
    <w:rsid w:val="001D4E72"/>
    <w:rsid w:val="001E3DCB"/>
    <w:rsid w:val="001F0052"/>
    <w:rsid w:val="001F77D2"/>
    <w:rsid w:val="0020556D"/>
    <w:rsid w:val="002261CE"/>
    <w:rsid w:val="00245CD1"/>
    <w:rsid w:val="002560F0"/>
    <w:rsid w:val="00265D45"/>
    <w:rsid w:val="002C1EE1"/>
    <w:rsid w:val="002C393A"/>
    <w:rsid w:val="002C40CB"/>
    <w:rsid w:val="002D5249"/>
    <w:rsid w:val="002D7F51"/>
    <w:rsid w:val="00300F41"/>
    <w:rsid w:val="00314253"/>
    <w:rsid w:val="00323CAC"/>
    <w:rsid w:val="0033213E"/>
    <w:rsid w:val="0035203D"/>
    <w:rsid w:val="00353D1B"/>
    <w:rsid w:val="003600CC"/>
    <w:rsid w:val="00365446"/>
    <w:rsid w:val="003C7505"/>
    <w:rsid w:val="003F699C"/>
    <w:rsid w:val="004343EC"/>
    <w:rsid w:val="00477810"/>
    <w:rsid w:val="0048142A"/>
    <w:rsid w:val="004868B7"/>
    <w:rsid w:val="00495E79"/>
    <w:rsid w:val="004A0593"/>
    <w:rsid w:val="004C47AB"/>
    <w:rsid w:val="004E786A"/>
    <w:rsid w:val="00527EDA"/>
    <w:rsid w:val="005562AA"/>
    <w:rsid w:val="005842A1"/>
    <w:rsid w:val="005B4A2A"/>
    <w:rsid w:val="005B4A49"/>
    <w:rsid w:val="005C486A"/>
    <w:rsid w:val="005E1E5B"/>
    <w:rsid w:val="00617FB6"/>
    <w:rsid w:val="0067299F"/>
    <w:rsid w:val="0068075E"/>
    <w:rsid w:val="00684AC4"/>
    <w:rsid w:val="0068798B"/>
    <w:rsid w:val="00690BFB"/>
    <w:rsid w:val="0069691C"/>
    <w:rsid w:val="006B0E2D"/>
    <w:rsid w:val="006B17C5"/>
    <w:rsid w:val="006C2B88"/>
    <w:rsid w:val="006C6FE0"/>
    <w:rsid w:val="006D40C0"/>
    <w:rsid w:val="006D45A0"/>
    <w:rsid w:val="00757CB3"/>
    <w:rsid w:val="007A4B81"/>
    <w:rsid w:val="007A5405"/>
    <w:rsid w:val="007C3C18"/>
    <w:rsid w:val="007D21CC"/>
    <w:rsid w:val="007D706D"/>
    <w:rsid w:val="007F37CA"/>
    <w:rsid w:val="007F3FAE"/>
    <w:rsid w:val="00806203"/>
    <w:rsid w:val="008366AF"/>
    <w:rsid w:val="0085261D"/>
    <w:rsid w:val="0085296A"/>
    <w:rsid w:val="0085575D"/>
    <w:rsid w:val="008602B3"/>
    <w:rsid w:val="00863849"/>
    <w:rsid w:val="00864369"/>
    <w:rsid w:val="008772E7"/>
    <w:rsid w:val="008A68F5"/>
    <w:rsid w:val="008A7BF4"/>
    <w:rsid w:val="008C5DC1"/>
    <w:rsid w:val="008F234C"/>
    <w:rsid w:val="009078AD"/>
    <w:rsid w:val="0091472B"/>
    <w:rsid w:val="009200F8"/>
    <w:rsid w:val="00923D72"/>
    <w:rsid w:val="00925984"/>
    <w:rsid w:val="00937511"/>
    <w:rsid w:val="00946B8A"/>
    <w:rsid w:val="00966FFB"/>
    <w:rsid w:val="0098688D"/>
    <w:rsid w:val="00986E72"/>
    <w:rsid w:val="00993696"/>
    <w:rsid w:val="00993E78"/>
    <w:rsid w:val="00994236"/>
    <w:rsid w:val="009A3ED8"/>
    <w:rsid w:val="009C50B4"/>
    <w:rsid w:val="00A057BB"/>
    <w:rsid w:val="00A103B4"/>
    <w:rsid w:val="00A37137"/>
    <w:rsid w:val="00A67769"/>
    <w:rsid w:val="00A71BAF"/>
    <w:rsid w:val="00A7370E"/>
    <w:rsid w:val="00A903C4"/>
    <w:rsid w:val="00A97A26"/>
    <w:rsid w:val="00AA7329"/>
    <w:rsid w:val="00AC7B2E"/>
    <w:rsid w:val="00AE0C87"/>
    <w:rsid w:val="00AE1915"/>
    <w:rsid w:val="00B023E7"/>
    <w:rsid w:val="00B053A1"/>
    <w:rsid w:val="00B2230A"/>
    <w:rsid w:val="00B262D9"/>
    <w:rsid w:val="00B34177"/>
    <w:rsid w:val="00B53650"/>
    <w:rsid w:val="00B84E44"/>
    <w:rsid w:val="00B97B27"/>
    <w:rsid w:val="00BB2130"/>
    <w:rsid w:val="00BC3FD9"/>
    <w:rsid w:val="00BD5AD0"/>
    <w:rsid w:val="00C308B7"/>
    <w:rsid w:val="00C46207"/>
    <w:rsid w:val="00C512CB"/>
    <w:rsid w:val="00C51824"/>
    <w:rsid w:val="00C529FF"/>
    <w:rsid w:val="00C67E85"/>
    <w:rsid w:val="00C86DA8"/>
    <w:rsid w:val="00CA7741"/>
    <w:rsid w:val="00CC5E4F"/>
    <w:rsid w:val="00D0210F"/>
    <w:rsid w:val="00D30002"/>
    <w:rsid w:val="00D3123F"/>
    <w:rsid w:val="00D34EC9"/>
    <w:rsid w:val="00D47772"/>
    <w:rsid w:val="00D65450"/>
    <w:rsid w:val="00D72580"/>
    <w:rsid w:val="00D857DE"/>
    <w:rsid w:val="00D93F35"/>
    <w:rsid w:val="00DB6F4E"/>
    <w:rsid w:val="00DC3579"/>
    <w:rsid w:val="00DC3896"/>
    <w:rsid w:val="00DE5FF3"/>
    <w:rsid w:val="00DF24E3"/>
    <w:rsid w:val="00DF74CA"/>
    <w:rsid w:val="00E33A67"/>
    <w:rsid w:val="00E35AA0"/>
    <w:rsid w:val="00E36EA7"/>
    <w:rsid w:val="00E549B9"/>
    <w:rsid w:val="00E84502"/>
    <w:rsid w:val="00E95C64"/>
    <w:rsid w:val="00EA7618"/>
    <w:rsid w:val="00EC71BE"/>
    <w:rsid w:val="00EF278A"/>
    <w:rsid w:val="00EF4B42"/>
    <w:rsid w:val="00F04B88"/>
    <w:rsid w:val="00F0638C"/>
    <w:rsid w:val="00F131C1"/>
    <w:rsid w:val="00F14DAE"/>
    <w:rsid w:val="00F31D5F"/>
    <w:rsid w:val="00F713D6"/>
    <w:rsid w:val="00F77738"/>
    <w:rsid w:val="00F86E39"/>
    <w:rsid w:val="00FD4FCA"/>
    <w:rsid w:val="00FE73A9"/>
    <w:rsid w:val="00FF5F8C"/>
    <w:rsid w:val="00FF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 Paragraph1,List1,List Paragraph11,List Paragraph111,Colorful List - Accent 11,List Paragraph1111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 Paragraph1 Знак,List1 Знак,List Paragraph11 Знак,List Paragraph111 Знак,Colorful List - Accent 11 Знак,List Paragraph1111 Знак"/>
    <w:link w:val="a9"/>
    <w:uiPriority w:val="34"/>
    <w:qFormat/>
    <w:rsid w:val="00993E7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76&amp;Type=201" TargetMode="External"/><Relationship Id="rId13" Type="http://schemas.openxmlformats.org/officeDocument/2006/relationships/hyperlink" Target="http://eumis2020.government.b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gbg.org.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gnpk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gnpk@abv.bg" TargetMode="External"/><Relationship Id="rId10" Type="http://schemas.openxmlformats.org/officeDocument/2006/relationships/hyperlink" Target="https://eumis2020.government.b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371&amp;Type=201" TargetMode="External"/><Relationship Id="rId14" Type="http://schemas.openxmlformats.org/officeDocument/2006/relationships/hyperlink" Target="http://eumis2020.government.b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npk@abv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12CE7-A45B-42F0-B6D9-2D55F81A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1684</Words>
  <Characters>9602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hp</cp:lastModifiedBy>
  <cp:revision>15</cp:revision>
  <cp:lastPrinted>2017-05-09T10:34:00Z</cp:lastPrinted>
  <dcterms:created xsi:type="dcterms:W3CDTF">2018-03-26T09:08:00Z</dcterms:created>
  <dcterms:modified xsi:type="dcterms:W3CDTF">2019-11-28T08:50:00Z</dcterms:modified>
</cp:coreProperties>
</file>