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00152A77" w:rsidRPr="00152A77">
        <w:rPr>
          <w:rFonts w:ascii="Times New Roman" w:hAnsi="Times New Roman"/>
          <w:b/>
          <w:sz w:val="24"/>
          <w:szCs w:val="24"/>
        </w:rPr>
        <w:t>BG</w:t>
      </w:r>
      <w:r w:rsidR="00152A77" w:rsidRPr="00152A77">
        <w:rPr>
          <w:rFonts w:ascii="Times New Roman" w:hAnsi="Times New Roman"/>
          <w:b/>
          <w:sz w:val="24"/>
          <w:szCs w:val="24"/>
          <w:lang w:val="ru-RU"/>
        </w:rPr>
        <w:t>06</w:t>
      </w:r>
      <w:r w:rsidR="00152A77" w:rsidRPr="00152A77">
        <w:rPr>
          <w:rFonts w:ascii="Times New Roman" w:hAnsi="Times New Roman"/>
          <w:b/>
          <w:sz w:val="24"/>
          <w:szCs w:val="24"/>
          <w:lang w:val="en-US"/>
        </w:rPr>
        <w:t>RDNP</w:t>
      </w:r>
      <w:r w:rsidR="00152A77" w:rsidRPr="00152A77">
        <w:rPr>
          <w:rFonts w:ascii="Times New Roman" w:hAnsi="Times New Roman"/>
          <w:b/>
          <w:sz w:val="24"/>
          <w:szCs w:val="24"/>
          <w:lang w:val="ru-RU"/>
        </w:rPr>
        <w:t>001-19.390</w:t>
      </w:r>
      <w:r w:rsidR="00CC15F4" w:rsidRPr="00CF6472">
        <w:rPr>
          <w:rFonts w:ascii="Times New Roman" w:hAnsi="Times New Roman"/>
          <w:b/>
          <w:sz w:val="24"/>
          <w:szCs w:val="24"/>
        </w:rPr>
        <w:t xml:space="preserve"> </w:t>
      </w:r>
      <w:r w:rsidRPr="00CF6472">
        <w:rPr>
          <w:rFonts w:ascii="Times New Roman" w:hAnsi="Times New Roman"/>
          <w:b/>
          <w:sz w:val="24"/>
          <w:szCs w:val="24"/>
        </w:rPr>
        <w:t xml:space="preserve">по Мярка </w:t>
      </w:r>
      <w:r w:rsidR="00152A77">
        <w:rPr>
          <w:rFonts w:ascii="Times New Roman" w:hAnsi="Times New Roman"/>
          <w:b/>
          <w:sz w:val="24"/>
          <w:szCs w:val="24"/>
        </w:rPr>
        <w:t>4</w:t>
      </w:r>
      <w:r w:rsidRPr="00CF6472">
        <w:rPr>
          <w:rFonts w:ascii="Times New Roman" w:hAnsi="Times New Roman"/>
          <w:b/>
          <w:sz w:val="24"/>
          <w:szCs w:val="24"/>
        </w:rPr>
        <w:t>.</w:t>
      </w:r>
      <w:r w:rsidR="00152A77">
        <w:rPr>
          <w:rFonts w:ascii="Times New Roman" w:hAnsi="Times New Roman"/>
          <w:b/>
          <w:sz w:val="24"/>
          <w:szCs w:val="24"/>
        </w:rPr>
        <w:t>1</w:t>
      </w:r>
      <w:r w:rsidRPr="00CF6472">
        <w:rPr>
          <w:rFonts w:ascii="Times New Roman" w:hAnsi="Times New Roman"/>
          <w:b/>
          <w:sz w:val="24"/>
          <w:szCs w:val="24"/>
        </w:rPr>
        <w:t>. „</w:t>
      </w:r>
      <w:r w:rsidR="00152A77" w:rsidRPr="00152A77">
        <w:rPr>
          <w:rFonts w:ascii="Times New Roman" w:hAnsi="Times New Roman"/>
          <w:b/>
          <w:sz w:val="24"/>
          <w:szCs w:val="24"/>
        </w:rPr>
        <w:t>Инвестиции в земеделски стопанства</w:t>
      </w:r>
      <w:r w:rsidRPr="00CF6472">
        <w:rPr>
          <w:rFonts w:ascii="Times New Roman" w:hAnsi="Times New Roman"/>
          <w:b/>
          <w:sz w:val="24"/>
          <w:szCs w:val="24"/>
        </w:rPr>
        <w:t>“</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F51A8" w:rsidRDefault="00E237A7" w:rsidP="00681C8B">
      <w:pPr>
        <w:pStyle w:val="Default"/>
        <w:jc w:val="both"/>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p>
    <w:p w:rsidR="006F51A8" w:rsidRDefault="00152A77" w:rsidP="00681C8B">
      <w:pPr>
        <w:pStyle w:val="Default"/>
        <w:jc w:val="both"/>
        <w:rPr>
          <w:rFonts w:ascii="Times New Roman" w:eastAsia="Calibri" w:hAnsi="Times New Roman" w:cs="Times New Roman"/>
          <w:color w:val="auto"/>
          <w:lang w:val="bg-BG" w:eastAsia="bg-BG"/>
        </w:rPr>
      </w:pPr>
      <w:r w:rsidRPr="00152A77">
        <w:rPr>
          <w:rFonts w:ascii="Times New Roman" w:eastAsia="Calibri" w:hAnsi="Times New Roman" w:cs="Times New Roman"/>
          <w:color w:val="auto"/>
          <w:lang w:val="bg-BG" w:eastAsia="bg-BG"/>
        </w:rPr>
        <w:t xml:space="preserve">Общата цел на мярка 4.1. от Стратегията за ВОМР е подпомагане на конкурентоспособността на земеделието на територията на МИГ </w:t>
      </w:r>
      <w:r>
        <w:rPr>
          <w:rFonts w:ascii="Times New Roman" w:eastAsia="Calibri" w:hAnsi="Times New Roman" w:cs="Times New Roman"/>
          <w:color w:val="auto"/>
          <w:lang w:val="bg-BG" w:eastAsia="bg-BG"/>
        </w:rPr>
        <w:t>„</w:t>
      </w:r>
      <w:r w:rsidRPr="00152A77">
        <w:rPr>
          <w:rFonts w:ascii="Times New Roman" w:eastAsia="Calibri" w:hAnsi="Times New Roman" w:cs="Times New Roman"/>
          <w:color w:val="auto"/>
          <w:lang w:val="bg-BG" w:eastAsia="bg-BG"/>
        </w:rPr>
        <w:t>Долни Чифлик и Бяла</w:t>
      </w:r>
      <w:r>
        <w:rPr>
          <w:rFonts w:ascii="Times New Roman" w:eastAsia="Calibri" w:hAnsi="Times New Roman" w:cs="Times New Roman"/>
          <w:color w:val="auto"/>
          <w:lang w:val="bg-BG" w:eastAsia="bg-BG"/>
        </w:rPr>
        <w:t>“</w:t>
      </w:r>
      <w:r w:rsidRPr="00152A77">
        <w:rPr>
          <w:rFonts w:ascii="Times New Roman" w:eastAsia="Calibri" w:hAnsi="Times New Roman" w:cs="Times New Roman"/>
          <w:color w:val="auto"/>
          <w:lang w:val="bg-BG" w:eastAsia="bg-BG"/>
        </w:rPr>
        <w:t xml:space="preserve"> посредством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спазване стандартите на Европейския съюз (ЕС) и подобряване на условията в земеделските стопанства.</w:t>
      </w:r>
    </w:p>
    <w:p w:rsidR="00681C8B" w:rsidRPr="008B657A" w:rsidRDefault="006F51A8" w:rsidP="00681C8B">
      <w:pPr>
        <w:pStyle w:val="Default"/>
        <w:jc w:val="both"/>
        <w:rPr>
          <w:rFonts w:ascii="Times New Roman" w:eastAsia="Calibri" w:hAnsi="Times New Roman" w:cs="Times New Roman"/>
          <w:color w:val="auto"/>
          <w:lang w:val="bg-BG" w:eastAsia="bg-BG"/>
        </w:rPr>
      </w:pPr>
      <w:r w:rsidRPr="006F51A8">
        <w:rPr>
          <w:rFonts w:ascii="Times New Roman" w:eastAsia="Calibri" w:hAnsi="Times New Roman" w:cs="Times New Roman"/>
          <w:color w:val="auto"/>
          <w:lang w:val="bg-BG" w:eastAsia="bg-BG"/>
        </w:rPr>
        <w:t>Проектите по процедурата се изпълняват на територията на общините Долни Чифлик и Бяла</w:t>
      </w:r>
      <w:r>
        <w:rPr>
          <w:rFonts w:ascii="Times New Roman" w:eastAsia="Calibri" w:hAnsi="Times New Roman" w:cs="Times New Roman"/>
          <w:color w:val="auto"/>
          <w:lang w:val="bg-BG" w:eastAsia="bg-BG"/>
        </w:rPr>
        <w:t>.</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152A77"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152A77">
        <w:rPr>
          <w:rFonts w:ascii="Times New Roman" w:eastAsia="Times New Roman" w:hAnsi="Times New Roman"/>
          <w:noProof/>
          <w:color w:val="000000"/>
          <w:sz w:val="24"/>
          <w:szCs w:val="24"/>
        </w:rPr>
        <w:t>4</w:t>
      </w:r>
      <w:r w:rsidR="00B269F5" w:rsidRPr="008B657A">
        <w:rPr>
          <w:rFonts w:ascii="Times New Roman" w:eastAsia="Times New Roman" w:hAnsi="Times New Roman"/>
          <w:noProof/>
          <w:color w:val="000000"/>
          <w:sz w:val="24"/>
          <w:szCs w:val="24"/>
          <w:lang w:val="fr-BE"/>
        </w:rPr>
        <w:t>.</w:t>
      </w:r>
      <w:r w:rsidR="00152A77">
        <w:rPr>
          <w:rFonts w:ascii="Times New Roman" w:eastAsia="Times New Roman" w:hAnsi="Times New Roman"/>
          <w:noProof/>
          <w:color w:val="000000"/>
          <w:sz w:val="24"/>
          <w:szCs w:val="24"/>
        </w:rPr>
        <w:t>1</w:t>
      </w:r>
      <w:r w:rsidR="00B269F5" w:rsidRPr="008B657A">
        <w:rPr>
          <w:rFonts w:ascii="Times New Roman" w:eastAsia="Times New Roman" w:hAnsi="Times New Roman"/>
          <w:noProof/>
          <w:color w:val="000000"/>
          <w:sz w:val="24"/>
          <w:szCs w:val="24"/>
          <w:lang w:val="fr-BE"/>
        </w:rPr>
        <w:t xml:space="preserve">. </w:t>
      </w:r>
      <w:r w:rsidR="00152A77">
        <w:rPr>
          <w:rFonts w:ascii="Times New Roman" w:eastAsia="Times New Roman" w:hAnsi="Times New Roman"/>
          <w:noProof/>
          <w:color w:val="000000"/>
          <w:sz w:val="24"/>
          <w:szCs w:val="24"/>
        </w:rPr>
        <w:t>Инвестиции в земеделски стопанства</w:t>
      </w:r>
    </w:p>
    <w:p w:rsidR="000D3562" w:rsidRPr="008B657A" w:rsidRDefault="000D3562" w:rsidP="007B2FF1">
      <w:pPr>
        <w:spacing w:after="0" w:line="240" w:lineRule="auto"/>
        <w:jc w:val="both"/>
        <w:rPr>
          <w:rFonts w:ascii="Times New Roman" w:hAnsi="Times New Roman"/>
          <w:color w:val="000000"/>
          <w:sz w:val="24"/>
          <w:szCs w:val="24"/>
          <w:lang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За подпомагане по </w:t>
      </w:r>
      <w:proofErr w:type="spellStart"/>
      <w:r w:rsidRPr="00152A77">
        <w:rPr>
          <w:rFonts w:ascii="Times New Roman" w:hAnsi="Times New Roman"/>
          <w:color w:val="000000"/>
          <w:sz w:val="24"/>
          <w:szCs w:val="24"/>
          <w:lang w:eastAsia="bg-BG"/>
        </w:rPr>
        <w:t>подмярка</w:t>
      </w:r>
      <w:proofErr w:type="spellEnd"/>
      <w:r w:rsidRPr="00152A77">
        <w:rPr>
          <w:rFonts w:ascii="Times New Roman" w:hAnsi="Times New Roman"/>
          <w:color w:val="000000"/>
          <w:sz w:val="24"/>
          <w:szCs w:val="24"/>
          <w:lang w:eastAsia="bg-BG"/>
        </w:rPr>
        <w:t xml:space="preserve"> 4.1. могат да кандидатстват лица, които към датата на подаване на заявлението за подпомагане са:</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w:t>
      </w:r>
      <w:r w:rsidR="006F51A8">
        <w:rPr>
          <w:rFonts w:ascii="Times New Roman" w:hAnsi="Times New Roman"/>
          <w:color w:val="000000"/>
          <w:sz w:val="24"/>
          <w:szCs w:val="24"/>
          <w:lang w:eastAsia="bg-BG"/>
        </w:rPr>
        <w:t>З</w:t>
      </w:r>
      <w:r w:rsidRPr="00152A77">
        <w:rPr>
          <w:rFonts w:ascii="Times New Roman" w:hAnsi="Times New Roman"/>
          <w:color w:val="000000"/>
          <w:sz w:val="24"/>
          <w:szCs w:val="24"/>
          <w:lang w:eastAsia="bg-BG"/>
        </w:rPr>
        <w:t>емеделски стопани /физически и юридически лица/, отговарящи на следните условия за допустимост:</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1.1. имат постоянен адрес – за физическите лица, и седалище и адрес на управление – за еднолични търговци и юридическите лица, на територията на действие на МИГ „Долни Чифлик и Бяла“ и осъществяват дейностите по проекта на територията на действие на МИГ;</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1.2. да са регистрирани като земеделски стопани съгласно чл. 7, ал. 1 от Закона за подпомагане на земеделските производители;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1.3. минималният стандартен производствен обем на земеделското им стопанство за текущата стопанска година е не по-малко от левовата равностойност на 8 000 евро;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lastRenderedPageBreak/>
        <w:t>1.4. земеделските стопани-юридически лица трябва да отговарят и на следните условия за допустимост:</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1.4.1.</w:t>
      </w:r>
      <w:r w:rsidRPr="00152A77">
        <w:rPr>
          <w:rFonts w:ascii="Times New Roman" w:hAnsi="Times New Roman"/>
          <w:color w:val="000000"/>
          <w:sz w:val="24"/>
          <w:szCs w:val="24"/>
          <w:lang w:eastAsia="bg-BG"/>
        </w:rPr>
        <w:tab/>
        <w:t>Да са регистрирани по Търговския закон, Закона за кооперациите, Закона за вероизповеданията или създадени по Закона за Селскостопанската академия;</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1.4.2.</w:t>
      </w:r>
      <w:r w:rsidRPr="00152A77">
        <w:rPr>
          <w:rFonts w:ascii="Times New Roman" w:hAnsi="Times New Roman"/>
          <w:color w:val="000000"/>
          <w:sz w:val="24"/>
          <w:szCs w:val="24"/>
          <w:lang w:eastAsia="bg-BG"/>
        </w:rPr>
        <w:tab/>
        <w:t>Да са получили за предходната или текущата 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Критерият за допустимост по т. 1.4.2. не се прилага за кандидати, създадени до 1 година преди кандидатстването за проекти с инвестиции в: сектор „животновъдство”, сектор „плодове и зеленчуци” и производство на „етерично – маслени и медицински култури”, включително с инвестиции, в обхвата на два или повече от тези сектори.</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Минималният стандартен производствен обем на земеделското стопанство по т. 1.3 се доказва със:</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1. регистрация на обработваната от кандидата земя и отглежданите животни в Интегрираната система за администриране и контрол и декларация (по образец) за изчисление на минималния стандартен производствен обем на стопанството през текущата стопанска година към момента на кандидатстване; или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2.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 декларация по образец към Условия за кандидатстване - за изчисление на минималния стандартен производствен обем на стопанството през текущата стопанска година към момента на кандидатстване; или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3. анкетните формуляри от анкетна карта/анкетни карти на земеделския стопанин, издадени по реда на 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 и декларация по образец за изчисление на минималния стандартен производствен обем на стопанството през текущата стопанска година към момента на кандидатстване.</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Когато минималният стандартен производствен обем се доказва с намерения за засаждане/засяване през текущата стопанска година, в декларацията за видовете култури задължително се посочва конкретен период, в рамките на който ще се извърши засаждането/засяването на културите. В този случай минималният стандартен производствен обем трябва да е достигнат и за предходната стопанска година и се доказва с документите по т. 1-3 за предходната стопанска година.</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Не са допустими за подпомагане юридически лица или еднолични търговци, имащи  клон на територията на МИГ, ако юридическите лица или едноличните търговци, открили клона, нямат </w:t>
      </w:r>
      <w:r w:rsidRPr="00152A77">
        <w:rPr>
          <w:rFonts w:ascii="Times New Roman" w:hAnsi="Times New Roman"/>
          <w:color w:val="000000"/>
          <w:sz w:val="24"/>
          <w:szCs w:val="24"/>
          <w:lang w:eastAsia="bg-BG"/>
        </w:rPr>
        <w:lastRenderedPageBreak/>
        <w:t>постоянен адрес или седалище на територията на МИГ и/ или дейностите по проекта не се изпълняват на територията на МИГ „Долни Чифлик и Бяла“.</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p w:rsidR="00B269F5" w:rsidRPr="008B657A" w:rsidRDefault="00681C8B" w:rsidP="00681C8B">
      <w:pPr>
        <w:spacing w:after="0" w:line="240" w:lineRule="auto"/>
        <w:ind w:firstLine="720"/>
        <w:jc w:val="both"/>
        <w:rPr>
          <w:rFonts w:ascii="Times New Roman" w:hAnsi="Times New Roman"/>
          <w:sz w:val="24"/>
          <w:szCs w:val="24"/>
          <w:lang w:eastAsia="bg-BG"/>
        </w:rPr>
      </w:pPr>
      <w:r w:rsidRPr="00681C8B">
        <w:rPr>
          <w:rFonts w:ascii="Times New Roman" w:hAnsi="Times New Roman"/>
          <w:color w:val="000000"/>
          <w:sz w:val="24"/>
          <w:szCs w:val="24"/>
          <w:lang w:eastAsia="bg-BG"/>
        </w:rPr>
        <w:t xml:space="preserve"> </w:t>
      </w: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По мярка 4.1. „Инвестиции в земеделските стопанства“ от Стратегията за ВОМР се подпомагат проекти, изпълнявани на територията на МИГ, които водят до подобряване на цялостната дейност на земеделското стопанство чрез:</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внедряване на нови продукти, процеси и технологии и обновяване на наличните производствени материални и/или нематериални активи;</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опазване на компонентите на околната среда, включително с намаляване на вредните емисии и отпадъци и прилагане на устойчиви земеделски практики;</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повишаване на енергийната ефективност в земеделските стопанства;</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 xml:space="preserve">и/или подобряване условията на труд, подобряване на хигиенните, ветеринарните, </w:t>
      </w:r>
      <w:proofErr w:type="spellStart"/>
      <w:r w:rsidRPr="00152A77">
        <w:rPr>
          <w:rFonts w:ascii="Times New Roman" w:eastAsia="Calibri" w:hAnsi="Times New Roman" w:cs="Times New Roman"/>
          <w:lang w:val="bg-BG" w:eastAsia="bg-BG"/>
        </w:rPr>
        <w:t>фитосанитарните</w:t>
      </w:r>
      <w:proofErr w:type="spellEnd"/>
      <w:r w:rsidRPr="00152A77">
        <w:rPr>
          <w:rFonts w:ascii="Times New Roman" w:eastAsia="Calibri" w:hAnsi="Times New Roman" w:cs="Times New Roman"/>
          <w:lang w:val="bg-BG" w:eastAsia="bg-BG"/>
        </w:rPr>
        <w:t>, екологичните и други условия на производство;</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подобряване качеството на произвежданите земеделски продукти;</w:t>
      </w:r>
    </w:p>
    <w:p w:rsidR="005E6770" w:rsidRPr="005E6770" w:rsidRDefault="00152A77" w:rsidP="00152A77">
      <w:pPr>
        <w:pStyle w:val="Default"/>
        <w:jc w:val="both"/>
        <w:rPr>
          <w:rFonts w:ascii="Times New Roman" w:eastAsia="Calibri" w:hAnsi="Times New Roman" w:cs="Times New Roman"/>
          <w:color w:val="auto"/>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осигуряване на възможностите за производство на биологични земеделски продукти.</w:t>
      </w:r>
      <w:r w:rsidR="005E6770" w:rsidRPr="005E6770">
        <w:rPr>
          <w:rFonts w:ascii="Times New Roman" w:hAnsi="Times New Roman"/>
          <w:lang w:eastAsia="bg-BG"/>
        </w:rPr>
        <w:t xml:space="preserve"> </w:t>
      </w:r>
    </w:p>
    <w:p w:rsidR="005E6770" w:rsidRPr="005E6770" w:rsidRDefault="005E6770" w:rsidP="005E6770">
      <w:pPr>
        <w:autoSpaceDE w:val="0"/>
        <w:autoSpaceDN w:val="0"/>
        <w:adjustRightInd w:val="0"/>
        <w:spacing w:after="0" w:line="240" w:lineRule="auto"/>
        <w:jc w:val="both"/>
        <w:rPr>
          <w:rFonts w:ascii="Times New Roman" w:hAnsi="Times New Roman"/>
          <w:color w:val="000000"/>
          <w:sz w:val="24"/>
          <w:szCs w:val="24"/>
          <w:lang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разходи:</w:t>
      </w:r>
    </w:p>
    <w:p w:rsidR="00152A77" w:rsidRPr="00152A77" w:rsidRDefault="00152A77" w:rsidP="00152A77">
      <w:pPr>
        <w:spacing w:after="0" w:line="240" w:lineRule="auto"/>
        <w:jc w:val="both"/>
        <w:rPr>
          <w:rFonts w:ascii="Times New Roman" w:hAnsi="Times New Roman"/>
          <w:color w:val="000000"/>
          <w:sz w:val="24"/>
          <w:szCs w:val="24"/>
          <w:lang w:eastAsia="bg-BG"/>
        </w:rPr>
      </w:pPr>
      <w:bookmarkStart w:id="0" w:name="_Hlk512322837"/>
      <w:r w:rsidRPr="00152A77">
        <w:rPr>
          <w:rFonts w:ascii="Times New Roman" w:hAnsi="Times New Roman"/>
          <w:color w:val="000000"/>
          <w:sz w:val="24"/>
          <w:szCs w:val="24"/>
          <w:lang w:eastAsia="bg-BG"/>
        </w:rPr>
        <w:t>В съответствие с чл.</w:t>
      </w:r>
      <w:r w:rsidRPr="00152A77">
        <w:rPr>
          <w:rFonts w:ascii="Times New Roman" w:hAnsi="Times New Roman"/>
          <w:color w:val="000000"/>
          <w:sz w:val="24"/>
          <w:szCs w:val="24"/>
          <w:lang w:val="ru-RU" w:eastAsia="bg-BG"/>
        </w:rPr>
        <w:t xml:space="preserve"> </w:t>
      </w:r>
      <w:r w:rsidRPr="00152A77">
        <w:rPr>
          <w:rFonts w:ascii="Times New Roman" w:hAnsi="Times New Roman"/>
          <w:color w:val="000000"/>
          <w:sz w:val="24"/>
          <w:szCs w:val="24"/>
          <w:lang w:eastAsia="bg-BG"/>
        </w:rPr>
        <w:t xml:space="preserve">67 от Регламент (ЕС) № 1303/2013 на Европейския парламент и на Съвета от 17 декември 2013 година  за определяне на </w:t>
      </w:r>
      <w:proofErr w:type="spellStart"/>
      <w:r w:rsidRPr="00152A77">
        <w:rPr>
          <w:rFonts w:ascii="Times New Roman" w:hAnsi="Times New Roman"/>
          <w:color w:val="000000"/>
          <w:sz w:val="24"/>
          <w:szCs w:val="24"/>
          <w:lang w:eastAsia="bg-BG"/>
        </w:rPr>
        <w:t>общоприложими</w:t>
      </w:r>
      <w:proofErr w:type="spellEnd"/>
      <w:r w:rsidRPr="00152A77">
        <w:rPr>
          <w:rFonts w:ascii="Times New Roman" w:hAnsi="Times New Roman"/>
          <w:color w:val="000000"/>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b/>
          <w:bCs/>
          <w:color w:val="000000"/>
          <w:sz w:val="24"/>
          <w:szCs w:val="24"/>
          <w:lang w:eastAsia="bg-BG"/>
        </w:rPr>
        <w:t>Допустимите разходи, включват разходи, които са необходими за осъществяване на проекта и са съобразени с принципите на разумно финансово управление, действително извършени и платени в периода на изпълнение на проекта</w:t>
      </w:r>
      <w:r w:rsidRPr="00152A77">
        <w:rPr>
          <w:rFonts w:ascii="Times New Roman" w:hAnsi="Times New Roman"/>
          <w:color w:val="000000"/>
          <w:sz w:val="24"/>
          <w:szCs w:val="24"/>
          <w:lang w:eastAsia="bg-BG"/>
        </w:rPr>
        <w:t xml:space="preserve">: </w:t>
      </w:r>
    </w:p>
    <w:bookmarkEnd w:id="0"/>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2.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включително свързани с опазване на околната среда, съхранение и подготовка за продажба на </w:t>
      </w:r>
      <w:r w:rsidRPr="007B2FF1">
        <w:rPr>
          <w:rFonts w:ascii="Times New Roman" w:hAnsi="Times New Roman"/>
          <w:color w:val="000000"/>
          <w:sz w:val="24"/>
          <w:szCs w:val="24"/>
          <w:lang w:eastAsia="bg-BG"/>
        </w:rPr>
        <w:lastRenderedPageBreak/>
        <w:t xml:space="preserve">земеделска продукция от стопанството, получаване на топлинна и/или електроенергия, необходими за земеделските дейности в стопанството, подобряване на енергийната ефективност;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3. създаване и/или </w:t>
      </w:r>
      <w:proofErr w:type="spellStart"/>
      <w:r w:rsidRPr="007B2FF1">
        <w:rPr>
          <w:rFonts w:ascii="Times New Roman" w:hAnsi="Times New Roman"/>
          <w:color w:val="000000"/>
          <w:sz w:val="24"/>
          <w:szCs w:val="24"/>
          <w:lang w:eastAsia="bg-BG"/>
        </w:rPr>
        <w:t>презасаждане</w:t>
      </w:r>
      <w:proofErr w:type="spellEnd"/>
      <w:r w:rsidRPr="007B2FF1">
        <w:rPr>
          <w:rFonts w:ascii="Times New Roman" w:hAnsi="Times New Roman"/>
          <w:color w:val="000000"/>
          <w:sz w:val="24"/>
          <w:szCs w:val="24"/>
          <w:lang w:eastAsia="bg-BG"/>
        </w:rPr>
        <w:t xml:space="preserve">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4. разходи за достигане съответствие с </w:t>
      </w:r>
      <w:proofErr w:type="spellStart"/>
      <w:r w:rsidRPr="007B2FF1">
        <w:rPr>
          <w:rFonts w:ascii="Times New Roman" w:hAnsi="Times New Roman"/>
          <w:color w:val="000000"/>
          <w:sz w:val="24"/>
          <w:szCs w:val="24"/>
          <w:lang w:eastAsia="bg-BG"/>
        </w:rPr>
        <w:t>нововъведените</w:t>
      </w:r>
      <w:proofErr w:type="spellEnd"/>
      <w:r w:rsidRPr="007B2FF1">
        <w:rPr>
          <w:rFonts w:ascii="Times New Roman" w:hAnsi="Times New Roman"/>
          <w:color w:val="000000"/>
          <w:sz w:val="24"/>
          <w:szCs w:val="24"/>
          <w:lang w:eastAsia="bg-BG"/>
        </w:rPr>
        <w:t xml:space="preserve"> стандарти на ЕС,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5. закупуване на: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6. разходи за достигане на съответствие със съществуващи стандарти на ЕС –за млади земеделски производители от 18 до 40 години включително;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7. закупуване на земя, необходима за изграждане/модернизиране на сгради, помещения и други недвижими активи предназначени за земеделските производствени дейности и/или за създаване/</w:t>
      </w:r>
      <w:proofErr w:type="spellStart"/>
      <w:r w:rsidRPr="007B2FF1">
        <w:rPr>
          <w:rFonts w:ascii="Times New Roman" w:hAnsi="Times New Roman"/>
          <w:color w:val="000000"/>
          <w:sz w:val="24"/>
          <w:szCs w:val="24"/>
          <w:lang w:eastAsia="bg-BG"/>
        </w:rPr>
        <w:t>презасаждане</w:t>
      </w:r>
      <w:proofErr w:type="spellEnd"/>
      <w:r w:rsidRPr="007B2FF1">
        <w:rPr>
          <w:rFonts w:ascii="Times New Roman" w:hAnsi="Times New Roman"/>
          <w:color w:val="000000"/>
          <w:sz w:val="24"/>
          <w:szCs w:val="24"/>
          <w:lang w:eastAsia="bg-BG"/>
        </w:rPr>
        <w:t xml:space="preserve"> на трайни насаждения /до 10 % от общия размер на допустимите инвестиционни разходи/;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8. закупуване, включително чрез финансов лизинг, на специализирани земеделски транспортни средства, като например: камиони, цистерни за събиране на мляко, хладилни превозни средства за транспортиране на продукция, превозни средства за транспортиране на живи животни и птици, и др.;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9. разходи за достигане на съответствие с международно признати стандарти, свързани с въвеждане на системи за управление на качеството в земеделските стопанства, въвеждане на добри производствени практики, подготовка за сертификация;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10. закупуване на софтуер,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11. за ноу-хау, придобиване на патенти права и лицензи, за регистрация на търговски марки и процеси, необходими за изготвяне и изпълнение на проекта;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12. разходи, свързани с проекта, в т.ч. разходи за </w:t>
      </w:r>
      <w:proofErr w:type="spellStart"/>
      <w:r w:rsidRPr="007B2FF1">
        <w:rPr>
          <w:rFonts w:ascii="Times New Roman" w:hAnsi="Times New Roman"/>
          <w:color w:val="000000"/>
          <w:sz w:val="24"/>
          <w:szCs w:val="24"/>
          <w:lang w:eastAsia="bg-BG"/>
        </w:rPr>
        <w:t>предпроектни</w:t>
      </w:r>
      <w:proofErr w:type="spellEnd"/>
      <w:r w:rsidRPr="007B2FF1">
        <w:rPr>
          <w:rFonts w:ascii="Times New Roman" w:hAnsi="Times New Roman"/>
          <w:color w:val="000000"/>
          <w:sz w:val="24"/>
          <w:szCs w:val="24"/>
          <w:lang w:eastAsia="bg-BG"/>
        </w:rPr>
        <w:t xml:space="preserve">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11.</w:t>
      </w:r>
    </w:p>
    <w:p w:rsidR="005E6770"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13. Разходи за консултантски услуги, свързани с подготовката и управлението на проекта, не следва да надхвърлят 5 на сто от общия размер на допустимите разходи по проект, включени в т. 1 – 11.</w:t>
      </w:r>
    </w:p>
    <w:p w:rsidR="007B2FF1" w:rsidRDefault="007B2FF1" w:rsidP="007B2FF1">
      <w:pPr>
        <w:spacing w:after="0" w:line="240" w:lineRule="auto"/>
        <w:jc w:val="both"/>
        <w:rPr>
          <w:rFonts w:ascii="Times New Roman" w:hAnsi="Times New Roman"/>
          <w:color w:val="000000"/>
          <w:sz w:val="24"/>
          <w:szCs w:val="24"/>
          <w:lang w:eastAsia="bg-BG"/>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7B2FF1" w:rsidRDefault="007B2FF1"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p>
    <w:p w:rsidR="00781537" w:rsidRPr="00C82006" w:rsidRDefault="00C82006"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r>
        <w:rPr>
          <w:rFonts w:ascii="Times New Roman" w:eastAsia="Times New Roman" w:hAnsi="Times New Roman"/>
          <w:b/>
          <w:bCs/>
          <w:i/>
          <w:sz w:val="24"/>
          <w:szCs w:val="24"/>
          <w:u w:val="single"/>
          <w:lang w:eastAsia="bg-BG"/>
        </w:rPr>
        <w:t>Първи прием:</w:t>
      </w:r>
    </w:p>
    <w:p w:rsidR="00781537"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w:t>
      </w:r>
      <w:r w:rsidR="00781537" w:rsidRPr="00BF580C">
        <w:rPr>
          <w:rFonts w:ascii="Times New Roman" w:eastAsia="Times New Roman" w:hAnsi="Times New Roman"/>
          <w:b/>
          <w:bCs/>
          <w:sz w:val="24"/>
          <w:szCs w:val="24"/>
          <w:lang w:eastAsia="bg-BG"/>
        </w:rPr>
        <w:t xml:space="preserve">от </w:t>
      </w:r>
      <w:r w:rsidR="00152A77">
        <w:rPr>
          <w:rFonts w:ascii="Times New Roman" w:eastAsia="Times New Roman" w:hAnsi="Times New Roman"/>
          <w:bCs/>
          <w:sz w:val="24"/>
          <w:szCs w:val="24"/>
          <w:lang w:eastAsia="bg-BG"/>
        </w:rPr>
        <w:t>01</w:t>
      </w:r>
      <w:r w:rsidR="005A395B">
        <w:rPr>
          <w:rFonts w:ascii="Times New Roman" w:eastAsia="Times New Roman" w:hAnsi="Times New Roman"/>
          <w:bCs/>
          <w:sz w:val="24"/>
          <w:szCs w:val="24"/>
          <w:lang w:eastAsia="bg-BG"/>
        </w:rPr>
        <w:t>.0</w:t>
      </w:r>
      <w:r w:rsidR="004A3D1A">
        <w:rPr>
          <w:rFonts w:ascii="Times New Roman" w:eastAsia="Times New Roman" w:hAnsi="Times New Roman"/>
          <w:bCs/>
          <w:sz w:val="24"/>
          <w:szCs w:val="24"/>
          <w:lang w:eastAsia="bg-BG"/>
        </w:rPr>
        <w:t>5</w:t>
      </w:r>
      <w:r w:rsidRPr="008B657A">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81537" w:rsidRPr="008B657A">
        <w:rPr>
          <w:rFonts w:ascii="Times New Roman" w:eastAsia="Times New Roman" w:hAnsi="Times New Roman"/>
          <w:bCs/>
          <w:sz w:val="24"/>
          <w:szCs w:val="24"/>
          <w:lang w:val="en-US" w:eastAsia="bg-BG"/>
        </w:rPr>
        <w:t xml:space="preserve"> </w:t>
      </w:r>
      <w:r w:rsidR="00781537" w:rsidRPr="008B657A">
        <w:rPr>
          <w:rFonts w:ascii="Times New Roman" w:eastAsia="Times New Roman" w:hAnsi="Times New Roman"/>
          <w:bCs/>
          <w:sz w:val="24"/>
          <w:szCs w:val="24"/>
          <w:lang w:eastAsia="bg-BG"/>
        </w:rPr>
        <w:t xml:space="preserve">г. </w:t>
      </w:r>
    </w:p>
    <w:p w:rsidR="00BF580C" w:rsidRDefault="00BF580C"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val="en-US" w:eastAsia="bg-BG"/>
        </w:rPr>
      </w:pPr>
    </w:p>
    <w:p w:rsidR="00840D8E"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152A77">
        <w:rPr>
          <w:rFonts w:ascii="Times New Roman" w:eastAsia="Times New Roman" w:hAnsi="Times New Roman"/>
          <w:bCs/>
          <w:sz w:val="24"/>
          <w:szCs w:val="24"/>
          <w:lang w:eastAsia="bg-BG"/>
        </w:rPr>
        <w:t>0</w:t>
      </w:r>
      <w:r w:rsidR="004A3D1A">
        <w:rPr>
          <w:rFonts w:ascii="Times New Roman" w:eastAsia="Times New Roman" w:hAnsi="Times New Roman"/>
          <w:bCs/>
          <w:sz w:val="24"/>
          <w:szCs w:val="24"/>
          <w:lang w:eastAsia="bg-BG"/>
        </w:rPr>
        <w:t>3</w:t>
      </w:r>
      <w:r w:rsidR="005A395B">
        <w:rPr>
          <w:rFonts w:ascii="Times New Roman" w:eastAsia="Times New Roman" w:hAnsi="Times New Roman"/>
          <w:bCs/>
          <w:sz w:val="24"/>
          <w:szCs w:val="24"/>
          <w:lang w:eastAsia="bg-BG"/>
        </w:rPr>
        <w:t>.0</w:t>
      </w:r>
      <w:r w:rsidR="004A3D1A">
        <w:rPr>
          <w:rFonts w:ascii="Times New Roman" w:eastAsia="Times New Roman" w:hAnsi="Times New Roman"/>
          <w:bCs/>
          <w:sz w:val="24"/>
          <w:szCs w:val="24"/>
          <w:lang w:eastAsia="bg-BG"/>
        </w:rPr>
        <w:t>7</w:t>
      </w:r>
      <w:r w:rsidR="005A395B">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50D30">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w:t>
      </w:r>
      <w:r w:rsidR="00152A77">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7A1B37" w:rsidRDefault="007A1B37" w:rsidP="007A1B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i/>
          <w:sz w:val="24"/>
          <w:szCs w:val="24"/>
          <w:u w:val="single"/>
          <w:lang w:eastAsia="bg-BG"/>
        </w:rPr>
      </w:pPr>
    </w:p>
    <w:p w:rsidR="007A1B37" w:rsidRDefault="007A1B37"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Cs/>
          <w:sz w:val="24"/>
          <w:szCs w:val="24"/>
          <w:lang w:eastAsia="bg-BG"/>
        </w:rPr>
      </w:pPr>
      <w:r w:rsidRPr="00781537">
        <w:rPr>
          <w:rFonts w:ascii="Times New Roman" w:eastAsia="Times New Roman" w:hAnsi="Times New Roman"/>
          <w:b/>
          <w:bCs/>
          <w:i/>
          <w:sz w:val="24"/>
          <w:szCs w:val="24"/>
          <w:u w:val="single"/>
          <w:lang w:eastAsia="bg-BG"/>
        </w:rPr>
        <w:t xml:space="preserve">Втори </w:t>
      </w:r>
      <w:r w:rsidR="00C82006">
        <w:rPr>
          <w:rFonts w:ascii="Times New Roman" w:eastAsia="Times New Roman" w:hAnsi="Times New Roman"/>
          <w:b/>
          <w:bCs/>
          <w:i/>
          <w:sz w:val="24"/>
          <w:szCs w:val="24"/>
          <w:u w:val="single"/>
          <w:lang w:eastAsia="bg-BG"/>
        </w:rPr>
        <w:t>прием</w:t>
      </w:r>
      <w:r w:rsidRPr="00781537">
        <w:rPr>
          <w:rFonts w:ascii="Times New Roman" w:eastAsia="Times New Roman" w:hAnsi="Times New Roman"/>
          <w:b/>
          <w:bCs/>
          <w:i/>
          <w:sz w:val="24"/>
          <w:szCs w:val="24"/>
          <w:u w:val="single"/>
          <w:lang w:eastAsia="bg-BG"/>
        </w:rPr>
        <w:t xml:space="preserve"> </w:t>
      </w:r>
      <w:r w:rsidR="00C82006">
        <w:rPr>
          <w:rFonts w:ascii="Times New Roman" w:eastAsia="Times New Roman" w:hAnsi="Times New Roman"/>
          <w:b/>
          <w:bCs/>
          <w:i/>
          <w:sz w:val="24"/>
          <w:szCs w:val="24"/>
          <w:u w:val="single"/>
          <w:lang w:eastAsia="bg-BG"/>
        </w:rPr>
        <w:t xml:space="preserve">: </w:t>
      </w:r>
      <w:r w:rsidRPr="00781537">
        <w:rPr>
          <w:rFonts w:ascii="Times New Roman" w:eastAsia="Times New Roman" w:hAnsi="Times New Roman"/>
          <w:bCs/>
          <w:i/>
          <w:sz w:val="24"/>
          <w:szCs w:val="24"/>
          <w:lang w:eastAsia="bg-BG"/>
        </w:rPr>
        <w:t>/в случай, че са налични остатъчни средства от първи краен срок за подаване на проектни предложения</w:t>
      </w:r>
      <w:r w:rsidRPr="004B136F">
        <w:rPr>
          <w:rFonts w:ascii="Times New Roman" w:eastAsia="Times New Roman" w:hAnsi="Times New Roman"/>
          <w:bCs/>
          <w:sz w:val="24"/>
          <w:szCs w:val="24"/>
          <w:lang w:eastAsia="bg-BG"/>
        </w:rPr>
        <w:t>/</w:t>
      </w: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прием на проектни предложения  от </w:t>
      </w:r>
      <w:r w:rsidR="00152A77">
        <w:rPr>
          <w:rFonts w:ascii="Times New Roman" w:eastAsia="Times New Roman" w:hAnsi="Times New Roman"/>
          <w:bCs/>
          <w:sz w:val="24"/>
          <w:szCs w:val="24"/>
          <w:lang w:eastAsia="bg-BG"/>
        </w:rPr>
        <w:t>30</w:t>
      </w:r>
      <w:r>
        <w:rPr>
          <w:rFonts w:ascii="Times New Roman" w:eastAsia="Times New Roman" w:hAnsi="Times New Roman"/>
          <w:bCs/>
          <w:sz w:val="24"/>
          <w:szCs w:val="24"/>
          <w:lang w:eastAsia="bg-BG"/>
        </w:rPr>
        <w:t>.10.20</w:t>
      </w:r>
      <w:r w:rsidR="00152A77">
        <w:rPr>
          <w:rFonts w:ascii="Times New Roman" w:eastAsia="Times New Roman" w:hAnsi="Times New Roman"/>
          <w:bCs/>
          <w:sz w:val="24"/>
          <w:szCs w:val="24"/>
          <w:lang w:eastAsia="bg-BG"/>
        </w:rPr>
        <w:t xml:space="preserve">20 </w:t>
      </w:r>
      <w:r>
        <w:rPr>
          <w:rFonts w:ascii="Times New Roman" w:eastAsia="Times New Roman" w:hAnsi="Times New Roman"/>
          <w:bCs/>
          <w:sz w:val="24"/>
          <w:szCs w:val="24"/>
          <w:lang w:eastAsia="bg-BG"/>
        </w:rPr>
        <w:t>г</w:t>
      </w:r>
      <w:r w:rsidRPr="008B657A">
        <w:rPr>
          <w:rFonts w:ascii="Times New Roman" w:eastAsia="Times New Roman" w:hAnsi="Times New Roman"/>
          <w:bCs/>
          <w:sz w:val="24"/>
          <w:szCs w:val="24"/>
          <w:lang w:eastAsia="bg-BG"/>
        </w:rPr>
        <w:t xml:space="preserve">. </w:t>
      </w: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152A77">
        <w:rPr>
          <w:rFonts w:ascii="Times New Roman" w:eastAsia="Times New Roman" w:hAnsi="Times New Roman"/>
          <w:bCs/>
          <w:sz w:val="24"/>
          <w:szCs w:val="24"/>
          <w:lang w:eastAsia="bg-BG"/>
        </w:rPr>
        <w:t>30</w:t>
      </w:r>
      <w:r>
        <w:rPr>
          <w:rFonts w:ascii="Times New Roman" w:eastAsia="Times New Roman" w:hAnsi="Times New Roman"/>
          <w:bCs/>
          <w:sz w:val="24"/>
          <w:szCs w:val="24"/>
          <w:lang w:eastAsia="bg-BG"/>
        </w:rPr>
        <w:t>.11.20</w:t>
      </w:r>
      <w:r w:rsidR="00152A77">
        <w:rPr>
          <w:rFonts w:ascii="Times New Roman" w:eastAsia="Times New Roman" w:hAnsi="Times New Roman"/>
          <w:bCs/>
          <w:sz w:val="24"/>
          <w:szCs w:val="24"/>
          <w:lang w:eastAsia="bg-BG"/>
        </w:rPr>
        <w:t>20</w:t>
      </w:r>
      <w:r>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w:t>
      </w:r>
      <w:r w:rsidR="00152A77">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522CC9" w:rsidRPr="00522CC9" w:rsidRDefault="00522CC9"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6F51A8" w:rsidRPr="006F51A8">
        <w:rPr>
          <w:rFonts w:ascii="Times New Roman" w:hAnsi="Times New Roman"/>
          <w:color w:val="000000" w:themeColor="text1"/>
          <w:sz w:val="24"/>
          <w:szCs w:val="24"/>
          <w:shd w:val="clear" w:color="auto" w:fill="FEFEFE"/>
        </w:rPr>
        <w:t>488 950,00</w:t>
      </w:r>
      <w:r w:rsidR="00684A76" w:rsidRPr="00BC6CCF">
        <w:rPr>
          <w:rFonts w:ascii="Times New Roman" w:hAnsi="Times New Roman"/>
          <w:color w:val="000000" w:themeColor="text1"/>
          <w:sz w:val="24"/>
          <w:szCs w:val="24"/>
          <w:shd w:val="clear" w:color="auto" w:fill="FEFEFE"/>
        </w:rPr>
        <w:t xml:space="preserve"> лв.</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Pr="008B657A"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7B2FF1" w:rsidRP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Минимален размер на допустимите разходи за проект – 39 116,00 лева</w:t>
      </w:r>
    </w:p>
    <w:p w:rsid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Максимален размер на допустимите разходи за проект – 293 370,00 лева</w:t>
      </w:r>
    </w:p>
    <w:p w:rsidR="007B2FF1" w:rsidRPr="007B2FF1" w:rsidRDefault="007B2FF1" w:rsidP="007B2FF1">
      <w:pPr>
        <w:pStyle w:val="ListParagraph"/>
        <w:spacing w:after="0" w:line="240" w:lineRule="auto"/>
        <w:jc w:val="both"/>
        <w:rPr>
          <w:rFonts w:ascii="Times New Roman" w:hAnsi="Times New Roman"/>
          <w:color w:val="000000"/>
          <w:sz w:val="24"/>
          <w:szCs w:val="24"/>
          <w:lang w:eastAsia="bg-BG"/>
        </w:rPr>
      </w:pPr>
    </w:p>
    <w:p w:rsidR="007B2FF1" w:rsidRP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Минимален размер на безвъзмездната финансова помощ за проект – 19 558,00 лева</w:t>
      </w:r>
    </w:p>
    <w:p w:rsidR="008B657A" w:rsidRPr="007B2FF1" w:rsidRDefault="007B2FF1" w:rsidP="007B2FF1">
      <w:pPr>
        <w:pStyle w:val="ListParagraph"/>
        <w:numPr>
          <w:ilvl w:val="0"/>
          <w:numId w:val="12"/>
        </w:numPr>
        <w:spacing w:after="0" w:line="240" w:lineRule="auto"/>
        <w:jc w:val="both"/>
        <w:rPr>
          <w:rFonts w:ascii="Times New Roman" w:eastAsia="Times New Roman" w:hAnsi="Times New Roman"/>
          <w:b/>
          <w:sz w:val="24"/>
          <w:szCs w:val="24"/>
        </w:rPr>
      </w:pPr>
      <w:r w:rsidRPr="007B2FF1">
        <w:rPr>
          <w:rFonts w:ascii="Times New Roman" w:hAnsi="Times New Roman"/>
          <w:color w:val="000000"/>
          <w:sz w:val="24"/>
          <w:szCs w:val="24"/>
          <w:lang w:eastAsia="bg-BG"/>
        </w:rPr>
        <w:t>Максимален размер на безвъзмездната финансова помощ за проект – 205 359,00 лева</w:t>
      </w:r>
    </w:p>
    <w:p w:rsidR="009B2F31" w:rsidRPr="008B657A" w:rsidRDefault="009B2F31" w:rsidP="009B2F31">
      <w:pPr>
        <w:spacing w:after="0" w:line="240" w:lineRule="auto"/>
        <w:ind w:left="1428"/>
        <w:jc w:val="both"/>
        <w:rPr>
          <w:rFonts w:ascii="Times New Roman" w:eastAsia="Times New Roman" w:hAnsi="Times New Roman"/>
          <w:b/>
          <w:sz w:val="24"/>
          <w:szCs w:val="24"/>
          <w:lang w:val="en-US"/>
        </w:rPr>
      </w:pPr>
    </w:p>
    <w:p w:rsidR="00B269F5" w:rsidRPr="008B657A" w:rsidRDefault="009B2F31" w:rsidP="008351DA">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9B2F31" w:rsidRPr="009B2F31" w:rsidRDefault="009B2F31" w:rsidP="009B2F31">
      <w:pPr>
        <w:autoSpaceDE w:val="0"/>
        <w:autoSpaceDN w:val="0"/>
        <w:adjustRightInd w:val="0"/>
        <w:spacing w:after="0" w:line="240" w:lineRule="auto"/>
        <w:ind w:left="1428"/>
        <w:jc w:val="both"/>
        <w:rPr>
          <w:rFonts w:ascii="Times New Roman" w:hAnsi="Times New Roman"/>
          <w:sz w:val="24"/>
          <w:szCs w:val="24"/>
          <w:lang w:eastAsia="bg-BG"/>
        </w:rPr>
      </w:pP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Финансовата помощ е в размер 50 на сто от общия размер на допустимите за финансово подпомагане разходи. Финансовата помощ се увеличава с 10 на сто за: </w:t>
      </w: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1. проекти, представени от млади земеделски стопани (Допълнителната финансова помощ за млади земеделски стопани се предоставя в случай, че заявлението за подпомагане е представено от кандидат на възраст от 18 години и не повече от 40 години към датата на кандидатстване за финансова помощ); </w:t>
      </w: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2. проекти с инвестиции в райони с природни и други специфични ограничения финансовата помощ се увеличава с 10 %;</w:t>
      </w:r>
    </w:p>
    <w:p w:rsidR="009B2F31"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Максимално комбинирано подпомагане – 70 % от общия размер на допустимите за финансово подпомагане разходи.</w:t>
      </w:r>
    </w:p>
    <w:p w:rsidR="009B2F31" w:rsidRP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B269F5" w:rsidRPr="009B2F31" w:rsidRDefault="006F51A8"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6F51A8">
        <w:rPr>
          <w:rFonts w:ascii="Times New Roman" w:hAnsi="Times New Roman"/>
          <w:b/>
          <w:bCs/>
          <w:i/>
          <w:color w:val="000000"/>
          <w:sz w:val="23"/>
          <w:szCs w:val="23"/>
          <w:lang w:eastAsia="bg-BG"/>
        </w:rPr>
        <w:t>Критерии и методика за оценка на проектните предложения:</w:t>
      </w:r>
      <w:r w:rsidR="009B2F31" w:rsidRPr="009B2F31">
        <w:rPr>
          <w:rFonts w:ascii="Times New Roman" w:hAnsi="Times New Roman"/>
          <w:b/>
          <w:bCs/>
          <w:i/>
          <w:color w:val="000000"/>
          <w:sz w:val="23"/>
          <w:szCs w:val="23"/>
          <w:lang w:eastAsia="bg-BG"/>
        </w:rPr>
        <w:t xml:space="preserve"> </w:t>
      </w:r>
    </w:p>
    <w:tbl>
      <w:tblPr>
        <w:tblStyle w:val="TableGrid"/>
        <w:tblW w:w="9810" w:type="dxa"/>
        <w:tblInd w:w="85" w:type="dxa"/>
        <w:tblLook w:val="04A0" w:firstRow="1" w:lastRow="0" w:firstColumn="1" w:lastColumn="0" w:noHBand="0" w:noVBand="1"/>
      </w:tblPr>
      <w:tblGrid>
        <w:gridCol w:w="516"/>
        <w:gridCol w:w="3984"/>
        <w:gridCol w:w="4320"/>
        <w:gridCol w:w="990"/>
      </w:tblGrid>
      <w:tr w:rsidR="006F51A8" w:rsidRPr="002D7D6D" w:rsidTr="007B2FF1">
        <w:tc>
          <w:tcPr>
            <w:tcW w:w="516"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N</w:t>
            </w:r>
          </w:p>
        </w:tc>
        <w:tc>
          <w:tcPr>
            <w:tcW w:w="3984"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Критерии</w:t>
            </w:r>
          </w:p>
        </w:tc>
        <w:tc>
          <w:tcPr>
            <w:tcW w:w="4320"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Минимално изискване</w:t>
            </w:r>
          </w:p>
        </w:tc>
        <w:tc>
          <w:tcPr>
            <w:tcW w:w="990"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Брой точки</w:t>
            </w:r>
          </w:p>
        </w:tc>
      </w:tr>
      <w:tr w:rsidR="006F51A8" w:rsidRPr="002D7D6D" w:rsidTr="007B2FF1">
        <w:trPr>
          <w:trHeight w:val="1593"/>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1.</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с инвестиции и дейности в чувствителните и приоритетни за територията на МИГ сектори на земеделското производство „Плодове и зеленчуци“ и/или сектор „Животновъдство“ и/или сектор „Етерично-маслени и медицински култури“</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50 %  от допустимите инвестиционни разходи са в посочените чувствителни и приоритетни за територията сектори.</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692"/>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2.</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с инвестиции и дейности от стопанства за производство на биологични продукти и/или стопанства в преход към биологично производство на продукти.</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50 % от допустимите инвестиционни разходи по проекта са свързани с производство на биологични продукти и/или продуктите са в преход към биологично производство.</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276"/>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3.</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за инвестиции и дейности за производство на земеделски култури, които отговарят на местните почвено-климатични характеристики и </w:t>
            </w:r>
            <w:proofErr w:type="spellStart"/>
            <w:r w:rsidRPr="002D7D6D">
              <w:rPr>
                <w:rFonts w:ascii="Times New Roman" w:hAnsi="Times New Roman"/>
                <w:sz w:val="24"/>
                <w:szCs w:val="24"/>
              </w:rPr>
              <w:t>агроекологичен</w:t>
            </w:r>
            <w:proofErr w:type="spellEnd"/>
            <w:r w:rsidRPr="002D7D6D">
              <w:rPr>
                <w:rFonts w:ascii="Times New Roman" w:hAnsi="Times New Roman"/>
                <w:sz w:val="24"/>
                <w:szCs w:val="24"/>
              </w:rPr>
              <w:t xml:space="preserve"> потенциал </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Над 85 % от инвестицията по проекта е насочена към отглеждането на земеделски култури, отговарящи на почвено-климатичните характеристики и </w:t>
            </w:r>
            <w:proofErr w:type="spellStart"/>
            <w:r w:rsidRPr="002D7D6D">
              <w:rPr>
                <w:rFonts w:ascii="Times New Roman" w:hAnsi="Times New Roman"/>
                <w:sz w:val="24"/>
                <w:szCs w:val="24"/>
              </w:rPr>
              <w:t>агроекологичен</w:t>
            </w:r>
            <w:proofErr w:type="spellEnd"/>
            <w:r w:rsidRPr="002D7D6D">
              <w:rPr>
                <w:rFonts w:ascii="Times New Roman" w:hAnsi="Times New Roman"/>
                <w:sz w:val="24"/>
                <w:szCs w:val="24"/>
              </w:rPr>
              <w:t xml:space="preserve"> потенциал. </w:t>
            </w:r>
          </w:p>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/Постигането на критерия се доказва с извършен почвен анализ и оценка на </w:t>
            </w:r>
            <w:proofErr w:type="spellStart"/>
            <w:r w:rsidRPr="002D7D6D">
              <w:rPr>
                <w:rFonts w:ascii="Times New Roman" w:hAnsi="Times New Roman"/>
                <w:sz w:val="24"/>
                <w:szCs w:val="24"/>
              </w:rPr>
              <w:t>агроекологичния</w:t>
            </w:r>
            <w:proofErr w:type="spellEnd"/>
            <w:r w:rsidRPr="002D7D6D">
              <w:rPr>
                <w:rFonts w:ascii="Times New Roman" w:hAnsi="Times New Roman"/>
                <w:sz w:val="24"/>
                <w:szCs w:val="24"/>
              </w:rPr>
              <w:t xml:space="preserve"> потенциал/.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15 т. </w:t>
            </w:r>
          </w:p>
        </w:tc>
      </w:tr>
      <w:tr w:rsidR="006F51A8" w:rsidRPr="002D7D6D" w:rsidTr="007B2FF1">
        <w:trPr>
          <w:trHeight w:val="276"/>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4.</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Проектът предвижда инвестиции, насочени към въвеждане на практики/подходи за прецизно земеделие</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30 % от инвестицията е насочена към въвеждане на практики за прецизно земеделие, вкл. интегрирани селскостопански системи за управление, GPS устройства за управление, контрол и локализация на промените</w:t>
            </w:r>
            <w:r w:rsidRPr="002D7D6D">
              <w:rPr>
                <w:rFonts w:ascii="Arial" w:hAnsi="Arial" w:cs="Arial"/>
                <w:color w:val="202020"/>
                <w:sz w:val="18"/>
                <w:szCs w:val="18"/>
              </w:rPr>
              <w:t xml:space="preserve">, </w:t>
            </w:r>
            <w:r w:rsidRPr="002D7D6D">
              <w:rPr>
                <w:rFonts w:ascii="Times New Roman" w:hAnsi="Times New Roman"/>
                <w:sz w:val="24"/>
                <w:szCs w:val="24"/>
              </w:rPr>
              <w:t xml:space="preserve">мобилни сензори - мобилни устройства за анализ на средата, внесените препарати и получения добив, софтуерни продукти за прецизно земеделие и др. </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674"/>
        </w:trPr>
        <w:tc>
          <w:tcPr>
            <w:tcW w:w="516"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5.</w:t>
            </w:r>
          </w:p>
        </w:tc>
        <w:tc>
          <w:tcPr>
            <w:tcW w:w="3984"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при които изпълнението на одобрените инвестиции и дейности води до осигуряване на допълнителна заетост в земеделските стопанства</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Създаване на до 2 работни места,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5 т. </w:t>
            </w:r>
          </w:p>
        </w:tc>
      </w:tr>
      <w:tr w:rsidR="006F51A8" w:rsidRPr="002D7D6D" w:rsidTr="007B2FF1">
        <w:tc>
          <w:tcPr>
            <w:tcW w:w="516" w:type="dxa"/>
            <w:vMerge/>
          </w:tcPr>
          <w:p w:rsidR="006F51A8" w:rsidRPr="002D7D6D" w:rsidRDefault="006F51A8" w:rsidP="00267AC2">
            <w:pPr>
              <w:jc w:val="both"/>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Създаване на над 2 до 5 работни места,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vMerge/>
          </w:tcPr>
          <w:p w:rsidR="006F51A8" w:rsidRPr="002D7D6D" w:rsidRDefault="006F51A8" w:rsidP="00267AC2">
            <w:pPr>
              <w:jc w:val="both"/>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Създаване на над 5 работни места</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15 т.</w:t>
            </w:r>
          </w:p>
        </w:tc>
      </w:tr>
      <w:tr w:rsidR="006F51A8" w:rsidRPr="002D7D6D" w:rsidTr="007B2FF1">
        <w:trPr>
          <w:trHeight w:val="1224"/>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6.</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с инвестиции и дейности, които се изпълняват на територията на </w:t>
            </w:r>
            <w:proofErr w:type="spellStart"/>
            <w:r w:rsidRPr="002D7D6D">
              <w:rPr>
                <w:rFonts w:ascii="Times New Roman" w:hAnsi="Times New Roman"/>
                <w:sz w:val="24"/>
                <w:szCs w:val="24"/>
              </w:rPr>
              <w:t>необлагодетелствани</w:t>
            </w:r>
            <w:proofErr w:type="spellEnd"/>
            <w:r w:rsidRPr="002D7D6D">
              <w:rPr>
                <w:rFonts w:ascii="Times New Roman" w:hAnsi="Times New Roman"/>
                <w:sz w:val="24"/>
                <w:szCs w:val="24"/>
              </w:rPr>
              <w:t xml:space="preserve"> райони с природни и други ограничения</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Най-малко 50 % от обработваната от кандидата земя се намира в </w:t>
            </w:r>
            <w:proofErr w:type="spellStart"/>
            <w:r w:rsidRPr="002D7D6D">
              <w:rPr>
                <w:rFonts w:ascii="Times New Roman" w:hAnsi="Times New Roman"/>
                <w:sz w:val="24"/>
                <w:szCs w:val="24"/>
              </w:rPr>
              <w:t>необлагодетелстван</w:t>
            </w:r>
            <w:proofErr w:type="spellEnd"/>
            <w:r w:rsidRPr="002D7D6D">
              <w:rPr>
                <w:rFonts w:ascii="Times New Roman" w:hAnsi="Times New Roman"/>
                <w:sz w:val="24"/>
                <w:szCs w:val="24"/>
              </w:rPr>
              <w:t xml:space="preserve"> район</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7.</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на млади земеделски стопани физически лица, еднолични търговци на възраст от 18 до 40 години включително</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Към момента на подаване на заявлението за кандидатстване кандидатът е физическо лице или ЕТ на възраст от 18 до 40 г.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8.</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при които изпълнението на проекта е свързано с внедряването на иновации в земеделското стопанство.</w:t>
            </w:r>
          </w:p>
        </w:tc>
        <w:tc>
          <w:tcPr>
            <w:tcW w:w="4320" w:type="dxa"/>
          </w:tcPr>
          <w:p w:rsidR="006F51A8" w:rsidRPr="002D7D6D" w:rsidRDefault="006F51A8" w:rsidP="00267AC2">
            <w:pPr>
              <w:jc w:val="both"/>
              <w:rPr>
                <w:rFonts w:ascii="Times New Roman" w:hAnsi="Times New Roman"/>
                <w:sz w:val="24"/>
                <w:szCs w:val="24"/>
              </w:rPr>
            </w:pPr>
            <w:bookmarkStart w:id="1" w:name="_Hlk27079968"/>
            <w:r w:rsidRPr="002D7D6D">
              <w:rPr>
                <w:rFonts w:ascii="Times New Roman" w:hAnsi="Times New Roman"/>
                <w:sz w:val="24"/>
                <w:szCs w:val="24"/>
              </w:rPr>
              <w:t>Проекти, които включват инвестиции, свързани с 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организацията на работното място, или външни връзки, която води до повишаване на икономическа, социална и екологична ефективност на земеделското стопанство.</w:t>
            </w:r>
            <w:bookmarkEnd w:id="1"/>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20 т.</w:t>
            </w:r>
          </w:p>
        </w:tc>
      </w:tr>
      <w:tr w:rsidR="006F51A8" w:rsidRPr="002D7D6D" w:rsidTr="007B2FF1">
        <w:tc>
          <w:tcPr>
            <w:tcW w:w="516" w:type="dxa"/>
            <w:vMerge w:val="restart"/>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t xml:space="preserve">9. </w:t>
            </w:r>
          </w:p>
        </w:tc>
        <w:tc>
          <w:tcPr>
            <w:tcW w:w="3984"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с инвестиции и дейности, осигуряващи опазване на компонентите на околната среда, (вкл. технологии, водещи до намаляване на емисиите) и/или инвестиции, осигуряващи </w:t>
            </w:r>
            <w:r w:rsidRPr="002D7D6D">
              <w:rPr>
                <w:rFonts w:ascii="Times New Roman" w:hAnsi="Times New Roman"/>
                <w:sz w:val="24"/>
                <w:szCs w:val="24"/>
              </w:rPr>
              <w:lastRenderedPageBreak/>
              <w:t>съответствие на стопанството с изискванията на стандартите на ЕС.</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Над 20 % от допустимите инвестиционни разходи по проекта са свързани с опазване на компонентите на околната среда и/или</w:t>
            </w:r>
          </w:p>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инвестиции, осигуряващи съответствие на стопанството с изискванията на стандартите на ЕС</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5 т.  </w:t>
            </w:r>
          </w:p>
        </w:tc>
      </w:tr>
      <w:tr w:rsidR="006F51A8" w:rsidRPr="002D7D6D" w:rsidTr="007B2FF1">
        <w:tc>
          <w:tcPr>
            <w:tcW w:w="516" w:type="dxa"/>
            <w:vMerge/>
          </w:tcPr>
          <w:p w:rsidR="006F51A8" w:rsidRPr="002D7D6D" w:rsidRDefault="006F51A8" w:rsidP="00267AC2">
            <w:pPr>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50 %  от допустимите разходи са насочени към опазване на околната среда</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10 т. </w:t>
            </w:r>
          </w:p>
        </w:tc>
      </w:tr>
      <w:tr w:rsidR="006F51A8" w:rsidRPr="002D7D6D" w:rsidTr="007B2FF1">
        <w:tc>
          <w:tcPr>
            <w:tcW w:w="516" w:type="dxa"/>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lastRenderedPageBreak/>
              <w:t xml:space="preserve">10. </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Подпомагане на проекти за повишаване на енергийната ефективност в стопанствата</w:t>
            </w:r>
          </w:p>
        </w:tc>
        <w:tc>
          <w:tcPr>
            <w:tcW w:w="4320" w:type="dxa"/>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t>Инвестициите по проекта водят до повишаване на енергийната ефективност с минимум 5 % за земеделското стопанство</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10 т. </w:t>
            </w:r>
          </w:p>
        </w:tc>
      </w:tr>
    </w:tbl>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6F51A8">
        <w:rPr>
          <w:rFonts w:ascii="Times New Roman" w:eastAsia="Times New Roman" w:hAnsi="Times New Roman"/>
          <w:b/>
          <w:sz w:val="24"/>
          <w:szCs w:val="24"/>
        </w:rPr>
        <w:t>1</w:t>
      </w:r>
      <w:r>
        <w:rPr>
          <w:rFonts w:ascii="Times New Roman" w:eastAsia="Times New Roman" w:hAnsi="Times New Roman"/>
          <w:b/>
          <w:sz w:val="24"/>
          <w:szCs w:val="24"/>
        </w:rPr>
        <w:t xml:space="preserve">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6F51A8">
        <w:rPr>
          <w:rFonts w:ascii="Times New Roman" w:eastAsia="Times New Roman" w:hAnsi="Times New Roman"/>
          <w:b/>
          <w:sz w:val="24"/>
          <w:szCs w:val="24"/>
        </w:rPr>
        <w:t>1</w:t>
      </w:r>
      <w:r>
        <w:rPr>
          <w:rFonts w:ascii="Times New Roman" w:eastAsia="Times New Roman" w:hAnsi="Times New Roman"/>
          <w:b/>
          <w:sz w:val="24"/>
          <w:szCs w:val="24"/>
        </w:rPr>
        <w:t xml:space="preserve">: </w:t>
      </w:r>
      <w:r w:rsidR="006F51A8">
        <w:rPr>
          <w:rFonts w:ascii="Times New Roman" w:eastAsia="Times New Roman" w:hAnsi="Times New Roman"/>
          <w:b/>
          <w:sz w:val="24"/>
          <w:szCs w:val="24"/>
        </w:rPr>
        <w:t>12</w:t>
      </w:r>
      <w:r>
        <w:rPr>
          <w:rFonts w:ascii="Times New Roman" w:eastAsia="Times New Roman" w:hAnsi="Times New Roman"/>
          <w:b/>
          <w:sz w:val="24"/>
          <w:szCs w:val="24"/>
        </w:rPr>
        <w:t xml:space="preserve">0 точки </w:t>
      </w:r>
    </w:p>
    <w:p w:rsidR="009B2F31"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proofErr w:type="spellStart"/>
      <w:r w:rsidRPr="008B657A">
        <w:rPr>
          <w:rFonts w:ascii="Times New Roman" w:eastAsia="Times New Roman" w:hAnsi="Times New Roman"/>
          <w:b/>
          <w:i/>
          <w:color w:val="000000"/>
          <w:spacing w:val="-10"/>
          <w:sz w:val="24"/>
          <w:szCs w:val="24"/>
          <w:shd w:val="clear" w:color="auto" w:fill="FFFFFF"/>
          <w:lang w:val="en-US"/>
        </w:rPr>
        <w:t>ице</w:t>
      </w:r>
      <w:proofErr w:type="spellEnd"/>
      <w:r w:rsidRPr="008B657A">
        <w:rPr>
          <w:rFonts w:ascii="Times New Roman" w:eastAsia="Times New Roman" w:hAnsi="Times New Roman"/>
          <w:b/>
          <w:i/>
          <w:color w:val="000000"/>
          <w:spacing w:val="-10"/>
          <w:sz w:val="24"/>
          <w:szCs w:val="24"/>
          <w:shd w:val="clear" w:color="auto" w:fill="FFFFFF"/>
          <w:lang w:val="en-US"/>
        </w:rPr>
        <w:t xml:space="preserve">/а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контакт</w:t>
      </w:r>
      <w:proofErr w:type="spellEnd"/>
      <w:r w:rsidRPr="008B657A">
        <w:rPr>
          <w:rFonts w:ascii="Times New Roman" w:eastAsia="Times New Roman" w:hAnsi="Times New Roman"/>
          <w:b/>
          <w:i/>
          <w:color w:val="000000"/>
          <w:spacing w:val="-10"/>
          <w:sz w:val="24"/>
          <w:szCs w:val="24"/>
          <w:shd w:val="clear" w:color="auto" w:fill="FFFFFF"/>
          <w:lang w:val="en-US"/>
        </w:rPr>
        <w:t xml:space="preserve"> и </w:t>
      </w:r>
      <w:proofErr w:type="spellStart"/>
      <w:r w:rsidRPr="008B657A">
        <w:rPr>
          <w:rFonts w:ascii="Times New Roman" w:eastAsia="Times New Roman" w:hAnsi="Times New Roman"/>
          <w:b/>
          <w:i/>
          <w:color w:val="000000"/>
          <w:spacing w:val="-10"/>
          <w:sz w:val="24"/>
          <w:szCs w:val="24"/>
          <w:shd w:val="clear" w:color="auto" w:fill="FFFFFF"/>
          <w:lang w:val="en-US"/>
        </w:rPr>
        <w:t>място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достъп</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подробна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информация</w:t>
      </w:r>
      <w:proofErr w:type="spellEnd"/>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Цветелина Минчева – </w:t>
      </w:r>
      <w:proofErr w:type="spellStart"/>
      <w:r w:rsidRPr="00DD6862">
        <w:rPr>
          <w:rFonts w:ascii="Times New Roman" w:eastAsia="Times New Roman" w:hAnsi="Times New Roman"/>
          <w:sz w:val="24"/>
          <w:szCs w:val="24"/>
        </w:rPr>
        <w:t>тех</w:t>
      </w:r>
      <w:proofErr w:type="spellEnd"/>
      <w:r w:rsidRPr="00DD6862">
        <w:rPr>
          <w:rFonts w:ascii="Times New Roman" w:eastAsia="Times New Roman" w:hAnsi="Times New Roman"/>
          <w:sz w:val="24"/>
          <w:szCs w:val="24"/>
        </w:rPr>
        <w:t>.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proofErr w:type="spellStart"/>
      <w:r w:rsidR="008E06C1">
        <w:rPr>
          <w:rFonts w:ascii="Times New Roman" w:eastAsia="Times New Roman" w:hAnsi="Times New Roman"/>
          <w:sz w:val="24"/>
          <w:szCs w:val="24"/>
        </w:rPr>
        <w:t>гр.Бяла</w:t>
      </w:r>
      <w:proofErr w:type="spellEnd"/>
      <w:r w:rsidR="008E06C1">
        <w:rPr>
          <w:rFonts w:ascii="Times New Roman" w:eastAsia="Times New Roman" w:hAnsi="Times New Roman"/>
          <w:sz w:val="24"/>
          <w:szCs w:val="24"/>
        </w:rPr>
        <w:t>,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тел</w:t>
      </w:r>
      <w:r w:rsidRPr="00E769A8">
        <w:rPr>
          <w:rFonts w:ascii="Times New Roman" w:eastAsia="Times New Roman" w:hAnsi="Times New Roman"/>
          <w:sz w:val="24"/>
          <w:szCs w:val="24"/>
        </w:rPr>
        <w:t xml:space="preserve">.: </w:t>
      </w:r>
      <w:r w:rsidR="00FE4760" w:rsidRPr="00E769A8">
        <w:rPr>
          <w:rFonts w:ascii="Times New Roman" w:hAnsi="Times New Roman"/>
          <w:sz w:val="24"/>
          <w:szCs w:val="24"/>
        </w:rPr>
        <w:t xml:space="preserve">0878 945154, </w:t>
      </w:r>
      <w:r w:rsidR="00DD6862" w:rsidRPr="00E769A8">
        <w:rPr>
          <w:rFonts w:ascii="Times New Roman" w:hAnsi="Times New Roman"/>
          <w:sz w:val="24"/>
          <w:szCs w:val="24"/>
        </w:rPr>
        <w:t>0889200102, 0886810024</w:t>
      </w:r>
      <w:r w:rsidR="00E769A8">
        <w:rPr>
          <w:rFonts w:ascii="Times New Roman" w:hAnsi="Times New Roman"/>
          <w:sz w:val="24"/>
          <w:szCs w:val="24"/>
        </w:rPr>
        <w:t>.</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E769A8">
        <w:rPr>
          <w:rFonts w:ascii="Times New Roman" w:hAnsi="Times New Roman"/>
          <w:b/>
          <w:sz w:val="24"/>
          <w:szCs w:val="24"/>
        </w:rPr>
        <w:t>migd4b@abv.bg</w:t>
      </w:r>
    </w:p>
    <w:p w:rsidR="002361F6" w:rsidRDefault="00EA2FB9" w:rsidP="003D1BD8">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Разясненията </w:t>
      </w:r>
      <w:bookmarkStart w:id="2" w:name="_GoBack"/>
      <w:bookmarkEnd w:id="2"/>
      <w:r w:rsidRPr="00EA2FB9">
        <w:rPr>
          <w:rFonts w:ascii="Times New Roman" w:eastAsia="Times New Roman" w:hAnsi="Times New Roman"/>
          <w:sz w:val="24"/>
          <w:szCs w:val="24"/>
        </w:rPr>
        <w:t>се публикуват на електронната страница на МИГ „Долни Чифлик и Бяла“ и в ИСУН в 10-дневен срок от получаване на искането, но не по-късно от две седмици преди изтичането на срока за кандидатстване и са задължителни за всички кандидати</w:t>
      </w:r>
      <w:r w:rsidR="002361F6">
        <w:rPr>
          <w:rFonts w:ascii="Times New Roman" w:eastAsia="Times New Roman" w:hAnsi="Times New Roman"/>
          <w:sz w:val="24"/>
          <w:szCs w:val="24"/>
        </w:rPr>
        <w:t>.</w:t>
      </w:r>
    </w:p>
    <w:p w:rsidR="00BF5A6F" w:rsidRPr="008B657A" w:rsidRDefault="00BF5A6F" w:rsidP="003D1BD8">
      <w:pPr>
        <w:spacing w:after="0" w:line="240" w:lineRule="auto"/>
        <w:jc w:val="both"/>
        <w:rPr>
          <w:rFonts w:ascii="Times New Roman" w:eastAsia="Times New Roman" w:hAnsi="Times New Roman"/>
          <w:sz w:val="24"/>
          <w:szCs w:val="24"/>
        </w:rPr>
      </w:pPr>
      <w:proofErr w:type="spellStart"/>
      <w:r w:rsidRPr="008B657A">
        <w:rPr>
          <w:rFonts w:ascii="Times New Roman" w:eastAsia="Times New Roman" w:hAnsi="Times New Roman"/>
          <w:sz w:val="24"/>
          <w:szCs w:val="24"/>
          <w:lang w:val="en-US"/>
        </w:rPr>
        <w:t>Пълният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пакет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документи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за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кандидатстване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публикувани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на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следните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интернет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адреси</w:t>
      </w:r>
      <w:proofErr w:type="spellEnd"/>
      <w:r w:rsidRPr="008B657A">
        <w:rPr>
          <w:rFonts w:ascii="Times New Roman" w:eastAsia="Times New Roman" w:hAnsi="Times New Roman"/>
          <w:sz w:val="24"/>
          <w:szCs w:val="24"/>
          <w:lang w:val="en-US"/>
        </w:rPr>
        <w:t xml:space="preserve">: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hyperlink r:id="rId9" w:history="1">
        <w:r w:rsidR="006F51A8" w:rsidRPr="00E72EBD">
          <w:rPr>
            <w:rStyle w:val="Hyperlink"/>
            <w:rFonts w:ascii="Times New Roman" w:eastAsia="Times New Roman" w:hAnsi="Times New Roman"/>
            <w:sz w:val="24"/>
            <w:szCs w:val="24"/>
          </w:rPr>
          <w:t>http://www.mig-db.org/</w:t>
        </w:r>
      </w:hyperlink>
      <w:r w:rsidR="006F51A8">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сайта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Информационната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система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управление</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наблюдение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средствата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от</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Европейските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структурни</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инвестиционни</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фондове</w:t>
      </w:r>
      <w:proofErr w:type="spellEnd"/>
      <w:r w:rsidR="00BF5A6F" w:rsidRPr="008B657A">
        <w:rPr>
          <w:rFonts w:ascii="Times New Roman" w:eastAsia="Times New Roman" w:hAnsi="Times New Roman"/>
          <w:sz w:val="24"/>
          <w:szCs w:val="24"/>
          <w:lang w:val="en-US"/>
        </w:rPr>
        <w:t xml:space="preserve"> (ИСУН 2020) в </w:t>
      </w:r>
      <w:proofErr w:type="spellStart"/>
      <w:r w:rsidR="00BF5A6F" w:rsidRPr="008B657A">
        <w:rPr>
          <w:rFonts w:ascii="Times New Roman" w:eastAsia="Times New Roman" w:hAnsi="Times New Roman"/>
          <w:sz w:val="24"/>
          <w:szCs w:val="24"/>
          <w:lang w:val="en-US"/>
        </w:rPr>
        <w:t>модула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електронно</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кандидатстване</w:t>
      </w:r>
      <w:proofErr w:type="spellEnd"/>
      <w:r w:rsidR="00BF5A6F" w:rsidRPr="008B657A">
        <w:rPr>
          <w:rFonts w:ascii="Times New Roman" w:eastAsia="Times New Roman" w:hAnsi="Times New Roman"/>
          <w:sz w:val="24"/>
          <w:szCs w:val="24"/>
          <w:lang w:val="en-US"/>
        </w:rPr>
        <w:t xml:space="preserve">: </w:t>
      </w:r>
      <w:hyperlink r:id="rId10"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1" w:history="1">
        <w:r w:rsidRPr="008B657A">
          <w:rPr>
            <w:rFonts w:ascii="Times New Roman" w:hAnsi="Times New Roman"/>
            <w:color w:val="0563C1"/>
            <w:sz w:val="24"/>
            <w:szCs w:val="24"/>
            <w:u w:val="single"/>
          </w:rPr>
          <w:t>http://eumis2020.government.bg/</w:t>
        </w:r>
      </w:hyperlink>
    </w:p>
    <w:sectPr w:rsidR="00BF5A6F" w:rsidRPr="008B657A" w:rsidSect="00B269F5">
      <w:headerReference w:type="default" r:id="rId12"/>
      <w:footerReference w:type="default" r:id="rId13"/>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D0" w:rsidRDefault="00200CD0" w:rsidP="00441F18">
      <w:pPr>
        <w:spacing w:after="0" w:line="240" w:lineRule="auto"/>
      </w:pPr>
      <w:r>
        <w:separator/>
      </w:r>
    </w:p>
  </w:endnote>
  <w:endnote w:type="continuationSeparator" w:id="0">
    <w:p w:rsidR="00200CD0" w:rsidRDefault="00200CD0"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EA2FB9">
              <w:rPr>
                <w:b/>
                <w:noProof/>
              </w:rPr>
              <w:t>8</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EA2FB9">
              <w:rPr>
                <w:b/>
                <w:noProof/>
              </w:rPr>
              <w:t>8</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D0" w:rsidRDefault="00200CD0" w:rsidP="00441F18">
      <w:pPr>
        <w:spacing w:after="0" w:line="240" w:lineRule="auto"/>
      </w:pPr>
      <w:r>
        <w:separator/>
      </w:r>
    </w:p>
  </w:footnote>
  <w:footnote w:type="continuationSeparator" w:id="0">
    <w:p w:rsidR="00200CD0" w:rsidRDefault="00200CD0"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38AD08DB"/>
    <w:multiLevelType w:val="hybridMultilevel"/>
    <w:tmpl w:val="3CB8E384"/>
    <w:lvl w:ilvl="0" w:tplc="3E9418F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1"/>
  </w:num>
  <w:num w:numId="3">
    <w:abstractNumId w:val="3"/>
  </w:num>
  <w:num w:numId="4">
    <w:abstractNumId w:val="10"/>
  </w:num>
  <w:num w:numId="5">
    <w:abstractNumId w:val="2"/>
  </w:num>
  <w:num w:numId="6">
    <w:abstractNumId w:val="9"/>
  </w:num>
  <w:num w:numId="7">
    <w:abstractNumId w:val="6"/>
  </w:num>
  <w:num w:numId="8">
    <w:abstractNumId w:val="5"/>
  </w:num>
  <w:num w:numId="9">
    <w:abstractNumId w:val="8"/>
  </w:num>
  <w:num w:numId="10">
    <w:abstractNumId w:val="0"/>
  </w:num>
  <w:num w:numId="11">
    <w:abstractNumId w:val="7"/>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33BC5"/>
    <w:rsid w:val="000451C7"/>
    <w:rsid w:val="000461B2"/>
    <w:rsid w:val="00046C25"/>
    <w:rsid w:val="00051DF5"/>
    <w:rsid w:val="00065E78"/>
    <w:rsid w:val="000677B4"/>
    <w:rsid w:val="00074B7C"/>
    <w:rsid w:val="0009638F"/>
    <w:rsid w:val="000A6093"/>
    <w:rsid w:val="000B539E"/>
    <w:rsid w:val="000C2DD7"/>
    <w:rsid w:val="000C32A7"/>
    <w:rsid w:val="000C4754"/>
    <w:rsid w:val="000C669D"/>
    <w:rsid w:val="000D1374"/>
    <w:rsid w:val="000D2A22"/>
    <w:rsid w:val="000D2DC8"/>
    <w:rsid w:val="000D3562"/>
    <w:rsid w:val="000D5BA8"/>
    <w:rsid w:val="000D650B"/>
    <w:rsid w:val="000E0B08"/>
    <w:rsid w:val="000E19D0"/>
    <w:rsid w:val="000E3E8B"/>
    <w:rsid w:val="000F7FDF"/>
    <w:rsid w:val="0010247F"/>
    <w:rsid w:val="00112DEB"/>
    <w:rsid w:val="0011779A"/>
    <w:rsid w:val="00121462"/>
    <w:rsid w:val="00121525"/>
    <w:rsid w:val="00121986"/>
    <w:rsid w:val="0013407B"/>
    <w:rsid w:val="0013683A"/>
    <w:rsid w:val="00141F06"/>
    <w:rsid w:val="00142100"/>
    <w:rsid w:val="0014555E"/>
    <w:rsid w:val="00152A77"/>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0CD0"/>
    <w:rsid w:val="00206F5E"/>
    <w:rsid w:val="002120FE"/>
    <w:rsid w:val="002131F1"/>
    <w:rsid w:val="00226AB0"/>
    <w:rsid w:val="00234B5B"/>
    <w:rsid w:val="002361F6"/>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40089E"/>
    <w:rsid w:val="00404973"/>
    <w:rsid w:val="004160F4"/>
    <w:rsid w:val="00417415"/>
    <w:rsid w:val="00426ECD"/>
    <w:rsid w:val="00441F18"/>
    <w:rsid w:val="00445261"/>
    <w:rsid w:val="0044554E"/>
    <w:rsid w:val="00451B6D"/>
    <w:rsid w:val="004554D9"/>
    <w:rsid w:val="00470104"/>
    <w:rsid w:val="00473CBB"/>
    <w:rsid w:val="00474341"/>
    <w:rsid w:val="00475BC8"/>
    <w:rsid w:val="00475C6D"/>
    <w:rsid w:val="004827FB"/>
    <w:rsid w:val="00483728"/>
    <w:rsid w:val="00486847"/>
    <w:rsid w:val="00496445"/>
    <w:rsid w:val="004A0E76"/>
    <w:rsid w:val="004A3D1A"/>
    <w:rsid w:val="004A54F5"/>
    <w:rsid w:val="004B78BA"/>
    <w:rsid w:val="004C7124"/>
    <w:rsid w:val="004F6083"/>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1A8"/>
    <w:rsid w:val="006F55B6"/>
    <w:rsid w:val="0071289E"/>
    <w:rsid w:val="00716DE5"/>
    <w:rsid w:val="007207EB"/>
    <w:rsid w:val="0072190F"/>
    <w:rsid w:val="00721A83"/>
    <w:rsid w:val="0072735C"/>
    <w:rsid w:val="00730C80"/>
    <w:rsid w:val="00750D30"/>
    <w:rsid w:val="0075272F"/>
    <w:rsid w:val="0076778E"/>
    <w:rsid w:val="007701CA"/>
    <w:rsid w:val="00771C31"/>
    <w:rsid w:val="00780327"/>
    <w:rsid w:val="00781537"/>
    <w:rsid w:val="00786849"/>
    <w:rsid w:val="00793A9F"/>
    <w:rsid w:val="007A164A"/>
    <w:rsid w:val="007A187C"/>
    <w:rsid w:val="007A1B37"/>
    <w:rsid w:val="007A516D"/>
    <w:rsid w:val="007B2FF1"/>
    <w:rsid w:val="007C09DC"/>
    <w:rsid w:val="007C14A8"/>
    <w:rsid w:val="007C4FA4"/>
    <w:rsid w:val="007C59C5"/>
    <w:rsid w:val="007D062C"/>
    <w:rsid w:val="007E5AB7"/>
    <w:rsid w:val="007E6EA7"/>
    <w:rsid w:val="007F2F35"/>
    <w:rsid w:val="008063D5"/>
    <w:rsid w:val="00815519"/>
    <w:rsid w:val="008204EA"/>
    <w:rsid w:val="00821457"/>
    <w:rsid w:val="00831C23"/>
    <w:rsid w:val="008351DA"/>
    <w:rsid w:val="00840D8E"/>
    <w:rsid w:val="008602CC"/>
    <w:rsid w:val="008607CD"/>
    <w:rsid w:val="00861CD1"/>
    <w:rsid w:val="008628C6"/>
    <w:rsid w:val="008832B1"/>
    <w:rsid w:val="00895B8F"/>
    <w:rsid w:val="008B0495"/>
    <w:rsid w:val="008B2110"/>
    <w:rsid w:val="008B657A"/>
    <w:rsid w:val="008B744E"/>
    <w:rsid w:val="008C2F19"/>
    <w:rsid w:val="008D0A77"/>
    <w:rsid w:val="008D2925"/>
    <w:rsid w:val="008D2FF3"/>
    <w:rsid w:val="008E06C1"/>
    <w:rsid w:val="008E0BB0"/>
    <w:rsid w:val="008F3126"/>
    <w:rsid w:val="008F45EB"/>
    <w:rsid w:val="00912C0E"/>
    <w:rsid w:val="00912F41"/>
    <w:rsid w:val="00926E35"/>
    <w:rsid w:val="009321F5"/>
    <w:rsid w:val="00932E13"/>
    <w:rsid w:val="00935051"/>
    <w:rsid w:val="00935942"/>
    <w:rsid w:val="00950A70"/>
    <w:rsid w:val="00957AED"/>
    <w:rsid w:val="0096455C"/>
    <w:rsid w:val="00972C35"/>
    <w:rsid w:val="0097561C"/>
    <w:rsid w:val="00980836"/>
    <w:rsid w:val="00981034"/>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21665"/>
    <w:rsid w:val="00A2685D"/>
    <w:rsid w:val="00A30040"/>
    <w:rsid w:val="00A322D8"/>
    <w:rsid w:val="00A36EE8"/>
    <w:rsid w:val="00A608C3"/>
    <w:rsid w:val="00A7309B"/>
    <w:rsid w:val="00A83E07"/>
    <w:rsid w:val="00A842E8"/>
    <w:rsid w:val="00AA4D3B"/>
    <w:rsid w:val="00AB16AF"/>
    <w:rsid w:val="00AB176E"/>
    <w:rsid w:val="00AB45F7"/>
    <w:rsid w:val="00AC31E4"/>
    <w:rsid w:val="00AD0D41"/>
    <w:rsid w:val="00AF5D75"/>
    <w:rsid w:val="00AF6BC1"/>
    <w:rsid w:val="00B0406F"/>
    <w:rsid w:val="00B045CF"/>
    <w:rsid w:val="00B05FD8"/>
    <w:rsid w:val="00B13A60"/>
    <w:rsid w:val="00B269F5"/>
    <w:rsid w:val="00B42A52"/>
    <w:rsid w:val="00B43D71"/>
    <w:rsid w:val="00B53024"/>
    <w:rsid w:val="00B5377D"/>
    <w:rsid w:val="00B56553"/>
    <w:rsid w:val="00B67BB3"/>
    <w:rsid w:val="00B70754"/>
    <w:rsid w:val="00B73375"/>
    <w:rsid w:val="00B81C50"/>
    <w:rsid w:val="00B842CB"/>
    <w:rsid w:val="00B87641"/>
    <w:rsid w:val="00B915FB"/>
    <w:rsid w:val="00B9214A"/>
    <w:rsid w:val="00B95E1D"/>
    <w:rsid w:val="00B96821"/>
    <w:rsid w:val="00B96B40"/>
    <w:rsid w:val="00BC6CCF"/>
    <w:rsid w:val="00BD1C48"/>
    <w:rsid w:val="00BD2D3B"/>
    <w:rsid w:val="00BD55D0"/>
    <w:rsid w:val="00BF49F4"/>
    <w:rsid w:val="00BF580C"/>
    <w:rsid w:val="00BF5A6F"/>
    <w:rsid w:val="00BF67F8"/>
    <w:rsid w:val="00C019BD"/>
    <w:rsid w:val="00C01E1D"/>
    <w:rsid w:val="00C10D46"/>
    <w:rsid w:val="00C10EA0"/>
    <w:rsid w:val="00C16D63"/>
    <w:rsid w:val="00C200D5"/>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4096"/>
    <w:rsid w:val="00D0639B"/>
    <w:rsid w:val="00D10348"/>
    <w:rsid w:val="00D13BCC"/>
    <w:rsid w:val="00D22505"/>
    <w:rsid w:val="00D34696"/>
    <w:rsid w:val="00D36542"/>
    <w:rsid w:val="00D366D1"/>
    <w:rsid w:val="00D43F5E"/>
    <w:rsid w:val="00D44667"/>
    <w:rsid w:val="00D57560"/>
    <w:rsid w:val="00D8055A"/>
    <w:rsid w:val="00D84EB8"/>
    <w:rsid w:val="00D864AE"/>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237A7"/>
    <w:rsid w:val="00E24984"/>
    <w:rsid w:val="00E31C7E"/>
    <w:rsid w:val="00E5540C"/>
    <w:rsid w:val="00E609BA"/>
    <w:rsid w:val="00E6168F"/>
    <w:rsid w:val="00E61B73"/>
    <w:rsid w:val="00E61D9F"/>
    <w:rsid w:val="00E769A8"/>
    <w:rsid w:val="00E8096A"/>
    <w:rsid w:val="00E8157B"/>
    <w:rsid w:val="00E817E8"/>
    <w:rsid w:val="00E86DB1"/>
    <w:rsid w:val="00E929C4"/>
    <w:rsid w:val="00E94FFD"/>
    <w:rsid w:val="00EA0C6C"/>
    <w:rsid w:val="00EA1EEB"/>
    <w:rsid w:val="00EA2FB9"/>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74FA"/>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www.mig-d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E2A3A-2DB2-4814-A637-0EE4EFE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2685</Words>
  <Characters>15310</Characters>
  <Application>Microsoft Office Word</Application>
  <DocSecurity>0</DocSecurity>
  <Lines>127</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17960</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11</cp:revision>
  <cp:lastPrinted>2020-03-24T12:33:00Z</cp:lastPrinted>
  <dcterms:created xsi:type="dcterms:W3CDTF">2020-02-17T15:05:00Z</dcterms:created>
  <dcterms:modified xsi:type="dcterms:W3CDTF">2020-04-29T09:30:00Z</dcterms:modified>
</cp:coreProperties>
</file>