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0017F" w14:textId="4B78C6EA" w:rsidR="005A6A85" w:rsidRPr="00371A33" w:rsidRDefault="009B2C25" w:rsidP="005A6A8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u w:val="single"/>
        </w:rPr>
      </w:pPr>
      <w:bookmarkStart w:id="0" w:name="_GoBack"/>
      <w:bookmarkEnd w:id="0"/>
      <w:r>
        <w:rPr>
          <w:rFonts w:eastAsia="Times New Roman" w:cs="Times New Roman"/>
          <w:noProof/>
          <w:sz w:val="22"/>
        </w:rPr>
        <w:t xml:space="preserve">      </w:t>
      </w:r>
      <w:r w:rsidR="00A0248E">
        <w:rPr>
          <w:rFonts w:eastAsia="Times New Roman" w:cs="Times New Roman"/>
          <w:noProof/>
          <w:sz w:val="22"/>
        </w:rPr>
        <w:t xml:space="preserve"> </w:t>
      </w:r>
      <w:r>
        <w:rPr>
          <w:rFonts w:eastAsia="Times New Roman" w:cs="Times New Roman"/>
          <w:noProof/>
          <w:sz w:val="22"/>
        </w:rPr>
        <w:t xml:space="preserve">  </w:t>
      </w:r>
      <w:r w:rsidR="005A6A85" w:rsidRPr="00371A33">
        <w:rPr>
          <w:rFonts w:eastAsia="Times New Roman" w:cs="Times New Roman"/>
          <w:noProof/>
          <w:sz w:val="22"/>
        </w:rPr>
        <w:t xml:space="preserve">  </w:t>
      </w:r>
      <w:r w:rsidR="005A6A85" w:rsidRPr="00371A33">
        <w:rPr>
          <w:rFonts w:eastAsia="Times New Roman" w:cs="Times New Roman"/>
          <w:noProof/>
          <w:sz w:val="22"/>
          <w:u w:val="single"/>
          <w:lang w:eastAsia="bg-BG"/>
        </w:rPr>
        <w:drawing>
          <wp:inline distT="0" distB="0" distL="0" distR="0" wp14:anchorId="262A40C0" wp14:editId="3E02D639">
            <wp:extent cx="666750" cy="48233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8" cy="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A85" w:rsidRPr="00371A33">
        <w:rPr>
          <w:rFonts w:eastAsia="Times New Roman" w:cs="Times New Roman"/>
          <w:noProof/>
          <w:sz w:val="22"/>
          <w:u w:val="single"/>
        </w:rPr>
        <w:t xml:space="preserve">     </w:t>
      </w:r>
      <w:r w:rsidR="008A5CED">
        <w:rPr>
          <w:rFonts w:eastAsia="Times New Roman" w:cs="Times New Roman"/>
          <w:noProof/>
          <w:sz w:val="22"/>
          <w:u w:val="single"/>
        </w:rPr>
        <w:t xml:space="preserve">      </w:t>
      </w:r>
      <w:r w:rsidR="005A6A85" w:rsidRPr="00371A33">
        <w:rPr>
          <w:rFonts w:eastAsia="Times New Roman" w:cs="Times New Roman"/>
          <w:noProof/>
          <w:sz w:val="22"/>
          <w:u w:val="single"/>
        </w:rPr>
        <w:t xml:space="preserve">  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eastAsia="bg-BG"/>
        </w:rPr>
        <w:drawing>
          <wp:inline distT="0" distB="0" distL="0" distR="0" wp14:anchorId="0DE125B2" wp14:editId="116FE11A">
            <wp:extent cx="581025" cy="443974"/>
            <wp:effectExtent l="19050" t="19050" r="9525" b="1333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6" cy="444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371A33">
        <w:rPr>
          <w:rFonts w:eastAsia="Times New Roman" w:cs="Times New Roman"/>
          <w:i/>
          <w:noProof/>
          <w:sz w:val="22"/>
          <w:u w:val="single"/>
        </w:rPr>
        <w:t xml:space="preserve">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</w:t>
      </w:r>
      <w:r w:rsidR="008A5CED">
        <w:rPr>
          <w:rFonts w:eastAsia="Times New Roman" w:cs="Times New Roman"/>
          <w:i/>
          <w:noProof/>
          <w:sz w:val="22"/>
          <w:u w:val="single"/>
        </w:rPr>
        <w:t xml:space="preserve">   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eastAsia="bg-BG"/>
        </w:rPr>
        <w:drawing>
          <wp:inline distT="0" distB="0" distL="0" distR="0" wp14:anchorId="0C1B6835" wp14:editId="127970DB">
            <wp:extent cx="398322" cy="485775"/>
            <wp:effectExtent l="19050" t="19050" r="20955" b="9525"/>
            <wp:docPr id="20" name="Картина 1" descr="D:\АДМИНИСТРАТИВНИ МИГ\АДМИНИСТРАТИВНИ ДОКУМЕНТИ\ЛОГО МИГ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ТИВНИ МИГ\АДМИНИСТРАТИВНИ ДОКУМЕНТИ\ЛОГО МИГ\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9" cy="4898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</w:t>
      </w:r>
      <w:r w:rsidR="008A5CED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   </w:t>
      </w:r>
      <w:r w:rsidR="008A5CED">
        <w:rPr>
          <w:rFonts w:eastAsia="Times New Roman" w:cs="Times New Roman"/>
          <w:i/>
          <w:noProof/>
          <w:sz w:val="22"/>
          <w:u w:val="single"/>
        </w:rPr>
        <w:t xml:space="preserve">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eastAsia="bg-BG"/>
        </w:rPr>
        <w:drawing>
          <wp:inline distT="0" distB="0" distL="0" distR="0" wp14:anchorId="57EB2C7E" wp14:editId="7416BAAF">
            <wp:extent cx="1147555" cy="485775"/>
            <wp:effectExtent l="19050" t="19050" r="1460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39" cy="485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</w:t>
      </w:r>
      <w:r w:rsidR="005A6A85" w:rsidRPr="00371A33">
        <w:rPr>
          <w:rFonts w:eastAsia="Times New Roman" w:cs="Times New Roman"/>
          <w:i/>
          <w:noProof/>
          <w:sz w:val="22"/>
          <w:u w:val="single"/>
        </w:rPr>
        <w:t xml:space="preserve">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</w:t>
      </w:r>
      <w:r w:rsidR="008A5CED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  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</w:t>
      </w:r>
      <w:r w:rsidR="005A6A85" w:rsidRPr="00371A33">
        <w:rPr>
          <w:rFonts w:eastAsia="Times New Roman" w:cs="Times New Roman"/>
          <w:i/>
          <w:noProof/>
          <w:sz w:val="22"/>
          <w:u w:val="single"/>
        </w:rPr>
        <w:t xml:space="preserve"> </w:t>
      </w:r>
      <w:r w:rsidR="005A6A85" w:rsidRPr="00371A33">
        <w:rPr>
          <w:rFonts w:eastAsia="Times New Roman" w:cs="Times New Roman"/>
          <w:noProof/>
          <w:sz w:val="22"/>
          <w:u w:val="single"/>
          <w:lang w:eastAsia="bg-BG"/>
        </w:rPr>
        <w:drawing>
          <wp:inline distT="0" distB="0" distL="0" distR="0" wp14:anchorId="2704AE68" wp14:editId="79A395BB">
            <wp:extent cx="628650" cy="462854"/>
            <wp:effectExtent l="19050" t="19050" r="19050" b="1397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8" cy="45899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5614B8" w14:textId="77777777" w:rsidR="005A6A85" w:rsidRPr="008A5CED" w:rsidRDefault="005A6A85" w:rsidP="005A6A8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A5CED">
        <w:rPr>
          <w:rFonts w:eastAsia="Times New Roman" w:cs="Times New Roman"/>
          <w:sz w:val="20"/>
          <w:szCs w:val="20"/>
        </w:rPr>
        <w:t>„Европейски земеделски фонд за развитие на селските райони – Европа инвестира в селските райони”</w:t>
      </w:r>
    </w:p>
    <w:p w14:paraId="5D65976E" w14:textId="77777777" w:rsidR="005A6A85" w:rsidRPr="008A5CED" w:rsidRDefault="005A6A85" w:rsidP="005A6A8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8A5CED">
        <w:rPr>
          <w:rFonts w:eastAsia="Times New Roman" w:cs="Times New Roman"/>
          <w:b/>
          <w:sz w:val="20"/>
          <w:szCs w:val="20"/>
        </w:rPr>
        <w:t>ПРОГРАМА ЗА РАЗВИТИЕ НА СЕЛСКИТЕ РАЙОНИ 2014 – 2020 г.</w:t>
      </w:r>
    </w:p>
    <w:p w14:paraId="1D6F46D5" w14:textId="77777777" w:rsidR="005A6A85" w:rsidRPr="008A5CED" w:rsidRDefault="005A6A85" w:rsidP="005A6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</w:pPr>
      <w:r w:rsidRPr="008A5CED"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  <w:t xml:space="preserve">Сдружение „МИГ Брезово, Братя Даскалови” </w:t>
      </w:r>
    </w:p>
    <w:p w14:paraId="50FD141F" w14:textId="77777777" w:rsidR="00617FB6" w:rsidRDefault="005A6A85" w:rsidP="008A5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</w:pPr>
      <w:r w:rsidRPr="008A5CED"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  <w:t>Споразумение за изпълнение на СВОМР №РД50-138/21.10.2016 Г.</w:t>
      </w:r>
    </w:p>
    <w:p w14:paraId="17F9D2B0" w14:textId="77777777" w:rsidR="00870182" w:rsidRDefault="00870182" w:rsidP="00870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</w:pPr>
    </w:p>
    <w:p w14:paraId="66147337" w14:textId="09A00226" w:rsidR="008A5CED" w:rsidRPr="00870182" w:rsidRDefault="001F4054" w:rsidP="00870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iCs/>
          <w:color w:val="000000"/>
          <w:spacing w:val="3"/>
          <w:sz w:val="20"/>
          <w:szCs w:val="20"/>
          <w:lang w:eastAsia="bg-BG"/>
        </w:rPr>
      </w:pPr>
      <w:r w:rsidRPr="001D7587">
        <w:rPr>
          <w:rFonts w:eastAsia="Times New Roman" w:cs="Times New Roman"/>
          <w:b/>
          <w:i/>
          <w:iCs/>
          <w:color w:val="000000"/>
          <w:spacing w:val="3"/>
          <w:sz w:val="20"/>
          <w:szCs w:val="20"/>
          <w:lang w:eastAsia="bg-BG"/>
        </w:rPr>
        <w:t xml:space="preserve">Приложение към Решение от </w:t>
      </w:r>
      <w:r w:rsidR="001D7587" w:rsidRPr="001D7587">
        <w:rPr>
          <w:rFonts w:eastAsia="Times New Roman" w:cs="Times New Roman"/>
          <w:b/>
          <w:i/>
          <w:iCs/>
          <w:color w:val="000000"/>
          <w:spacing w:val="3"/>
          <w:sz w:val="20"/>
          <w:szCs w:val="20"/>
          <w:lang w:val="en-US" w:eastAsia="bg-BG"/>
        </w:rPr>
        <w:t>11/26.08</w:t>
      </w:r>
      <w:r w:rsidR="001F0DE5" w:rsidRPr="001D7587">
        <w:rPr>
          <w:rFonts w:eastAsia="Times New Roman" w:cs="Times New Roman"/>
          <w:b/>
          <w:i/>
          <w:iCs/>
          <w:color w:val="000000"/>
          <w:spacing w:val="3"/>
          <w:sz w:val="20"/>
          <w:szCs w:val="20"/>
          <w:lang w:eastAsia="bg-BG"/>
        </w:rPr>
        <w:t>.2020</w:t>
      </w:r>
      <w:r w:rsidR="00870182" w:rsidRPr="001D7587">
        <w:rPr>
          <w:rFonts w:eastAsia="Times New Roman" w:cs="Times New Roman"/>
          <w:b/>
          <w:i/>
          <w:iCs/>
          <w:color w:val="000000"/>
          <w:spacing w:val="3"/>
          <w:sz w:val="20"/>
          <w:szCs w:val="20"/>
          <w:lang w:eastAsia="bg-BG"/>
        </w:rPr>
        <w:t xml:space="preserve"> г. на УС на СНЦ „МИГ Брезово, Братя Даскалови“</w:t>
      </w:r>
    </w:p>
    <w:p w14:paraId="3994F78C" w14:textId="77777777" w:rsidR="00870182" w:rsidRDefault="00870182" w:rsidP="007D21CC">
      <w:pPr>
        <w:spacing w:after="0" w:line="23" w:lineRule="atLeast"/>
        <w:jc w:val="center"/>
        <w:outlineLvl w:val="0"/>
        <w:rPr>
          <w:rFonts w:cs="Times New Roman"/>
          <w:b/>
          <w:sz w:val="32"/>
          <w:szCs w:val="32"/>
          <w:u w:val="single"/>
        </w:rPr>
      </w:pPr>
      <w:bookmarkStart w:id="1" w:name="_Toc175379528"/>
      <w:bookmarkStart w:id="2" w:name="_Toc175470698"/>
      <w:bookmarkStart w:id="3" w:name="_Toc175573961"/>
    </w:p>
    <w:p w14:paraId="22E98549" w14:textId="77777777" w:rsidR="00D3123F" w:rsidRPr="008051B1" w:rsidRDefault="00D3123F" w:rsidP="007D21CC">
      <w:pPr>
        <w:spacing w:after="0" w:line="23" w:lineRule="atLeast"/>
        <w:jc w:val="center"/>
        <w:outlineLvl w:val="0"/>
        <w:rPr>
          <w:rFonts w:cs="Times New Roman"/>
          <w:b/>
          <w:sz w:val="32"/>
          <w:szCs w:val="32"/>
          <w:u w:val="single"/>
        </w:rPr>
      </w:pPr>
      <w:r w:rsidRPr="008051B1">
        <w:rPr>
          <w:rFonts w:cs="Times New Roman"/>
          <w:b/>
          <w:sz w:val="32"/>
          <w:szCs w:val="32"/>
          <w:u w:val="single"/>
        </w:rPr>
        <w:t>О Б Я В А</w:t>
      </w:r>
    </w:p>
    <w:p w14:paraId="73AB09AC" w14:textId="77777777" w:rsidR="008051B1" w:rsidRDefault="008051B1" w:rsidP="007D21CC">
      <w:pPr>
        <w:spacing w:after="0" w:line="23" w:lineRule="atLeast"/>
        <w:jc w:val="center"/>
        <w:outlineLvl w:val="0"/>
        <w:rPr>
          <w:rFonts w:cs="Times New Roman"/>
          <w:b/>
          <w:color w:val="385623" w:themeColor="accent6" w:themeShade="80"/>
          <w:sz w:val="22"/>
          <w:u w:val="single"/>
        </w:rPr>
      </w:pPr>
    </w:p>
    <w:p w14:paraId="039F089E" w14:textId="77777777" w:rsidR="008051B1" w:rsidRPr="008051B1" w:rsidRDefault="008051B1" w:rsidP="007D21CC">
      <w:pPr>
        <w:spacing w:after="0" w:line="23" w:lineRule="atLeast"/>
        <w:jc w:val="center"/>
        <w:outlineLvl w:val="0"/>
        <w:rPr>
          <w:rFonts w:cs="Times New Roman"/>
          <w:b/>
          <w:sz w:val="22"/>
        </w:rPr>
      </w:pPr>
      <w:r w:rsidRPr="008051B1">
        <w:rPr>
          <w:rFonts w:cs="Times New Roman"/>
          <w:b/>
          <w:sz w:val="22"/>
        </w:rPr>
        <w:t>За прием на проектни предложения към Стратегията за водено от общностите местно развитие на Сдружение „Местна инициативна група Брезово, Братя Даскалови“, финансирана чрез „Програма за развитие на селските райони 2014 – 2020 г.</w:t>
      </w:r>
    </w:p>
    <w:p w14:paraId="071A5611" w14:textId="77777777" w:rsidR="00D3123F" w:rsidRPr="008051B1" w:rsidRDefault="00D3123F" w:rsidP="007D21CC">
      <w:pPr>
        <w:spacing w:after="0" w:line="23" w:lineRule="atLeast"/>
        <w:jc w:val="center"/>
        <w:outlineLvl w:val="0"/>
        <w:rPr>
          <w:rFonts w:cs="Times New Roman"/>
          <w:b/>
          <w:sz w:val="22"/>
        </w:rPr>
      </w:pPr>
    </w:p>
    <w:p w14:paraId="1864744A" w14:textId="77777777" w:rsidR="00D3123F" w:rsidRPr="008051B1" w:rsidRDefault="005A6A85" w:rsidP="007D21CC">
      <w:pPr>
        <w:spacing w:after="0" w:line="23" w:lineRule="atLeast"/>
        <w:jc w:val="center"/>
        <w:outlineLvl w:val="0"/>
        <w:rPr>
          <w:rFonts w:cs="Times New Roman"/>
          <w:b/>
          <w:sz w:val="22"/>
        </w:rPr>
      </w:pPr>
      <w:r w:rsidRPr="008051B1">
        <w:rPr>
          <w:rFonts w:cs="Times New Roman"/>
          <w:b/>
          <w:sz w:val="22"/>
        </w:rPr>
        <w:t>СДРУЖЕНИЕ „</w:t>
      </w:r>
      <w:r w:rsidR="00D3123F" w:rsidRPr="008051B1">
        <w:rPr>
          <w:rFonts w:cs="Times New Roman"/>
          <w:b/>
          <w:sz w:val="22"/>
        </w:rPr>
        <w:t xml:space="preserve">МЕСТНА ИНИЦИАТИВНА ГРУПА </w:t>
      </w:r>
      <w:r w:rsidRPr="008051B1">
        <w:rPr>
          <w:rFonts w:cs="Times New Roman"/>
          <w:b/>
          <w:sz w:val="22"/>
        </w:rPr>
        <w:t>БРЕЗОВО, БРАТЯ ДАСКАЛОВИ“</w:t>
      </w:r>
    </w:p>
    <w:p w14:paraId="60CDF181" w14:textId="77777777" w:rsidR="00D3123F" w:rsidRPr="008051B1" w:rsidRDefault="00D3123F" w:rsidP="007D21CC">
      <w:pPr>
        <w:spacing w:after="0" w:line="23" w:lineRule="atLeast"/>
        <w:jc w:val="center"/>
        <w:outlineLvl w:val="0"/>
        <w:rPr>
          <w:rFonts w:cs="Times New Roman"/>
          <w:b/>
          <w:sz w:val="22"/>
        </w:rPr>
      </w:pPr>
      <w:r w:rsidRPr="008051B1">
        <w:rPr>
          <w:rFonts w:cs="Times New Roman"/>
          <w:b/>
          <w:caps/>
          <w:sz w:val="22"/>
        </w:rPr>
        <w:t>Открива процедура за подбор на проектни предложения</w:t>
      </w:r>
    </w:p>
    <w:p w14:paraId="57B6CBA9" w14:textId="77777777" w:rsidR="00D3123F" w:rsidRDefault="00D3123F" w:rsidP="007D21CC">
      <w:pPr>
        <w:spacing w:after="0" w:line="23" w:lineRule="atLeast"/>
        <w:jc w:val="center"/>
        <w:outlineLvl w:val="0"/>
        <w:rPr>
          <w:rFonts w:cs="Times New Roman"/>
          <w:b/>
          <w:caps/>
          <w:sz w:val="22"/>
        </w:rPr>
      </w:pPr>
      <w:r w:rsidRPr="008051B1">
        <w:rPr>
          <w:rFonts w:cs="Times New Roman"/>
          <w:b/>
          <w:caps/>
          <w:sz w:val="22"/>
        </w:rPr>
        <w:t>за предОставяне на безвъзмездна финансова помощ</w:t>
      </w:r>
    </w:p>
    <w:p w14:paraId="1AAFFE85" w14:textId="77777777" w:rsidR="00C10A47" w:rsidRDefault="00C10A47" w:rsidP="007D21CC">
      <w:pPr>
        <w:spacing w:after="0" w:line="23" w:lineRule="atLeast"/>
        <w:jc w:val="center"/>
        <w:outlineLvl w:val="0"/>
        <w:rPr>
          <w:rFonts w:cs="Times New Roman"/>
          <w:b/>
          <w:caps/>
          <w:sz w:val="22"/>
          <w:lang w:val="en-US"/>
        </w:rPr>
      </w:pPr>
    </w:p>
    <w:tbl>
      <w:tblPr>
        <w:tblStyle w:val="a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81"/>
      </w:tblGrid>
      <w:tr w:rsidR="008051B1" w14:paraId="003BE79E" w14:textId="77777777" w:rsidTr="008C33D1">
        <w:tc>
          <w:tcPr>
            <w:tcW w:w="10881" w:type="dxa"/>
            <w:shd w:val="clear" w:color="auto" w:fill="F2F2F2" w:themeFill="background1" w:themeFillShade="F2"/>
          </w:tcPr>
          <w:p w14:paraId="46F2AA35" w14:textId="77777777" w:rsidR="007C5952" w:rsidRPr="007C5952" w:rsidRDefault="007C5952" w:rsidP="007C5952">
            <w:pPr>
              <w:spacing w:line="23" w:lineRule="atLeast"/>
              <w:jc w:val="center"/>
              <w:outlineLvl w:val="0"/>
              <w:rPr>
                <w:rStyle w:val="indented"/>
                <w:rFonts w:cs="Times New Roman"/>
                <w:b/>
                <w:sz w:val="22"/>
              </w:rPr>
            </w:pPr>
            <w:r w:rsidRPr="007C5952">
              <w:rPr>
                <w:rStyle w:val="indented"/>
                <w:rFonts w:cs="Times New Roman"/>
                <w:b/>
                <w:sz w:val="22"/>
              </w:rPr>
              <w:t xml:space="preserve">Процедура за подбор на проектни предложение: </w:t>
            </w:r>
          </w:p>
          <w:p w14:paraId="48D07596" w14:textId="66787D95" w:rsidR="008051B1" w:rsidRPr="00C10A47" w:rsidRDefault="007C5952" w:rsidP="007C5952">
            <w:pPr>
              <w:spacing w:line="23" w:lineRule="atLeast"/>
              <w:jc w:val="center"/>
              <w:outlineLvl w:val="0"/>
              <w:rPr>
                <w:rFonts w:cs="Times New Roman"/>
                <w:b/>
                <w:sz w:val="22"/>
              </w:rPr>
            </w:pPr>
            <w:r w:rsidRPr="007C5952">
              <w:rPr>
                <w:rStyle w:val="indented"/>
                <w:rFonts w:cs="Times New Roman"/>
                <w:b/>
                <w:sz w:val="22"/>
              </w:rPr>
              <w:t>BG06RDNP001-19.439 "МИГ Брезово, Братя Даскалови" подмярка 7.5. „Инвестиции за публично ползване в инфраструктура за отдих, туристическа информация и малка по мащаб туристическа инфраструктура”</w:t>
            </w:r>
          </w:p>
        </w:tc>
      </w:tr>
    </w:tbl>
    <w:p w14:paraId="15315000" w14:textId="77777777" w:rsidR="00A575D1" w:rsidRPr="00371A33" w:rsidRDefault="00A575D1" w:rsidP="008A5CED">
      <w:pPr>
        <w:spacing w:line="23" w:lineRule="atLeast"/>
        <w:jc w:val="both"/>
        <w:outlineLvl w:val="0"/>
        <w:rPr>
          <w:rFonts w:cs="Times New Roman"/>
          <w:b/>
          <w:sz w:val="16"/>
          <w:szCs w:val="16"/>
        </w:rPr>
      </w:pPr>
    </w:p>
    <w:p w14:paraId="1FD6BAF0" w14:textId="77777777" w:rsidR="00D3123F" w:rsidRDefault="00D3123F" w:rsidP="008A5CED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C10A47">
        <w:rPr>
          <w:rFonts w:cs="Times New Roman"/>
          <w:b/>
          <w:sz w:val="22"/>
          <w:lang w:eastAsia="bg-BG"/>
        </w:rPr>
        <w:t>1. НАИМЕНОВАНИЕ НА МЯРКАТА ОТ СТРАТЕГИЯТА ЗА ВОМР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C10A47" w14:paraId="0497215A" w14:textId="77777777" w:rsidTr="008C33D1">
        <w:tc>
          <w:tcPr>
            <w:tcW w:w="10881" w:type="dxa"/>
          </w:tcPr>
          <w:p w14:paraId="0BCE4E1B" w14:textId="2CD41FE3" w:rsidR="00C10A47" w:rsidRPr="00C10A47" w:rsidRDefault="00714F74" w:rsidP="00C10A47">
            <w:pPr>
              <w:shd w:val="clear" w:color="auto" w:fill="FEFEFE"/>
              <w:spacing w:line="23" w:lineRule="atLeast"/>
              <w:rPr>
                <w:rStyle w:val="indented"/>
                <w:rFonts w:cs="Times New Roman"/>
                <w:b/>
                <w:sz w:val="22"/>
              </w:rPr>
            </w:pPr>
            <w:r>
              <w:rPr>
                <w:rStyle w:val="indented"/>
                <w:rFonts w:cs="Times New Roman"/>
                <w:b/>
                <w:sz w:val="22"/>
              </w:rPr>
              <w:t>П</w:t>
            </w:r>
            <w:r w:rsidRPr="00714F74">
              <w:rPr>
                <w:rStyle w:val="indented"/>
                <w:rFonts w:cs="Times New Roman"/>
                <w:b/>
                <w:sz w:val="22"/>
              </w:rPr>
              <w:t>одмярка 7.5. „Инвестиции за публично ползване в инфраструктура за отдих, туристическа информация и малка по мащаб туристическа инфраструктура”</w:t>
            </w:r>
          </w:p>
        </w:tc>
      </w:tr>
    </w:tbl>
    <w:p w14:paraId="34E72E5F" w14:textId="77777777" w:rsidR="00C10A47" w:rsidRPr="004E46EC" w:rsidRDefault="00C10A47" w:rsidP="008C33D1">
      <w:pPr>
        <w:shd w:val="clear" w:color="auto" w:fill="FEFEFE"/>
        <w:spacing w:after="0" w:line="23" w:lineRule="atLeast"/>
        <w:rPr>
          <w:rStyle w:val="indented"/>
          <w:rFonts w:cs="Times New Roman"/>
          <w:b/>
          <w:sz w:val="16"/>
          <w:szCs w:val="16"/>
          <w:lang w:val="en-US" w:eastAsia="bg-BG"/>
        </w:rPr>
      </w:pPr>
    </w:p>
    <w:p w14:paraId="23EAC097" w14:textId="77777777" w:rsidR="00D3123F" w:rsidRDefault="00D3123F" w:rsidP="008C33D1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8A5CED">
        <w:rPr>
          <w:rFonts w:cs="Times New Roman"/>
          <w:b/>
          <w:sz w:val="22"/>
          <w:lang w:eastAsia="bg-BG"/>
        </w:rPr>
        <w:t>2. ДОПУСТИМИ КАНДИДАТИ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8A5CED" w14:paraId="644513E2" w14:textId="77777777" w:rsidTr="008C33D1">
        <w:tc>
          <w:tcPr>
            <w:tcW w:w="10881" w:type="dxa"/>
          </w:tcPr>
          <w:p w14:paraId="0EE8DAA9" w14:textId="77777777" w:rsidR="00800A50" w:rsidRPr="00800A50" w:rsidRDefault="00800A50" w:rsidP="00800A50">
            <w:pPr>
              <w:shd w:val="clear" w:color="auto" w:fill="FEFEFE"/>
              <w:spacing w:line="23" w:lineRule="atLeast"/>
              <w:jc w:val="both"/>
              <w:rPr>
                <w:rFonts w:cs="Times New Roman"/>
                <w:b/>
                <w:sz w:val="22"/>
                <w:shd w:val="clear" w:color="auto" w:fill="FEFEFE"/>
              </w:rPr>
            </w:pPr>
            <w:r w:rsidRPr="00800A50">
              <w:rPr>
                <w:rFonts w:cs="Times New Roman"/>
                <w:b/>
                <w:sz w:val="22"/>
                <w:shd w:val="clear" w:color="auto" w:fill="FEFEFE"/>
              </w:rPr>
              <w:t>Допустими кандидати по настоящата процедура за предоставяне на БФП са:</w:t>
            </w:r>
          </w:p>
          <w:p w14:paraId="16193E0B" w14:textId="77777777" w:rsidR="00800A50" w:rsidRPr="00800A50" w:rsidRDefault="00800A50" w:rsidP="00800A50">
            <w:pPr>
              <w:pStyle w:val="a9"/>
              <w:numPr>
                <w:ilvl w:val="0"/>
                <w:numId w:val="29"/>
              </w:numPr>
              <w:shd w:val="clear" w:color="auto" w:fill="FEFEFE"/>
              <w:spacing w:line="23" w:lineRule="atLeast"/>
              <w:jc w:val="both"/>
              <w:rPr>
                <w:rFonts w:cs="Times New Roman"/>
                <w:sz w:val="22"/>
                <w:shd w:val="clear" w:color="auto" w:fill="FEFEFE"/>
              </w:rPr>
            </w:pPr>
            <w:r w:rsidRPr="00800A50">
              <w:rPr>
                <w:rFonts w:cs="Times New Roman"/>
                <w:sz w:val="22"/>
                <w:shd w:val="clear" w:color="auto" w:fill="FEFEFE"/>
              </w:rPr>
              <w:t>Общините Брезово и Братя Даскалови за всички допустими дейности;</w:t>
            </w:r>
          </w:p>
          <w:p w14:paraId="616DEBC2" w14:textId="77777777" w:rsidR="00800A50" w:rsidRPr="00800A50" w:rsidRDefault="00800A50" w:rsidP="00800A50">
            <w:pPr>
              <w:pStyle w:val="a9"/>
              <w:numPr>
                <w:ilvl w:val="0"/>
                <w:numId w:val="29"/>
              </w:numPr>
              <w:shd w:val="clear" w:color="auto" w:fill="FEFEFE"/>
              <w:spacing w:line="23" w:lineRule="atLeast"/>
              <w:jc w:val="both"/>
              <w:rPr>
                <w:rFonts w:cs="Times New Roman"/>
                <w:sz w:val="22"/>
                <w:shd w:val="clear" w:color="auto" w:fill="FEFEFE"/>
              </w:rPr>
            </w:pPr>
            <w:r w:rsidRPr="00800A50">
              <w:rPr>
                <w:rFonts w:cs="Times New Roman"/>
                <w:sz w:val="22"/>
                <w:shd w:val="clear" w:color="auto" w:fill="FEFEFE"/>
              </w:rPr>
              <w:t>Юридически лица с нестопанска цел ( ЮЛНЦ ) със седалище и адрес на управление на територията на МИГ Брезово, Братя Даскалови;</w:t>
            </w:r>
          </w:p>
          <w:p w14:paraId="02D94552" w14:textId="50FA616B" w:rsidR="008A5CED" w:rsidRPr="00800A50" w:rsidRDefault="00800A50" w:rsidP="00800A50">
            <w:pPr>
              <w:shd w:val="clear" w:color="auto" w:fill="FEFEFE"/>
              <w:spacing w:line="23" w:lineRule="atLeast"/>
              <w:jc w:val="both"/>
              <w:rPr>
                <w:rFonts w:cs="Times New Roman"/>
                <w:b/>
                <w:sz w:val="22"/>
                <w:shd w:val="clear" w:color="auto" w:fill="FEFEFE"/>
              </w:rPr>
            </w:pPr>
            <w:r w:rsidRPr="00800A50">
              <w:rPr>
                <w:rFonts w:cs="Times New Roman"/>
                <w:b/>
                <w:sz w:val="22"/>
                <w:shd w:val="clear" w:color="auto" w:fill="FEFEFE"/>
              </w:rPr>
              <w:t>Когато кандидат по процедурата е клон на юридическо лице с нестопанска цел, юридическото лице, открил клона, следва да е със седалище и адрес на управление на територията на действие на МИГ Брезово, Братя Даскалови и да осъществява дейностите по проект на територията на действие на МИГ Брезово, Братя Даскалови.</w:t>
            </w:r>
          </w:p>
        </w:tc>
      </w:tr>
    </w:tbl>
    <w:p w14:paraId="4918AEAD" w14:textId="77777777" w:rsidR="008A5CED" w:rsidRPr="004E46EC" w:rsidRDefault="008A5CED" w:rsidP="008A5CED">
      <w:pPr>
        <w:shd w:val="clear" w:color="auto" w:fill="FEFEFE"/>
        <w:spacing w:after="0" w:line="23" w:lineRule="atLeast"/>
        <w:rPr>
          <w:rFonts w:cs="Times New Roman"/>
          <w:b/>
          <w:sz w:val="16"/>
          <w:szCs w:val="16"/>
          <w:lang w:eastAsia="bg-BG"/>
        </w:rPr>
      </w:pPr>
    </w:p>
    <w:p w14:paraId="52F21111" w14:textId="77777777" w:rsidR="00D3123F" w:rsidRDefault="00D3123F" w:rsidP="008A5CED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8A5CED">
        <w:rPr>
          <w:rFonts w:cs="Times New Roman"/>
          <w:b/>
          <w:sz w:val="22"/>
          <w:lang w:eastAsia="bg-BG"/>
        </w:rPr>
        <w:t>3. ДОПУСТИМИ ДЕЙНОСТИ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8A5CED" w14:paraId="5153581F" w14:textId="77777777" w:rsidTr="008C33D1">
        <w:tc>
          <w:tcPr>
            <w:tcW w:w="10881" w:type="dxa"/>
          </w:tcPr>
          <w:p w14:paraId="3EC5E82A" w14:textId="3BC7F2B0" w:rsidR="0043328B" w:rsidRPr="0043328B" w:rsidRDefault="00A40886" w:rsidP="0043328B">
            <w:pPr>
              <w:contextualSpacing/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1.</w:t>
            </w:r>
            <w:r w:rsidR="0043328B" w:rsidRP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Изграждане, реконструкция, ремонт, закупуване на оборудване и/или обзавеждане на турис</w:t>
            </w:r>
            <w:r w:rsid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тически информационни центрове;</w:t>
            </w:r>
          </w:p>
          <w:p w14:paraId="43A1A71C" w14:textId="4DC4BB5D" w:rsidR="0043328B" w:rsidRPr="0043328B" w:rsidRDefault="0043328B" w:rsidP="0043328B">
            <w:pPr>
              <w:contextualSpacing/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 xml:space="preserve">2. </w:t>
            </w:r>
            <w:r w:rsidRP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 xml:space="preserve">Изграждане, реконструкция, ремонт, закупуване на оборудване и/или обзавеждане на </w:t>
            </w:r>
            <w:proofErr w:type="spellStart"/>
            <w:r w:rsidRP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посетителски</w:t>
            </w:r>
            <w:proofErr w:type="spellEnd"/>
            <w:r w:rsidRP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 xml:space="preserve"> центрове за представяне и експониране на местното </w:t>
            </w:r>
            <w:r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природно и културно наследство;</w:t>
            </w:r>
          </w:p>
          <w:p w14:paraId="0562C710" w14:textId="2D683F95" w:rsidR="0043328B" w:rsidRPr="0043328B" w:rsidRDefault="0043328B" w:rsidP="0043328B">
            <w:pPr>
              <w:contextualSpacing/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 xml:space="preserve">3. </w:t>
            </w:r>
            <w:r w:rsidRP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Изграждане, реконструкция, ремонт, закупуване на оборудване и/или обзавеждане на центровете за изкуств</w:t>
            </w:r>
            <w:r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о и занаяти с туристическа цел;</w:t>
            </w:r>
          </w:p>
          <w:p w14:paraId="5077FD63" w14:textId="1D1A23EC" w:rsidR="0043328B" w:rsidRPr="0043328B" w:rsidRDefault="0043328B" w:rsidP="0043328B">
            <w:pPr>
              <w:contextualSpacing/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 xml:space="preserve">4. </w:t>
            </w:r>
            <w:r w:rsidRP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</w:t>
            </w:r>
            <w:r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авателна или образователна цел;</w:t>
            </w:r>
          </w:p>
          <w:p w14:paraId="1D6BF2EE" w14:textId="37D4A5EF" w:rsidR="008A5CED" w:rsidRPr="008A5CED" w:rsidRDefault="000F7B54" w:rsidP="0043328B">
            <w:pPr>
              <w:contextualSpacing/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5.</w:t>
            </w:r>
            <w:r w:rsidR="0043328B" w:rsidRP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 xml:space="preserve"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</w:t>
            </w:r>
            <w:proofErr w:type="spellStart"/>
            <w:r w:rsidR="0043328B" w:rsidRP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велоалеи</w:t>
            </w:r>
            <w:proofErr w:type="spellEnd"/>
            <w:r w:rsidR="0043328B" w:rsidRPr="0043328B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 xml:space="preserve"> и туристически пътеки).</w:t>
            </w:r>
          </w:p>
        </w:tc>
      </w:tr>
    </w:tbl>
    <w:p w14:paraId="056877EE" w14:textId="77777777" w:rsidR="00B2368B" w:rsidRPr="004E46EC" w:rsidRDefault="00B2368B" w:rsidP="008A5CED">
      <w:pPr>
        <w:pStyle w:val="af0"/>
        <w:spacing w:line="23" w:lineRule="atLeast"/>
        <w:ind w:right="49"/>
        <w:jc w:val="both"/>
        <w:rPr>
          <w:rFonts w:ascii="Times New Roman" w:hAnsi="Times New Roman"/>
          <w:sz w:val="16"/>
          <w:szCs w:val="16"/>
          <w:lang w:val="bg-BG"/>
        </w:rPr>
      </w:pPr>
    </w:p>
    <w:p w14:paraId="13CD90B3" w14:textId="77777777" w:rsidR="001B0DBB" w:rsidRDefault="001B0DBB" w:rsidP="008C33D1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8A5CED">
        <w:rPr>
          <w:rFonts w:cs="Times New Roman"/>
          <w:b/>
          <w:sz w:val="22"/>
          <w:lang w:eastAsia="bg-BG"/>
        </w:rPr>
        <w:t>4. ДОПУСТИМИ РАЗХОДИ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8C33D1" w14:paraId="5E9574B5" w14:textId="77777777" w:rsidTr="008C33D1">
        <w:tc>
          <w:tcPr>
            <w:tcW w:w="10913" w:type="dxa"/>
          </w:tcPr>
          <w:p w14:paraId="7F63F629" w14:textId="23665BCA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1. </w:t>
            </w:r>
            <w:r w:rsidRPr="00E2368F">
              <w:rPr>
                <w:rFonts w:cs="Times New Roman"/>
                <w:sz w:val="22"/>
              </w:rPr>
              <w:t>Изграждането, включително отпускането на лизинг, или подобренията на недвижимо имущество;</w:t>
            </w:r>
          </w:p>
          <w:p w14:paraId="38E77F0D" w14:textId="49ADCD3C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2. </w:t>
            </w:r>
            <w:r w:rsidRPr="00E2368F">
              <w:rPr>
                <w:rFonts w:cs="Times New Roman"/>
                <w:sz w:val="22"/>
              </w:rPr>
              <w:t>Закупуването или вземането на лизинг на нови машини и оборудване, обзавеждане до пазарната цена на актива;</w:t>
            </w:r>
          </w:p>
          <w:p w14:paraId="2401EED0" w14:textId="582341D9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3. </w:t>
            </w:r>
            <w:r w:rsidRPr="00E2368F">
              <w:rPr>
                <w:rFonts w:cs="Times New Roman"/>
                <w:sz w:val="22"/>
              </w:rPr>
              <w:t>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      </w:r>
          </w:p>
          <w:p w14:paraId="79337A46" w14:textId="2521DBE2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4. </w:t>
            </w:r>
            <w:r w:rsidRPr="00E2368F">
              <w:rPr>
                <w:rFonts w:cs="Times New Roman"/>
                <w:sz w:val="22"/>
              </w:rPr>
              <w:t xml:space="preserve">Общи разходи, свързани с изброените по-горе, например хонорари на архитекти, инженери и консултанти, </w:t>
            </w:r>
            <w:r w:rsidRPr="00E2368F">
              <w:rPr>
                <w:rFonts w:cs="Times New Roman"/>
                <w:sz w:val="22"/>
              </w:rPr>
              <w:lastRenderedPageBreak/>
              <w:t>хонорари, свързани с консултации относно екологичната и икономическата устойчивост:</w:t>
            </w:r>
          </w:p>
          <w:p w14:paraId="46E6D208" w14:textId="77777777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E2368F">
              <w:rPr>
                <w:rFonts w:cs="Times New Roman"/>
                <w:sz w:val="22"/>
              </w:rPr>
              <w:t>4.1. Общи разходи свързани с проекта, в това число разходи за хонорари за архитекти, инженери и консултанти, консултации за икономическа и екологична устойчивост на проекта, извършени както в процеса на подготовка на проекта преди подаване на проектното предложение, така и по време на неговото изпълнение, не могат да надхвърлят 12 на сто от общия размер на допустимите разходи по проект, включени в т. 1,2 и 3.</w:t>
            </w:r>
          </w:p>
          <w:p w14:paraId="20144776" w14:textId="77777777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E2368F">
              <w:rPr>
                <w:rFonts w:cs="Times New Roman"/>
                <w:sz w:val="22"/>
              </w:rPr>
              <w:t xml:space="preserve">4.2. Разходите за консултанти и консултации за икономическа устойчивост се състоят от попълване на анализ-разходи-ползи (финансов анализ), извършване на </w:t>
            </w:r>
            <w:proofErr w:type="spellStart"/>
            <w:r w:rsidRPr="00E2368F">
              <w:rPr>
                <w:rFonts w:cs="Times New Roman"/>
                <w:sz w:val="22"/>
              </w:rPr>
              <w:t>предпроектни</w:t>
            </w:r>
            <w:proofErr w:type="spellEnd"/>
            <w:r w:rsidRPr="00E2368F">
              <w:rPr>
                <w:rFonts w:cs="Times New Roman"/>
                <w:sz w:val="22"/>
              </w:rPr>
              <w:t xml:space="preserve"> проучвания и окомплектоване на пакета от документи и консултантски услуги, свързани с изпълнението, и отчитане на дейностите по проекта до изплащане на помощта не следва да надхвърлят 5 на сто от стойността на допустимите разходи по точки 1, 2 и 3.</w:t>
            </w:r>
          </w:p>
          <w:p w14:paraId="45064971" w14:textId="77777777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u w:val="single"/>
              </w:rPr>
            </w:pPr>
            <w:r w:rsidRPr="00E2368F">
              <w:rPr>
                <w:rFonts w:cs="Times New Roman"/>
                <w:b/>
                <w:sz w:val="22"/>
                <w:u w:val="single"/>
              </w:rPr>
              <w:t>Специфични допустими разходи:</w:t>
            </w:r>
          </w:p>
          <w:p w14:paraId="1D3C4A25" w14:textId="77777777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E2368F">
              <w:rPr>
                <w:rFonts w:cs="Times New Roman"/>
                <w:sz w:val="22"/>
              </w:rPr>
              <w:t>Невъзстановимият данък добавена стойност е допустим разход.</w:t>
            </w:r>
          </w:p>
          <w:p w14:paraId="2CF53BF8" w14:textId="77777777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E2368F">
              <w:rPr>
                <w:rFonts w:cs="Times New Roman"/>
                <w:sz w:val="22"/>
              </w:rPr>
              <w:t>1. При кандидати различни от община, в случай че ДДС е невъзстановим за кандидата, същият се включва към съответното бюджетно перо по проекта.</w:t>
            </w:r>
          </w:p>
          <w:p w14:paraId="570A5A5B" w14:textId="77777777" w:rsidR="00E2368F" w:rsidRPr="00E2368F" w:rsidRDefault="00E2368F" w:rsidP="00E236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E2368F">
              <w:rPr>
                <w:rFonts w:cs="Times New Roman"/>
                <w:sz w:val="22"/>
              </w:rPr>
              <w:t xml:space="preserve">2. Разходите за ДДС не се заявяват в проектното предложение на кандидат – община. Финансирането на разходи за ДДС на общини по одобрени за подпомагане проекти по Програмата за развитие на селските райони за периода 2014 – 2020 се урежда ежегодно в Закона за държавния бюджет и подзаконови нормативни актове. </w:t>
            </w:r>
          </w:p>
          <w:p w14:paraId="1C2550B2" w14:textId="433936EA" w:rsidR="008C33D1" w:rsidRPr="00AB70EB" w:rsidRDefault="00E2368F" w:rsidP="00E2368F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eastAsia="Calibri" w:cs="Times New Roman"/>
                <w:b/>
                <w:sz w:val="22"/>
              </w:rPr>
            </w:pPr>
            <w:r w:rsidRPr="00E2368F">
              <w:rPr>
                <w:rFonts w:cs="Times New Roman"/>
                <w:sz w:val="22"/>
              </w:rPr>
              <w:t>Редът за изплащане на ДДС за кандидати общини се приема с постановление на Министерски съвет.</w:t>
            </w:r>
          </w:p>
        </w:tc>
      </w:tr>
    </w:tbl>
    <w:p w14:paraId="26AB3EDD" w14:textId="77777777" w:rsidR="008C33D1" w:rsidRPr="004E46EC" w:rsidRDefault="008C33D1" w:rsidP="008C33D1">
      <w:pPr>
        <w:shd w:val="clear" w:color="auto" w:fill="FEFEFE"/>
        <w:spacing w:after="0" w:line="23" w:lineRule="atLeast"/>
        <w:rPr>
          <w:rFonts w:cs="Times New Roman"/>
          <w:b/>
          <w:sz w:val="16"/>
          <w:szCs w:val="16"/>
          <w:lang w:eastAsia="bg-BG"/>
        </w:rPr>
      </w:pPr>
    </w:p>
    <w:p w14:paraId="12976879" w14:textId="77777777" w:rsidR="00D3123F" w:rsidRDefault="001B0DBB" w:rsidP="008C33D1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8C33D1">
        <w:rPr>
          <w:rFonts w:cs="Times New Roman"/>
          <w:b/>
          <w:sz w:val="22"/>
          <w:lang w:eastAsia="bg-BG"/>
        </w:rPr>
        <w:t>5</w:t>
      </w:r>
      <w:r w:rsidR="00D3123F" w:rsidRPr="008C33D1">
        <w:rPr>
          <w:rFonts w:cs="Times New Roman"/>
          <w:b/>
          <w:sz w:val="22"/>
          <w:lang w:eastAsia="bg-BG"/>
        </w:rPr>
        <w:t>. ПЕРИОД ЗА ПРИЕМ И МЯСТО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8C33D1" w14:paraId="217577AB" w14:textId="77777777" w:rsidTr="008C33D1">
        <w:tc>
          <w:tcPr>
            <w:tcW w:w="10913" w:type="dxa"/>
          </w:tcPr>
          <w:p w14:paraId="558FA8AC" w14:textId="5F60F93D" w:rsidR="008C33D1" w:rsidRPr="00371A33" w:rsidRDefault="009C6C30" w:rsidP="008C33D1">
            <w:pPr>
              <w:shd w:val="clear" w:color="auto" w:fill="FEFEFE"/>
              <w:spacing w:line="23" w:lineRule="atLeast"/>
              <w:rPr>
                <w:rFonts w:cs="Times New Roman"/>
                <w:b/>
                <w:color w:val="000000"/>
                <w:sz w:val="22"/>
                <w:lang w:eastAsia="bg-BG"/>
              </w:rPr>
            </w:pPr>
            <w:r>
              <w:rPr>
                <w:rFonts w:cs="Times New Roman"/>
                <w:b/>
                <w:color w:val="000000"/>
                <w:sz w:val="22"/>
                <w:lang w:eastAsia="bg-BG"/>
              </w:rPr>
              <w:t>П</w:t>
            </w:r>
            <w:r w:rsidR="008C33D1" w:rsidRPr="00371A33">
              <w:rPr>
                <w:rFonts w:cs="Times New Roman"/>
                <w:b/>
                <w:color w:val="000000"/>
                <w:sz w:val="22"/>
                <w:lang w:eastAsia="bg-BG"/>
              </w:rPr>
              <w:t>рием на проектни предложения:</w:t>
            </w:r>
          </w:p>
          <w:p w14:paraId="0346A99A" w14:textId="32CD7FC3" w:rsidR="008C33D1" w:rsidRPr="00371A33" w:rsidRDefault="008C33D1" w:rsidP="008C33D1">
            <w:pPr>
              <w:spacing w:line="23" w:lineRule="atLeast"/>
              <w:jc w:val="both"/>
              <w:rPr>
                <w:rFonts w:cs="Times New Roman"/>
                <w:sz w:val="22"/>
              </w:rPr>
            </w:pPr>
            <w:r w:rsidRPr="00371A33">
              <w:rPr>
                <w:rFonts w:cs="Times New Roman"/>
                <w:sz w:val="22"/>
              </w:rPr>
              <w:t xml:space="preserve">Начален срок за подаване на проектните предложения: </w:t>
            </w:r>
            <w:r w:rsidRPr="00371A33">
              <w:rPr>
                <w:rFonts w:cs="Times New Roman"/>
                <w:b/>
                <w:sz w:val="22"/>
              </w:rPr>
              <w:t xml:space="preserve">от </w:t>
            </w:r>
            <w:r w:rsidR="0074645C">
              <w:rPr>
                <w:rFonts w:cs="Times New Roman"/>
                <w:b/>
                <w:sz w:val="22"/>
              </w:rPr>
              <w:t xml:space="preserve">30.09.2020 </w:t>
            </w:r>
            <w:r w:rsidRPr="00C84528">
              <w:rPr>
                <w:rFonts w:cs="Times New Roman"/>
                <w:b/>
                <w:sz w:val="22"/>
              </w:rPr>
              <w:t>г.</w:t>
            </w:r>
          </w:p>
          <w:p w14:paraId="48E527A0" w14:textId="58428A7F" w:rsidR="008C33D1" w:rsidRDefault="008C33D1" w:rsidP="008C33D1">
            <w:pPr>
              <w:spacing w:line="23" w:lineRule="atLeast"/>
              <w:jc w:val="both"/>
              <w:rPr>
                <w:rFonts w:cs="Times New Roman"/>
                <w:b/>
                <w:sz w:val="22"/>
              </w:rPr>
            </w:pPr>
            <w:r w:rsidRPr="00371A33">
              <w:rPr>
                <w:rFonts w:cs="Times New Roman"/>
                <w:sz w:val="22"/>
              </w:rPr>
              <w:t xml:space="preserve">Краен срок за подаване на проектни предложения: </w:t>
            </w:r>
            <w:r w:rsidR="00DD7F7E">
              <w:rPr>
                <w:rFonts w:cs="Times New Roman"/>
                <w:b/>
                <w:sz w:val="22"/>
              </w:rPr>
              <w:t>до 17</w:t>
            </w:r>
            <w:r w:rsidR="00A95C16">
              <w:rPr>
                <w:rFonts w:cs="Times New Roman"/>
                <w:b/>
                <w:sz w:val="22"/>
              </w:rPr>
              <w:t>.3</w:t>
            </w:r>
            <w:r w:rsidR="0047533D">
              <w:rPr>
                <w:rFonts w:cs="Times New Roman"/>
                <w:b/>
                <w:sz w:val="22"/>
              </w:rPr>
              <w:t>0 часа на 01.12.2020</w:t>
            </w:r>
            <w:r w:rsidRPr="008C33D1">
              <w:rPr>
                <w:rFonts w:cs="Times New Roman"/>
                <w:b/>
                <w:sz w:val="22"/>
              </w:rPr>
              <w:t xml:space="preserve"> г.</w:t>
            </w:r>
          </w:p>
          <w:p w14:paraId="506859F6" w14:textId="77777777" w:rsidR="00865D3A" w:rsidRDefault="00865D3A" w:rsidP="00E31DB3">
            <w:pPr>
              <w:spacing w:line="23" w:lineRule="atLeast"/>
              <w:jc w:val="both"/>
              <w:rPr>
                <w:rFonts w:cs="Times New Roman"/>
                <w:b/>
                <w:sz w:val="22"/>
              </w:rPr>
            </w:pPr>
          </w:p>
          <w:p w14:paraId="37B98664" w14:textId="3E760346" w:rsidR="00865D3A" w:rsidRDefault="00865D3A" w:rsidP="00E31DB3">
            <w:pPr>
              <w:spacing w:line="23" w:lineRule="atLeast"/>
              <w:jc w:val="both"/>
              <w:rPr>
                <w:rFonts w:cs="Times New Roman"/>
                <w:b/>
                <w:sz w:val="22"/>
              </w:rPr>
            </w:pPr>
            <w:r w:rsidRPr="00865D3A">
              <w:rPr>
                <w:rFonts w:cs="Times New Roman"/>
                <w:b/>
                <w:sz w:val="22"/>
              </w:rPr>
              <w:t>Място на подаване на проектни предложения:</w:t>
            </w:r>
          </w:p>
          <w:p w14:paraId="3E60C514" w14:textId="536E0300" w:rsidR="00865D3A" w:rsidRPr="00865D3A" w:rsidRDefault="00865D3A" w:rsidP="00E31DB3">
            <w:pPr>
              <w:spacing w:line="23" w:lineRule="atLeast"/>
              <w:jc w:val="both"/>
              <w:rPr>
                <w:rFonts w:cs="Times New Roman"/>
                <w:sz w:val="22"/>
              </w:rPr>
            </w:pPr>
            <w:r w:rsidRPr="00865D3A">
              <w:rPr>
                <w:rFonts w:cs="Times New Roman"/>
                <w:sz w:val="22"/>
              </w:rPr>
              <w:t xml:space="preserve">Информационна система за управление и наблюдение на средствата от ЕС в периода 2014-2020 г. в България (ИСУН 2020), чрез модула „Е-кандидатстване“ на следния интернет адрес: </w:t>
            </w:r>
            <w:hyperlink r:id="rId14" w:history="1">
              <w:r w:rsidRPr="00865D3A">
                <w:rPr>
                  <w:rStyle w:val="a7"/>
                  <w:rFonts w:cs="Times New Roman"/>
                  <w:sz w:val="22"/>
                </w:rPr>
                <w:t>https://eumis2020.government.bg</w:t>
              </w:r>
            </w:hyperlink>
            <w:r w:rsidRPr="00865D3A">
              <w:rPr>
                <w:rFonts w:cs="Times New Roman"/>
                <w:sz w:val="22"/>
              </w:rPr>
              <w:t xml:space="preserve">. </w:t>
            </w:r>
          </w:p>
        </w:tc>
      </w:tr>
    </w:tbl>
    <w:p w14:paraId="327CA813" w14:textId="77777777" w:rsidR="008C33D1" w:rsidRPr="004E46EC" w:rsidRDefault="008C33D1" w:rsidP="008C33D1">
      <w:pPr>
        <w:shd w:val="clear" w:color="auto" w:fill="FEFEFE"/>
        <w:spacing w:after="0" w:line="23" w:lineRule="atLeast"/>
        <w:rPr>
          <w:rFonts w:cs="Times New Roman"/>
          <w:b/>
          <w:sz w:val="16"/>
          <w:szCs w:val="16"/>
          <w:lang w:val="en-US" w:eastAsia="bg-BG"/>
        </w:rPr>
      </w:pPr>
    </w:p>
    <w:p w14:paraId="7348A948" w14:textId="77777777" w:rsidR="00D3123F" w:rsidRDefault="001B0DBB" w:rsidP="00E56540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E56540">
        <w:rPr>
          <w:rFonts w:cs="Times New Roman"/>
          <w:b/>
          <w:sz w:val="22"/>
          <w:lang w:eastAsia="bg-BG"/>
        </w:rPr>
        <w:t>6</w:t>
      </w:r>
      <w:r w:rsidR="00D3123F" w:rsidRPr="00E56540">
        <w:rPr>
          <w:rFonts w:cs="Times New Roman"/>
          <w:b/>
          <w:sz w:val="22"/>
          <w:lang w:eastAsia="bg-BG"/>
        </w:rPr>
        <w:t>. БЮДЖЕТ НА ПРИЕМА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E56540" w14:paraId="6E799ABA" w14:textId="77777777" w:rsidTr="00E56540">
        <w:tc>
          <w:tcPr>
            <w:tcW w:w="10913" w:type="dxa"/>
          </w:tcPr>
          <w:p w14:paraId="3AA531F0" w14:textId="0EE7A553" w:rsidR="0083771A" w:rsidRPr="00E56540" w:rsidRDefault="00E56540" w:rsidP="00D438B0">
            <w:pPr>
              <w:spacing w:line="23" w:lineRule="atLeast"/>
              <w:jc w:val="both"/>
              <w:rPr>
                <w:rFonts w:cs="Times New Roman"/>
                <w:b/>
                <w:sz w:val="22"/>
              </w:rPr>
            </w:pPr>
            <w:r w:rsidRPr="00E56540">
              <w:rPr>
                <w:rFonts w:cs="Times New Roman"/>
                <w:sz w:val="22"/>
              </w:rPr>
              <w:t>Бюджетът по процедурата е:</w:t>
            </w:r>
            <w:r w:rsidRPr="00E56540">
              <w:rPr>
                <w:rFonts w:cs="Times New Roman"/>
                <w:b/>
                <w:sz w:val="22"/>
              </w:rPr>
              <w:t xml:space="preserve"> </w:t>
            </w:r>
            <w:r w:rsidR="00261B08">
              <w:rPr>
                <w:rFonts w:cs="Times New Roman"/>
                <w:b/>
                <w:sz w:val="22"/>
              </w:rPr>
              <w:t>190</w:t>
            </w:r>
            <w:r w:rsidRPr="00E56540">
              <w:rPr>
                <w:rFonts w:cs="Times New Roman"/>
                <w:b/>
                <w:sz w:val="22"/>
              </w:rPr>
              <w:t> 000, 00 лева.</w:t>
            </w:r>
          </w:p>
        </w:tc>
      </w:tr>
    </w:tbl>
    <w:p w14:paraId="4A31C9E8" w14:textId="77777777" w:rsidR="00E56540" w:rsidRPr="004E46EC" w:rsidRDefault="00E56540" w:rsidP="00E56540">
      <w:pPr>
        <w:shd w:val="clear" w:color="auto" w:fill="FEFEFE"/>
        <w:spacing w:after="0" w:line="23" w:lineRule="atLeast"/>
        <w:rPr>
          <w:rFonts w:cs="Times New Roman"/>
          <w:b/>
          <w:sz w:val="16"/>
          <w:szCs w:val="16"/>
          <w:lang w:eastAsia="bg-BG"/>
        </w:rPr>
      </w:pPr>
    </w:p>
    <w:p w14:paraId="731B9854" w14:textId="77777777" w:rsidR="00D3123F" w:rsidRDefault="001B0DBB" w:rsidP="00E56540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E56540">
        <w:rPr>
          <w:rFonts w:cs="Times New Roman"/>
          <w:b/>
          <w:sz w:val="22"/>
          <w:lang w:eastAsia="bg-BG"/>
        </w:rPr>
        <w:t>7</w:t>
      </w:r>
      <w:r w:rsidR="00D3123F" w:rsidRPr="00E56540">
        <w:rPr>
          <w:rFonts w:cs="Times New Roman"/>
          <w:b/>
          <w:sz w:val="22"/>
          <w:lang w:eastAsia="bg-BG"/>
        </w:rPr>
        <w:t>. МИНИМАЛЕН И МАКСИМАЛЕН РАЗМЕР НА ФИНАНСОВАТА ПОМОЩ, ПРЕДОСТАВЯНА ЗА ПРОЕКТ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E56540" w14:paraId="5136EFBE" w14:textId="77777777" w:rsidTr="00E56540">
        <w:tc>
          <w:tcPr>
            <w:tcW w:w="10913" w:type="dxa"/>
          </w:tcPr>
          <w:tbl>
            <w:tblPr>
              <w:tblStyle w:val="a8"/>
              <w:tblW w:w="10768" w:type="dxa"/>
              <w:tblLook w:val="04A0" w:firstRow="1" w:lastRow="0" w:firstColumn="1" w:lastColumn="0" w:noHBand="0" w:noVBand="1"/>
            </w:tblPr>
            <w:tblGrid>
              <w:gridCol w:w="4957"/>
              <w:gridCol w:w="5811"/>
            </w:tblGrid>
            <w:tr w:rsidR="00C84528" w:rsidRPr="00C84528" w14:paraId="38CD45C0" w14:textId="77777777" w:rsidTr="00C84528">
              <w:tc>
                <w:tcPr>
                  <w:tcW w:w="4957" w:type="dxa"/>
                  <w:shd w:val="clear" w:color="auto" w:fill="D9D9D9" w:themeFill="background1" w:themeFillShade="D9"/>
                </w:tcPr>
                <w:p w14:paraId="04AFC08F" w14:textId="77777777" w:rsidR="00C84528" w:rsidRPr="00C84528" w:rsidRDefault="00C84528" w:rsidP="008C1BE2">
                  <w:pPr>
                    <w:widowControl w:val="0"/>
                    <w:spacing w:line="276" w:lineRule="auto"/>
                    <w:jc w:val="both"/>
                    <w:outlineLvl w:val="0"/>
                    <w:rPr>
                      <w:b/>
                      <w:bCs/>
                      <w:sz w:val="22"/>
                    </w:rPr>
                  </w:pPr>
                  <w:r w:rsidRPr="00C84528">
                    <w:rPr>
                      <w:b/>
                      <w:bCs/>
                      <w:sz w:val="22"/>
                    </w:rPr>
                    <w:t>Максимален размер  на допустимите разходи и БФП за конкретен проект:</w:t>
                  </w:r>
                </w:p>
              </w:tc>
              <w:tc>
                <w:tcPr>
                  <w:tcW w:w="5811" w:type="dxa"/>
                </w:tcPr>
                <w:p w14:paraId="657AF31B" w14:textId="0931AA31" w:rsidR="00C84528" w:rsidRPr="00C84528" w:rsidRDefault="00E64C3A" w:rsidP="008C1BE2">
                  <w:pPr>
                    <w:widowControl w:val="0"/>
                    <w:spacing w:line="276" w:lineRule="auto"/>
                    <w:jc w:val="both"/>
                    <w:outlineLvl w:val="0"/>
                    <w:rPr>
                      <w:bCs/>
                      <w:sz w:val="22"/>
                    </w:rPr>
                  </w:pPr>
                  <w:r w:rsidRPr="00E64C3A">
                    <w:rPr>
                      <w:bCs/>
                      <w:sz w:val="22"/>
                    </w:rPr>
                    <w:t>190 000,00 лева (съответстващи на наличния финансов ресурс по подмярка 7.5. от СВОМР на МИГ Брезово, Братя Даскалови)</w:t>
                  </w:r>
                </w:p>
              </w:tc>
            </w:tr>
            <w:tr w:rsidR="00C84528" w:rsidRPr="00C84528" w14:paraId="22BFBEC5" w14:textId="77777777" w:rsidTr="00C84528">
              <w:trPr>
                <w:trHeight w:val="167"/>
              </w:trPr>
              <w:tc>
                <w:tcPr>
                  <w:tcW w:w="4957" w:type="dxa"/>
                  <w:shd w:val="clear" w:color="auto" w:fill="D9D9D9" w:themeFill="background1" w:themeFillShade="D9"/>
                </w:tcPr>
                <w:p w14:paraId="35F9A2A7" w14:textId="77777777" w:rsidR="00C84528" w:rsidRPr="00C84528" w:rsidRDefault="00C84528" w:rsidP="008C1BE2">
                  <w:pPr>
                    <w:widowControl w:val="0"/>
                    <w:spacing w:line="276" w:lineRule="auto"/>
                    <w:jc w:val="both"/>
                    <w:outlineLvl w:val="0"/>
                    <w:rPr>
                      <w:b/>
                      <w:bCs/>
                      <w:sz w:val="22"/>
                    </w:rPr>
                  </w:pPr>
                  <w:r w:rsidRPr="00C84528">
                    <w:rPr>
                      <w:b/>
                      <w:bCs/>
                      <w:sz w:val="22"/>
                    </w:rPr>
                    <w:t>Минимален размер на допустимите разходи и БФП за конкретен проект:</w:t>
                  </w:r>
                </w:p>
              </w:tc>
              <w:tc>
                <w:tcPr>
                  <w:tcW w:w="5811" w:type="dxa"/>
                </w:tcPr>
                <w:p w14:paraId="44E1BA95" w14:textId="74EEE5C9" w:rsidR="00C84528" w:rsidRPr="00C84528" w:rsidRDefault="00205EBF" w:rsidP="008C1BE2">
                  <w:pPr>
                    <w:widowControl w:val="0"/>
                    <w:spacing w:line="276" w:lineRule="auto"/>
                    <w:jc w:val="both"/>
                    <w:outlineLvl w:val="0"/>
                    <w:rPr>
                      <w:b/>
                      <w:bCs/>
                      <w:sz w:val="22"/>
                    </w:rPr>
                  </w:pPr>
                  <w:r w:rsidRPr="00205EBF">
                    <w:rPr>
                      <w:bCs/>
                      <w:sz w:val="22"/>
                    </w:rPr>
                    <w:t>9 779,00 лева (левов</w:t>
                  </w:r>
                  <w:r>
                    <w:rPr>
                      <w:bCs/>
                      <w:sz w:val="22"/>
                    </w:rPr>
                    <w:t>ата равностойност на 5 000 евро</w:t>
                  </w:r>
                  <w:r w:rsidRPr="00205EBF">
                    <w:rPr>
                      <w:bCs/>
                      <w:sz w:val="22"/>
                    </w:rPr>
                    <w:t>)</w:t>
                  </w:r>
                </w:p>
              </w:tc>
            </w:tr>
            <w:tr w:rsidR="00C84528" w:rsidRPr="00C84528" w14:paraId="5CBDC057" w14:textId="77777777" w:rsidTr="00C84528">
              <w:trPr>
                <w:trHeight w:val="167"/>
              </w:trPr>
              <w:tc>
                <w:tcPr>
                  <w:tcW w:w="10768" w:type="dxa"/>
                  <w:gridSpan w:val="2"/>
                  <w:shd w:val="clear" w:color="auto" w:fill="FFFFFF" w:themeFill="background1"/>
                </w:tcPr>
                <w:p w14:paraId="310660D6" w14:textId="77777777" w:rsidR="00C84528" w:rsidRPr="00C84528" w:rsidRDefault="00C84528" w:rsidP="008C1BE2">
                  <w:pPr>
                    <w:widowControl w:val="0"/>
                    <w:spacing w:line="276" w:lineRule="auto"/>
                    <w:jc w:val="both"/>
                    <w:outlineLvl w:val="0"/>
                    <w:rPr>
                      <w:b/>
                      <w:bCs/>
                      <w:i/>
                      <w:sz w:val="22"/>
                    </w:rPr>
                  </w:pPr>
                  <w:r w:rsidRPr="00C84528">
                    <w:rPr>
                      <w:b/>
                      <w:bCs/>
                      <w:i/>
                      <w:sz w:val="22"/>
                    </w:rPr>
                    <w:t>По настоящата процедура за предоставяне на БФП ще се прилага валутен курс 1,9558 лв. за 1 евро.</w:t>
                  </w:r>
                </w:p>
              </w:tc>
            </w:tr>
          </w:tbl>
          <w:p w14:paraId="7688B832" w14:textId="77777777" w:rsidR="00C84528" w:rsidRPr="00C14560" w:rsidRDefault="00C84528" w:rsidP="00C84528">
            <w:pPr>
              <w:jc w:val="both"/>
              <w:outlineLvl w:val="0"/>
              <w:rPr>
                <w:rFonts w:eastAsia="Calibri" w:cs="Times New Roman"/>
                <w:bCs/>
                <w:sz w:val="22"/>
                <w:u w:val="single"/>
              </w:rPr>
            </w:pPr>
            <w:r w:rsidRPr="00C14560">
              <w:rPr>
                <w:rFonts w:eastAsia="Calibri" w:cs="Times New Roman"/>
                <w:bCs/>
                <w:sz w:val="22"/>
                <w:u w:val="single"/>
              </w:rPr>
              <w:t>Безвъзмездната финансова помощ е в размер на:</w:t>
            </w:r>
          </w:p>
          <w:p w14:paraId="0AFCEE57" w14:textId="77777777" w:rsidR="00C14560" w:rsidRPr="00C14560" w:rsidRDefault="00C14560" w:rsidP="00C14560">
            <w:pPr>
              <w:numPr>
                <w:ilvl w:val="0"/>
                <w:numId w:val="28"/>
              </w:numPr>
              <w:contextualSpacing/>
              <w:jc w:val="both"/>
              <w:outlineLvl w:val="0"/>
              <w:rPr>
                <w:rFonts w:eastAsia="Calibri" w:cs="Times New Roman"/>
                <w:bCs/>
                <w:sz w:val="22"/>
              </w:rPr>
            </w:pPr>
            <w:r w:rsidRPr="00C14560">
              <w:rPr>
                <w:rFonts w:eastAsia="Calibri" w:cs="Times New Roman"/>
                <w:bCs/>
                <w:sz w:val="22"/>
              </w:rPr>
              <w:t>По настоящата процедура за предоставяне на безвъзмездна финансова помощ е определен приложим режим на държавни/минимални помощи „НЕПОМОЩ“, ще се подкрепят само проекти за неикономически дейности, които след извършване на инвестицията не генерират нетни приходи.</w:t>
            </w:r>
          </w:p>
          <w:p w14:paraId="071524F1" w14:textId="32407B43" w:rsidR="00E56540" w:rsidRPr="00C14560" w:rsidRDefault="00C14560" w:rsidP="00C14560">
            <w:pPr>
              <w:numPr>
                <w:ilvl w:val="0"/>
                <w:numId w:val="28"/>
              </w:numPr>
              <w:contextualSpacing/>
              <w:jc w:val="both"/>
              <w:outlineLvl w:val="0"/>
              <w:rPr>
                <w:rFonts w:eastAsia="Calibri" w:cs="Times New Roman"/>
                <w:bCs/>
                <w:sz w:val="22"/>
              </w:rPr>
            </w:pPr>
            <w:r w:rsidRPr="00C14560">
              <w:rPr>
                <w:rFonts w:eastAsia="Calibri" w:cs="Times New Roman"/>
                <w:bCs/>
                <w:sz w:val="22"/>
              </w:rPr>
              <w:t>С оглед на приложимият по процедурата режим „НЕПОМОЩ“ безвъзмездната финансова помощ е в размер на 100% от общия размер на допустимите за финансово подпомагане разходи за проекти, които след извършване на инвестицията  не генерират нетни приходи, установено въз основа на анализ „разходи-ползи“ (финансов анализ), изготвен по образец, утвърден от изпълнителния директор на ДФЗ.</w:t>
            </w:r>
          </w:p>
        </w:tc>
      </w:tr>
    </w:tbl>
    <w:p w14:paraId="43981CB9" w14:textId="77777777" w:rsidR="00E56540" w:rsidRPr="004E46EC" w:rsidRDefault="00E56540" w:rsidP="008B0DBB">
      <w:pPr>
        <w:shd w:val="clear" w:color="auto" w:fill="FEFEFE"/>
        <w:spacing w:after="0" w:line="23" w:lineRule="atLeast"/>
        <w:rPr>
          <w:rFonts w:cs="Times New Roman"/>
          <w:b/>
          <w:sz w:val="16"/>
          <w:szCs w:val="16"/>
          <w:lang w:eastAsia="bg-BG"/>
        </w:rPr>
      </w:pPr>
    </w:p>
    <w:p w14:paraId="3D92B0BC" w14:textId="77777777" w:rsidR="00D3123F" w:rsidRPr="00E56540" w:rsidRDefault="001B0DBB" w:rsidP="008B0DBB">
      <w:pPr>
        <w:shd w:val="clear" w:color="auto" w:fill="FEFEFE"/>
        <w:spacing w:after="0" w:line="23" w:lineRule="atLeast"/>
        <w:rPr>
          <w:rFonts w:cs="Times New Roman"/>
          <w:b/>
          <w:sz w:val="22"/>
          <w:lang w:val="en-US" w:eastAsia="bg-BG"/>
        </w:rPr>
      </w:pPr>
      <w:r w:rsidRPr="00E56540">
        <w:rPr>
          <w:rFonts w:cs="Times New Roman"/>
          <w:b/>
          <w:sz w:val="22"/>
          <w:lang w:eastAsia="bg-BG"/>
        </w:rPr>
        <w:t>8</w:t>
      </w:r>
      <w:r w:rsidR="00D3123F" w:rsidRPr="00E56540">
        <w:rPr>
          <w:rFonts w:cs="Times New Roman"/>
          <w:b/>
          <w:sz w:val="22"/>
          <w:lang w:eastAsia="bg-BG"/>
        </w:rPr>
        <w:t>. КРИТЕРИИ ЗА ИЗБОР НА ПРОЕКТНИ ПРЕДЛОЖЕНИЯ И ТЯХНАТА ТЕЖЕСТ</w:t>
      </w:r>
    </w:p>
    <w:tbl>
      <w:tblPr>
        <w:tblW w:w="10918" w:type="dxa"/>
        <w:jc w:val="center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  <w:gridCol w:w="1423"/>
      </w:tblGrid>
      <w:tr w:rsidR="004E46EC" w:rsidRPr="004D2A20" w14:paraId="73C63AFB" w14:textId="77777777" w:rsidTr="004E46EC">
        <w:trPr>
          <w:trHeight w:val="365"/>
          <w:jc w:val="center"/>
        </w:trPr>
        <w:tc>
          <w:tcPr>
            <w:tcW w:w="9495" w:type="dxa"/>
            <w:vMerge w:val="restart"/>
            <w:shd w:val="clear" w:color="auto" w:fill="C6D9F1"/>
          </w:tcPr>
          <w:p w14:paraId="5908383E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B629025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4D2A20">
              <w:rPr>
                <w:b/>
                <w:sz w:val="16"/>
                <w:szCs w:val="16"/>
              </w:rPr>
              <w:t>КРИТЕРИИ И МЕТОДИКА ЗА ТЕХНИЧЕСКА И ФИНАНСОВА ОЦЕНКА:</w:t>
            </w:r>
          </w:p>
          <w:p w14:paraId="7F40AB50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C6D9F1"/>
          </w:tcPr>
          <w:p w14:paraId="6EF90E07" w14:textId="77777777" w:rsidR="004E46EC" w:rsidRPr="00022592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022592">
              <w:rPr>
                <w:b/>
                <w:sz w:val="14"/>
                <w:szCs w:val="14"/>
              </w:rPr>
              <w:t>ОЦЕНКА</w:t>
            </w:r>
          </w:p>
          <w:p w14:paraId="639C0705" w14:textId="77777777" w:rsidR="004E46EC" w:rsidRPr="00022592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022592">
              <w:rPr>
                <w:b/>
                <w:sz w:val="14"/>
                <w:szCs w:val="14"/>
              </w:rPr>
              <w:t>/ТОЧКИ/</w:t>
            </w:r>
          </w:p>
        </w:tc>
      </w:tr>
      <w:tr w:rsidR="004E46EC" w:rsidRPr="004D2A20" w14:paraId="52FC8F4E" w14:textId="77777777" w:rsidTr="004E46EC">
        <w:trPr>
          <w:trHeight w:val="121"/>
          <w:jc w:val="center"/>
        </w:trPr>
        <w:tc>
          <w:tcPr>
            <w:tcW w:w="9495" w:type="dxa"/>
            <w:vMerge/>
            <w:shd w:val="clear" w:color="auto" w:fill="A6A6A6"/>
          </w:tcPr>
          <w:p w14:paraId="16D1AC2B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rPr>
                <w:b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6D9F1"/>
          </w:tcPr>
          <w:p w14:paraId="04C6A034" w14:textId="77777777" w:rsidR="004E46EC" w:rsidRPr="00022592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Макс. бр. т.</w:t>
            </w:r>
          </w:p>
        </w:tc>
      </w:tr>
      <w:tr w:rsidR="004E46EC" w:rsidRPr="004D2A20" w14:paraId="67F126A7" w14:textId="77777777" w:rsidTr="004E46EC">
        <w:trPr>
          <w:trHeight w:val="167"/>
          <w:jc w:val="center"/>
        </w:trPr>
        <w:tc>
          <w:tcPr>
            <w:tcW w:w="109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287D1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rPr>
                <w:color w:val="2E74B5" w:themeColor="accent1" w:themeShade="BF"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1. Вид кандидат:</w:t>
            </w:r>
          </w:p>
        </w:tc>
      </w:tr>
      <w:tr w:rsidR="004E46EC" w:rsidRPr="004D2A20" w14:paraId="5F2111D5" w14:textId="77777777" w:rsidTr="004E46EC">
        <w:trPr>
          <w:trHeight w:val="357"/>
          <w:jc w:val="center"/>
        </w:trPr>
        <w:tc>
          <w:tcPr>
            <w:tcW w:w="9495" w:type="dxa"/>
            <w:shd w:val="clear" w:color="auto" w:fill="auto"/>
            <w:vAlign w:val="center"/>
          </w:tcPr>
          <w:p w14:paraId="2964CAAF" w14:textId="77777777" w:rsidR="004E46EC" w:rsidRPr="004D2A20" w:rsidRDefault="004E46EC" w:rsidP="00C40D2B">
            <w:pPr>
              <w:tabs>
                <w:tab w:val="left" w:pos="-284"/>
                <w:tab w:val="left" w:pos="0"/>
              </w:tabs>
              <w:spacing w:after="0"/>
              <w:contextualSpacing/>
              <w:jc w:val="both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1.</w:t>
            </w:r>
            <w:proofErr w:type="spellStart"/>
            <w:r w:rsidRPr="004D2A20">
              <w:rPr>
                <w:b/>
                <w:sz w:val="20"/>
                <w:szCs w:val="20"/>
              </w:rPr>
              <w:t>1</w:t>
            </w:r>
            <w:proofErr w:type="spellEnd"/>
            <w:r w:rsidRPr="004D2A20">
              <w:rPr>
                <w:b/>
                <w:sz w:val="20"/>
                <w:szCs w:val="20"/>
              </w:rPr>
              <w:t>. Проектът е на ЮЛНЦ или читалище: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AC05246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sz w:val="20"/>
                <w:szCs w:val="20"/>
              </w:rPr>
            </w:pPr>
            <w:r w:rsidRPr="004D2A20">
              <w:rPr>
                <w:sz w:val="20"/>
                <w:szCs w:val="20"/>
              </w:rPr>
              <w:t>20</w:t>
            </w:r>
          </w:p>
        </w:tc>
      </w:tr>
      <w:tr w:rsidR="004E46EC" w:rsidRPr="004D2A20" w14:paraId="1447402E" w14:textId="77777777" w:rsidTr="004E46EC">
        <w:trPr>
          <w:trHeight w:val="50"/>
          <w:jc w:val="center"/>
        </w:trPr>
        <w:tc>
          <w:tcPr>
            <w:tcW w:w="9495" w:type="dxa"/>
            <w:shd w:val="clear" w:color="auto" w:fill="auto"/>
          </w:tcPr>
          <w:p w14:paraId="12B60062" w14:textId="77777777" w:rsidR="004E46EC" w:rsidRPr="004D2A20" w:rsidRDefault="004E46EC" w:rsidP="00C40D2B">
            <w:pPr>
              <w:spacing w:beforeLines="40" w:before="96" w:afterLines="40" w:after="96"/>
              <w:contextualSpacing/>
              <w:jc w:val="both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 xml:space="preserve">1.2. </w:t>
            </w:r>
            <w:r w:rsidRPr="004D2A20">
              <w:rPr>
                <w:rFonts w:eastAsia="Times New Roman"/>
                <w:b/>
                <w:sz w:val="20"/>
                <w:szCs w:val="20"/>
                <w:lang w:eastAsia="bg-BG"/>
              </w:rPr>
              <w:t>Проектът е на община: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B396792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sz w:val="20"/>
                <w:szCs w:val="20"/>
              </w:rPr>
            </w:pPr>
            <w:r w:rsidRPr="004D2A20">
              <w:rPr>
                <w:sz w:val="20"/>
                <w:szCs w:val="20"/>
              </w:rPr>
              <w:t>10</w:t>
            </w:r>
          </w:p>
        </w:tc>
      </w:tr>
      <w:tr w:rsidR="004E46EC" w:rsidRPr="004D2A20" w14:paraId="231856E6" w14:textId="77777777" w:rsidTr="004E46EC">
        <w:trPr>
          <w:jc w:val="center"/>
        </w:trPr>
        <w:tc>
          <w:tcPr>
            <w:tcW w:w="10918" w:type="dxa"/>
            <w:gridSpan w:val="2"/>
            <w:shd w:val="clear" w:color="auto" w:fill="BDD6EE" w:themeFill="accent1" w:themeFillTint="66"/>
            <w:vAlign w:val="center"/>
          </w:tcPr>
          <w:p w14:paraId="0C75ED2C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both"/>
              <w:rPr>
                <w:sz w:val="20"/>
                <w:szCs w:val="20"/>
              </w:rPr>
            </w:pPr>
            <w:r w:rsidRPr="004D2A20">
              <w:rPr>
                <w:sz w:val="20"/>
                <w:szCs w:val="20"/>
              </w:rPr>
              <w:t>Членовете на Комисията за подбор на проектни предложения имащи право на глас, присъждат съответният брой точки според вида на конкретния кандидат.</w:t>
            </w:r>
          </w:p>
        </w:tc>
      </w:tr>
      <w:tr w:rsidR="004E46EC" w:rsidRPr="004D2A20" w14:paraId="1470AD35" w14:textId="77777777" w:rsidTr="004E46EC">
        <w:trPr>
          <w:jc w:val="center"/>
        </w:trPr>
        <w:tc>
          <w:tcPr>
            <w:tcW w:w="9495" w:type="dxa"/>
            <w:shd w:val="clear" w:color="auto" w:fill="auto"/>
            <w:vAlign w:val="center"/>
          </w:tcPr>
          <w:p w14:paraId="77CA8BF2" w14:textId="77777777" w:rsidR="004E46EC" w:rsidRPr="004D2A20" w:rsidRDefault="004E46EC" w:rsidP="00C40D2B">
            <w:pPr>
              <w:spacing w:beforeLines="40" w:before="96" w:afterLines="40" w:after="96"/>
              <w:jc w:val="right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Максимален брой точки по критерий 1: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67AD50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</w:pPr>
            <w:r w:rsidRPr="004D2A20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4E46EC" w:rsidRPr="004D2A20" w14:paraId="1E76DBD1" w14:textId="77777777" w:rsidTr="004E46EC">
        <w:trPr>
          <w:trHeight w:val="449"/>
          <w:jc w:val="center"/>
        </w:trPr>
        <w:tc>
          <w:tcPr>
            <w:tcW w:w="9495" w:type="dxa"/>
            <w:shd w:val="clear" w:color="auto" w:fill="F2F2F2" w:themeFill="background1" w:themeFillShade="F2"/>
            <w:vAlign w:val="center"/>
          </w:tcPr>
          <w:p w14:paraId="41B1873F" w14:textId="77777777" w:rsidR="004E46EC" w:rsidRPr="004D2A20" w:rsidRDefault="004E46EC" w:rsidP="00C40D2B">
            <w:pPr>
              <w:spacing w:beforeLines="40" w:before="96" w:afterLines="40" w:after="96"/>
              <w:jc w:val="both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2. Проектът е с максимален размер на допустимите разходи до левовата равностойност на 20 000 евро: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29E502E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D2A20">
              <w:rPr>
                <w:b/>
                <w:sz w:val="20"/>
                <w:szCs w:val="20"/>
              </w:rPr>
              <w:t>10</w:t>
            </w:r>
          </w:p>
        </w:tc>
      </w:tr>
      <w:tr w:rsidR="004E46EC" w:rsidRPr="004D2A20" w14:paraId="31C29320" w14:textId="77777777" w:rsidTr="004E46EC">
        <w:trPr>
          <w:trHeight w:val="699"/>
          <w:jc w:val="center"/>
        </w:trPr>
        <w:tc>
          <w:tcPr>
            <w:tcW w:w="9495" w:type="dxa"/>
            <w:shd w:val="clear" w:color="auto" w:fill="BDD6EE" w:themeFill="accent1" w:themeFillTint="66"/>
            <w:vAlign w:val="center"/>
          </w:tcPr>
          <w:p w14:paraId="50DB9201" w14:textId="77777777" w:rsidR="004E46EC" w:rsidRPr="004D2A20" w:rsidRDefault="004E46EC" w:rsidP="00C40D2B">
            <w:pPr>
              <w:tabs>
                <w:tab w:val="left" w:pos="817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D2A20">
              <w:rPr>
                <w:rFonts w:eastAsia="Times New Roman"/>
                <w:sz w:val="20"/>
                <w:szCs w:val="20"/>
              </w:rPr>
              <w:lastRenderedPageBreak/>
              <w:t>Съответствието с посочения критерий се проверява на база представената информация в Секция 5. „Бюджет“ от електронния формуляра</w:t>
            </w:r>
            <w:r>
              <w:rPr>
                <w:rFonts w:eastAsia="Times New Roman"/>
                <w:sz w:val="20"/>
                <w:szCs w:val="20"/>
              </w:rPr>
              <w:t xml:space="preserve"> за кандидатстване в ИСУН 2020.</w:t>
            </w:r>
          </w:p>
          <w:p w14:paraId="127D093B" w14:textId="77777777" w:rsidR="004E46EC" w:rsidRPr="004D2A20" w:rsidRDefault="004E46EC" w:rsidP="00C40D2B">
            <w:pPr>
              <w:tabs>
                <w:tab w:val="left" w:pos="8175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D2A20">
              <w:rPr>
                <w:rFonts w:eastAsia="Times New Roman"/>
                <w:sz w:val="20"/>
                <w:szCs w:val="20"/>
              </w:rPr>
              <w:t>Извършва се калкулации на размер на допустимите разходи</w:t>
            </w:r>
            <w:r w:rsidRPr="004D2A20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4D2A20">
              <w:rPr>
                <w:rFonts w:eastAsia="Times New Roman"/>
                <w:sz w:val="20"/>
                <w:szCs w:val="20"/>
              </w:rPr>
              <w:t>заявени от кандидата на етап кандидатстване. По настоящата процедура за предоставяне на БФП се прилага обменният курс лев/евро 1,9558 лева за 1 евро. За да се присъдят точки по този критерий максималният размер на допустимите разходи следва да е по-малък или равен на 39 116,00 лева.</w:t>
            </w: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1D7E03E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E46EC" w:rsidRPr="004D2A20" w14:paraId="44C3315D" w14:textId="77777777" w:rsidTr="004E46EC">
        <w:trPr>
          <w:trHeight w:val="255"/>
          <w:jc w:val="center"/>
        </w:trPr>
        <w:tc>
          <w:tcPr>
            <w:tcW w:w="9495" w:type="dxa"/>
            <w:shd w:val="clear" w:color="auto" w:fill="F2F2F2" w:themeFill="background1" w:themeFillShade="F2"/>
            <w:vAlign w:val="center"/>
          </w:tcPr>
          <w:p w14:paraId="1092FBFC" w14:textId="77777777" w:rsidR="004E46EC" w:rsidRPr="004D2A20" w:rsidRDefault="004E46EC" w:rsidP="00C40D2B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3. Дейностите по проекта се реализират в населени места извън общинските центрове: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1D99F5A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10</w:t>
            </w:r>
          </w:p>
        </w:tc>
      </w:tr>
      <w:tr w:rsidR="004E46EC" w:rsidRPr="004D2A20" w14:paraId="66812874" w14:textId="77777777" w:rsidTr="004E46EC">
        <w:trPr>
          <w:trHeight w:val="652"/>
          <w:jc w:val="center"/>
        </w:trPr>
        <w:tc>
          <w:tcPr>
            <w:tcW w:w="9495" w:type="dxa"/>
            <w:shd w:val="clear" w:color="auto" w:fill="BDD6EE" w:themeFill="accent1" w:themeFillTint="66"/>
            <w:vAlign w:val="center"/>
          </w:tcPr>
          <w:p w14:paraId="0F498565" w14:textId="77777777" w:rsidR="004E46EC" w:rsidRPr="004D2A20" w:rsidRDefault="004E46EC" w:rsidP="00C40D2B">
            <w:pPr>
              <w:tabs>
                <w:tab w:val="left" w:pos="817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D2A20">
              <w:rPr>
                <w:rFonts w:eastAsia="Times New Roman"/>
                <w:sz w:val="20"/>
                <w:szCs w:val="20"/>
              </w:rPr>
              <w:t>Общинските центрове на територията на МИГ Брезово, Братя Даскалови са:</w:t>
            </w:r>
          </w:p>
          <w:p w14:paraId="128F278B" w14:textId="77777777" w:rsidR="004E46EC" w:rsidRPr="004D2A20" w:rsidRDefault="004E46EC" w:rsidP="00C40D2B">
            <w:pPr>
              <w:tabs>
                <w:tab w:val="left" w:pos="817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D2A20">
              <w:rPr>
                <w:rFonts w:eastAsia="Times New Roman"/>
                <w:sz w:val="20"/>
                <w:szCs w:val="20"/>
              </w:rPr>
              <w:t>Гр. Брезово и с. Братя Даскалови.</w:t>
            </w:r>
          </w:p>
          <w:p w14:paraId="18ECCDA6" w14:textId="77777777" w:rsidR="004E46EC" w:rsidRPr="004D2A20" w:rsidRDefault="004E46EC" w:rsidP="00C40D2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0"/>
                <w:szCs w:val="20"/>
              </w:rPr>
            </w:pPr>
            <w:r w:rsidRPr="004D2A20">
              <w:rPr>
                <w:rFonts w:eastAsia="Times New Roman"/>
                <w:sz w:val="20"/>
                <w:szCs w:val="20"/>
              </w:rPr>
              <w:t>Когато проекта се реализира в населени места различни от общинските центрове се присъждат 10 т. В противен случай се присъждат 0 т. по показател 3. Когато в един проект са включени дейности в няколко населени места (Примерно в общински център и населени места извън общинския център) се присъждат 10 т.</w:t>
            </w: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F9A1E17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E46EC" w:rsidRPr="004D2A20" w14:paraId="505F8C37" w14:textId="77777777" w:rsidTr="004E46EC">
        <w:trPr>
          <w:jc w:val="center"/>
        </w:trPr>
        <w:tc>
          <w:tcPr>
            <w:tcW w:w="9495" w:type="dxa"/>
            <w:shd w:val="clear" w:color="auto" w:fill="F2F2F2" w:themeFill="background1" w:themeFillShade="F2"/>
            <w:vAlign w:val="center"/>
          </w:tcPr>
          <w:p w14:paraId="03F9CAA7" w14:textId="77777777" w:rsidR="004E46EC" w:rsidRPr="004D2A20" w:rsidRDefault="004E46EC" w:rsidP="00C40D2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 xml:space="preserve">4. Проектът включва дейности за изграждане на туристически и </w:t>
            </w:r>
            <w:proofErr w:type="spellStart"/>
            <w:r w:rsidRPr="004D2A20">
              <w:rPr>
                <w:b/>
                <w:sz w:val="20"/>
                <w:szCs w:val="20"/>
              </w:rPr>
              <w:t>еко</w:t>
            </w:r>
            <w:proofErr w:type="spellEnd"/>
            <w:r w:rsidRPr="004D2A20">
              <w:rPr>
                <w:b/>
                <w:sz w:val="20"/>
                <w:szCs w:val="20"/>
              </w:rPr>
              <w:t xml:space="preserve"> пътеки: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20E01A59" w14:textId="77777777" w:rsidR="004E46EC" w:rsidRPr="004D2A20" w:rsidRDefault="004E46EC" w:rsidP="00C40D2B">
            <w:pPr>
              <w:tabs>
                <w:tab w:val="left" w:pos="8175"/>
              </w:tabs>
              <w:jc w:val="center"/>
              <w:rPr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20</w:t>
            </w:r>
          </w:p>
        </w:tc>
      </w:tr>
      <w:tr w:rsidR="004E46EC" w:rsidRPr="004D2A20" w14:paraId="12A9FB0D" w14:textId="77777777" w:rsidTr="004E46EC">
        <w:trPr>
          <w:jc w:val="center"/>
        </w:trPr>
        <w:tc>
          <w:tcPr>
            <w:tcW w:w="9495" w:type="dxa"/>
            <w:shd w:val="clear" w:color="auto" w:fill="BDD6EE" w:themeFill="accent1" w:themeFillTint="66"/>
            <w:vAlign w:val="center"/>
          </w:tcPr>
          <w:p w14:paraId="7C93098C" w14:textId="77777777" w:rsidR="004E46EC" w:rsidRPr="004D2A20" w:rsidRDefault="004E46EC" w:rsidP="00C40D2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0"/>
                <w:szCs w:val="20"/>
              </w:rPr>
            </w:pPr>
            <w:r w:rsidRPr="004D2A20">
              <w:rPr>
                <w:sz w:val="20"/>
                <w:szCs w:val="20"/>
              </w:rPr>
              <w:t>Членовете на Комисията за подбор на проектни предложения имащи право на глас, присъждат съответният брой точки според вида на допустимите дейности включени в проектното предложение.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2FE22B75" w14:textId="77777777" w:rsidR="004E46EC" w:rsidRPr="004D2A20" w:rsidRDefault="004E46EC" w:rsidP="00C40D2B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46EC" w:rsidRPr="004D2A20" w14:paraId="2B09B14A" w14:textId="77777777" w:rsidTr="004E46EC">
        <w:trPr>
          <w:trHeight w:val="461"/>
          <w:jc w:val="center"/>
        </w:trPr>
        <w:tc>
          <w:tcPr>
            <w:tcW w:w="9495" w:type="dxa"/>
            <w:shd w:val="clear" w:color="auto" w:fill="F2F2F2" w:themeFill="background1" w:themeFillShade="F2"/>
            <w:vAlign w:val="center"/>
          </w:tcPr>
          <w:p w14:paraId="1E10E982" w14:textId="77777777" w:rsidR="004E46EC" w:rsidRPr="004D2A20" w:rsidRDefault="004E46EC" w:rsidP="00C40D2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 xml:space="preserve">5. Проектът включва иновативни за територията на МИГ Брезово, Братя Даскалови дейности: </w:t>
            </w:r>
            <w:r w:rsidRPr="004D2A20">
              <w:rPr>
                <w:sz w:val="20"/>
                <w:szCs w:val="20"/>
              </w:rPr>
              <w:t>като инвестиции в разработването на софтуер и софтуерни приложения за популяризиране на туристическите обекти на територията на МИГ и др.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09DAD428" w14:textId="77777777" w:rsidR="004E46EC" w:rsidRPr="004D2A20" w:rsidRDefault="004E46EC" w:rsidP="00C40D2B">
            <w:pPr>
              <w:tabs>
                <w:tab w:val="left" w:pos="8175"/>
              </w:tabs>
              <w:jc w:val="center"/>
              <w:rPr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20</w:t>
            </w:r>
          </w:p>
        </w:tc>
      </w:tr>
      <w:tr w:rsidR="004E46EC" w:rsidRPr="004D2A20" w14:paraId="0F6D9CDE" w14:textId="77777777" w:rsidTr="004E46EC">
        <w:trPr>
          <w:trHeight w:val="461"/>
          <w:jc w:val="center"/>
        </w:trPr>
        <w:tc>
          <w:tcPr>
            <w:tcW w:w="9495" w:type="dxa"/>
            <w:shd w:val="clear" w:color="auto" w:fill="BDD6EE" w:themeFill="accent1" w:themeFillTint="66"/>
            <w:vAlign w:val="center"/>
          </w:tcPr>
          <w:p w14:paraId="2DE3248C" w14:textId="77777777" w:rsidR="004E46EC" w:rsidRPr="004D2A20" w:rsidRDefault="004E46EC" w:rsidP="00C40D2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0"/>
                <w:szCs w:val="20"/>
              </w:rPr>
            </w:pPr>
            <w:r w:rsidRPr="004D2A20">
              <w:rPr>
                <w:sz w:val="20"/>
                <w:szCs w:val="20"/>
              </w:rPr>
              <w:t>Членовете на Комисията за подбор на проектни предложения имащи право на глас, присъждат съответният брой точки според вида на допустимите дейности включени в проектното предложение.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7DFDDF54" w14:textId="77777777" w:rsidR="004E46EC" w:rsidRPr="004D2A20" w:rsidRDefault="004E46EC" w:rsidP="00C40D2B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46EC" w:rsidRPr="004D2A20" w14:paraId="0EDC8E9B" w14:textId="77777777" w:rsidTr="004E46EC">
        <w:trPr>
          <w:jc w:val="center"/>
        </w:trPr>
        <w:tc>
          <w:tcPr>
            <w:tcW w:w="949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7B428" w14:textId="77777777" w:rsidR="004E46EC" w:rsidRPr="004D2A20" w:rsidRDefault="004E46EC" w:rsidP="00C40D2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4D2A20">
              <w:rPr>
                <w:b/>
                <w:iCs/>
                <w:sz w:val="20"/>
                <w:szCs w:val="20"/>
              </w:rPr>
              <w:t>6. Проектът се реализира на територията на повече от 1 населено място или ще се ползва от населението на повече от 1 населено място: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D37559F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10</w:t>
            </w:r>
          </w:p>
        </w:tc>
      </w:tr>
      <w:tr w:rsidR="004E46EC" w:rsidRPr="004D2A20" w14:paraId="1EF11194" w14:textId="77777777" w:rsidTr="004E46EC">
        <w:trPr>
          <w:jc w:val="center"/>
        </w:trPr>
        <w:tc>
          <w:tcPr>
            <w:tcW w:w="949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577B9E" w14:textId="77777777" w:rsidR="004E46EC" w:rsidRPr="004D2A20" w:rsidRDefault="004E46EC" w:rsidP="00C40D2B">
            <w:pPr>
              <w:tabs>
                <w:tab w:val="left" w:pos="817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D2A20">
              <w:rPr>
                <w:rFonts w:eastAsia="Times New Roman"/>
                <w:sz w:val="20"/>
                <w:szCs w:val="20"/>
              </w:rPr>
              <w:t>Членовете на Комисията за подбор на проектни предложения имащи право на глас, присъждат съответният брой точки в случай, че проектното предложение ще се реализира на:</w:t>
            </w:r>
          </w:p>
          <w:p w14:paraId="3D2E35CA" w14:textId="77777777" w:rsidR="004E46EC" w:rsidRPr="004D2A20" w:rsidRDefault="004E46EC" w:rsidP="004E46EC">
            <w:pPr>
              <w:pStyle w:val="a9"/>
              <w:numPr>
                <w:ilvl w:val="0"/>
                <w:numId w:val="31"/>
              </w:numPr>
              <w:tabs>
                <w:tab w:val="left" w:pos="817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D2A20">
              <w:rPr>
                <w:rFonts w:eastAsia="Times New Roman"/>
                <w:sz w:val="20"/>
                <w:szCs w:val="20"/>
              </w:rPr>
              <w:t xml:space="preserve">територията на повече от 1 населено място </w:t>
            </w:r>
            <w:r w:rsidRPr="004D2A20">
              <w:rPr>
                <w:rFonts w:eastAsia="Times New Roman"/>
                <w:b/>
                <w:sz w:val="20"/>
                <w:szCs w:val="20"/>
              </w:rPr>
              <w:t xml:space="preserve">или </w:t>
            </w:r>
          </w:p>
          <w:p w14:paraId="30D2549C" w14:textId="77777777" w:rsidR="004E46EC" w:rsidRPr="004D2A20" w:rsidRDefault="004E46EC" w:rsidP="004E46EC">
            <w:pPr>
              <w:pStyle w:val="a9"/>
              <w:numPr>
                <w:ilvl w:val="0"/>
                <w:numId w:val="31"/>
              </w:numPr>
              <w:tabs>
                <w:tab w:val="left" w:pos="817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D2A20">
              <w:rPr>
                <w:rFonts w:eastAsia="Times New Roman"/>
                <w:sz w:val="20"/>
                <w:szCs w:val="20"/>
              </w:rPr>
              <w:t>ще се ползва от населението на повече от едно населено място. Кандидатите следва да представят обосновка по този критерий в Секция 11 „Допълнителна информация, необходима за оценка на проектното предложение“ от електронния формуляра за кандидатстване в ИСУН 2020.</w:t>
            </w: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004B06D" w14:textId="77777777" w:rsidR="004E46EC" w:rsidRPr="004D2A20" w:rsidRDefault="004E46EC" w:rsidP="00C40D2B">
            <w:pPr>
              <w:tabs>
                <w:tab w:val="left" w:pos="817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E46EC" w:rsidRPr="004D2A20" w14:paraId="189C6347" w14:textId="77777777" w:rsidTr="004E46EC">
        <w:trPr>
          <w:jc w:val="center"/>
        </w:trPr>
        <w:tc>
          <w:tcPr>
            <w:tcW w:w="9495" w:type="dxa"/>
            <w:shd w:val="clear" w:color="auto" w:fill="F2F2F2" w:themeFill="background1" w:themeFillShade="F2"/>
            <w:vAlign w:val="center"/>
          </w:tcPr>
          <w:p w14:paraId="213C1549" w14:textId="77777777" w:rsidR="004E46EC" w:rsidRPr="004D2A20" w:rsidRDefault="004E46EC" w:rsidP="00C40D2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7. Проектът ще се осъществява в район, в който е идентифицирано наличие на етнически малцинства: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1909660B" w14:textId="77777777" w:rsidR="004E46EC" w:rsidRPr="004D2A20" w:rsidRDefault="004E46EC" w:rsidP="00C40D2B">
            <w:pPr>
              <w:tabs>
                <w:tab w:val="left" w:pos="8175"/>
              </w:tabs>
              <w:jc w:val="center"/>
              <w:rPr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10</w:t>
            </w:r>
          </w:p>
        </w:tc>
      </w:tr>
      <w:tr w:rsidR="004E46EC" w:rsidRPr="004D2A20" w14:paraId="3E1B3D9C" w14:textId="77777777" w:rsidTr="004E46EC">
        <w:trPr>
          <w:jc w:val="center"/>
        </w:trPr>
        <w:tc>
          <w:tcPr>
            <w:tcW w:w="9495" w:type="dxa"/>
            <w:shd w:val="clear" w:color="auto" w:fill="BDD6EE" w:themeFill="accent1" w:themeFillTint="66"/>
            <w:vAlign w:val="center"/>
          </w:tcPr>
          <w:p w14:paraId="429965DF" w14:textId="2DB4C320" w:rsidR="004E46EC" w:rsidRPr="004D2A20" w:rsidRDefault="004E46EC" w:rsidP="00E91C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4D2A20">
              <w:rPr>
                <w:rFonts w:eastAsia="Times New Roman"/>
                <w:sz w:val="20"/>
                <w:szCs w:val="20"/>
              </w:rPr>
              <w:t xml:space="preserve">В </w:t>
            </w:r>
            <w:r w:rsidRPr="006A275A">
              <w:rPr>
                <w:rFonts w:eastAsia="Times New Roman"/>
                <w:sz w:val="20"/>
                <w:szCs w:val="20"/>
              </w:rPr>
              <w:t>Приложение 5</w:t>
            </w:r>
            <w:r w:rsidRPr="004D2A20">
              <w:rPr>
                <w:rFonts w:eastAsia="Times New Roman"/>
                <w:sz w:val="20"/>
                <w:szCs w:val="20"/>
              </w:rPr>
              <w:t xml:space="preserve"> към Документите за информация са представена официални статистически данни за етническия състав на населението по населени места от територията на МИГ. В случай, че дейностите по проекта се реализират в населено м</w:t>
            </w:r>
            <w:r w:rsidR="00E91CD0">
              <w:rPr>
                <w:rFonts w:eastAsia="Times New Roman"/>
                <w:sz w:val="20"/>
                <w:szCs w:val="20"/>
              </w:rPr>
              <w:t>я</w:t>
            </w:r>
            <w:r w:rsidRPr="004D2A20">
              <w:rPr>
                <w:rFonts w:eastAsia="Times New Roman"/>
                <w:sz w:val="20"/>
                <w:szCs w:val="20"/>
              </w:rPr>
              <w:t xml:space="preserve">сто с наличие на етноси различни от българския се присъждат 10 т. В противен случай се присъждат 0 т. по показател 4. 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11E5F601" w14:textId="77777777" w:rsidR="004E46EC" w:rsidRPr="004D2A20" w:rsidRDefault="004E46EC" w:rsidP="00C40D2B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46EC" w:rsidRPr="004D2A20" w14:paraId="687E6A69" w14:textId="77777777" w:rsidTr="004E46EC">
        <w:trPr>
          <w:jc w:val="center"/>
        </w:trPr>
        <w:tc>
          <w:tcPr>
            <w:tcW w:w="9495" w:type="dxa"/>
            <w:shd w:val="clear" w:color="auto" w:fill="auto"/>
            <w:vAlign w:val="center"/>
          </w:tcPr>
          <w:p w14:paraId="36175AD2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ОБЩ БРОЙ ТОЧКИ: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903F944" w14:textId="77777777" w:rsidR="004E46EC" w:rsidRPr="004D2A20" w:rsidRDefault="004E46EC" w:rsidP="00C40D2B">
            <w:pPr>
              <w:tabs>
                <w:tab w:val="left" w:pos="8175"/>
              </w:tabs>
              <w:jc w:val="center"/>
              <w:rPr>
                <w:sz w:val="20"/>
                <w:szCs w:val="20"/>
              </w:rPr>
            </w:pPr>
            <w:r w:rsidRPr="004D2A20">
              <w:rPr>
                <w:b/>
                <w:sz w:val="20"/>
                <w:szCs w:val="20"/>
              </w:rPr>
              <w:t>100</w:t>
            </w:r>
          </w:p>
        </w:tc>
      </w:tr>
      <w:tr w:rsidR="004E46EC" w:rsidRPr="004D2A20" w14:paraId="3AF66913" w14:textId="77777777" w:rsidTr="004E46EC">
        <w:trPr>
          <w:jc w:val="center"/>
        </w:trPr>
        <w:tc>
          <w:tcPr>
            <w:tcW w:w="10918" w:type="dxa"/>
            <w:gridSpan w:val="2"/>
            <w:shd w:val="clear" w:color="auto" w:fill="BDD6EE" w:themeFill="accent1" w:themeFillTint="66"/>
          </w:tcPr>
          <w:p w14:paraId="54C52DA3" w14:textId="77777777" w:rsidR="004E46EC" w:rsidRPr="004D2A20" w:rsidRDefault="004E46EC" w:rsidP="00C40D2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"/>
              <w:jc w:val="both"/>
              <w:rPr>
                <w:rFonts w:eastAsia="Calibri"/>
                <w:b/>
              </w:rPr>
            </w:pPr>
            <w:r w:rsidRPr="004D2A20">
              <w:rPr>
                <w:rFonts w:eastAsia="Calibri"/>
                <w:b/>
              </w:rPr>
              <w:t xml:space="preserve">В съответствие с Решение на Колективния върховен орган на „МИГ Брезово, Братя Даскалови“ прието с протокол на 27.04.2018 г. в случай, че две или повече проектни предложения имат еднакви общи крайни оценки, проектите ще бъдат подрежда в низходящ ред по критерии: </w:t>
            </w:r>
          </w:p>
          <w:p w14:paraId="2B74AAD8" w14:textId="77777777" w:rsidR="004E46EC" w:rsidRPr="004D2A20" w:rsidRDefault="004E46EC" w:rsidP="004E46E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4D2A20">
              <w:rPr>
                <w:rFonts w:eastAsia="Calibri"/>
                <w:i/>
                <w:iCs/>
              </w:rPr>
              <w:t>„Дейностите по проекта се реализират в населени места извън общинските центрове (критерий 3 от Критерии за оценка на проекти по подмярка 7.5. от СВОМР)“.</w:t>
            </w:r>
          </w:p>
          <w:p w14:paraId="35CAF823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rPr>
                <w:b/>
                <w:snapToGrid w:val="0"/>
              </w:rPr>
            </w:pPr>
            <w:r w:rsidRPr="004D2A20">
              <w:rPr>
                <w:b/>
                <w:snapToGrid w:val="0"/>
              </w:rPr>
              <w:t>За да бъде предложено за финансиране едно проектно предложение, общата крайна оценка на етап „Техническа и финансова оценка“ трябва да е равна или по-голяма от 10</w:t>
            </w:r>
            <w:r w:rsidRPr="004D2A20">
              <w:rPr>
                <w:rFonts w:eastAsia="Calibri"/>
                <w:b/>
                <w:snapToGrid w:val="0"/>
              </w:rPr>
              <w:t xml:space="preserve"> </w:t>
            </w:r>
            <w:r w:rsidRPr="004D2A20">
              <w:rPr>
                <w:b/>
                <w:snapToGrid w:val="0"/>
              </w:rPr>
              <w:t>т.</w:t>
            </w:r>
          </w:p>
          <w:p w14:paraId="469E1E1F" w14:textId="77777777" w:rsidR="004E46EC" w:rsidRPr="004D2A20" w:rsidRDefault="004E46EC" w:rsidP="00C40D2B">
            <w:pPr>
              <w:tabs>
                <w:tab w:val="left" w:pos="8175"/>
              </w:tabs>
              <w:spacing w:after="0"/>
              <w:jc w:val="both"/>
              <w:rPr>
                <w:b/>
              </w:rPr>
            </w:pPr>
            <w:r w:rsidRPr="004D2A20">
              <w:rPr>
                <w:b/>
              </w:rPr>
              <w:t>Критериите и методиката за „Техническа и финансова оценка“ са представени в Приложение № 2 към настоящите Условия за кандидатстване/Документи за информация.</w:t>
            </w:r>
          </w:p>
        </w:tc>
      </w:tr>
    </w:tbl>
    <w:p w14:paraId="525BA8FC" w14:textId="77777777" w:rsidR="00D3123F" w:rsidRPr="00371A33" w:rsidRDefault="00D3123F" w:rsidP="000241EC">
      <w:pPr>
        <w:shd w:val="clear" w:color="auto" w:fill="FEFEFE"/>
        <w:spacing w:after="0" w:line="23" w:lineRule="atLeast"/>
        <w:rPr>
          <w:rFonts w:cs="Times New Roman"/>
          <w:b/>
          <w:color w:val="FF0000"/>
          <w:sz w:val="22"/>
          <w:lang w:val="en-US" w:eastAsia="bg-BG"/>
        </w:rPr>
      </w:pPr>
    </w:p>
    <w:p w14:paraId="216EA2D7" w14:textId="77777777" w:rsidR="00D3123F" w:rsidRPr="00371A33" w:rsidRDefault="001B0DBB" w:rsidP="000241EC">
      <w:pPr>
        <w:shd w:val="clear" w:color="auto" w:fill="FEFEFE"/>
        <w:spacing w:after="0" w:line="23" w:lineRule="atLeast"/>
        <w:rPr>
          <w:rFonts w:cs="Times New Roman"/>
          <w:b/>
          <w:color w:val="385623" w:themeColor="accent6" w:themeShade="80"/>
          <w:sz w:val="22"/>
          <w:lang w:eastAsia="bg-BG"/>
        </w:rPr>
      </w:pPr>
      <w:r w:rsidRPr="008C7790">
        <w:rPr>
          <w:rFonts w:cs="Times New Roman"/>
          <w:b/>
          <w:sz w:val="22"/>
          <w:lang w:eastAsia="bg-BG"/>
        </w:rPr>
        <w:t>9</w:t>
      </w:r>
      <w:r w:rsidR="00D3123F" w:rsidRPr="008C7790">
        <w:rPr>
          <w:rFonts w:cs="Times New Roman"/>
          <w:b/>
          <w:sz w:val="22"/>
          <w:lang w:eastAsia="bg-BG"/>
        </w:rPr>
        <w:t>. ЛИЦЕ/А ЗА КОНТАКТ И МЯСТО ЗА ДОСТЪП ДО ПОДРОБНА ИНФОРМАЦИЯ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0241EC" w14:paraId="00FAA2A9" w14:textId="77777777" w:rsidTr="000241EC">
        <w:tc>
          <w:tcPr>
            <w:tcW w:w="10913" w:type="dxa"/>
          </w:tcPr>
          <w:p w14:paraId="2C69DD09" w14:textId="4617EA67" w:rsidR="000241EC" w:rsidRPr="00371A33" w:rsidRDefault="000241EC" w:rsidP="000241EC">
            <w:pPr>
              <w:spacing w:line="23" w:lineRule="atLeast"/>
              <w:jc w:val="both"/>
              <w:rPr>
                <w:rFonts w:cs="Times New Roman"/>
                <w:sz w:val="22"/>
              </w:rPr>
            </w:pPr>
            <w:r w:rsidRPr="00371A33">
              <w:rPr>
                <w:rFonts w:cs="Times New Roman"/>
                <w:sz w:val="22"/>
              </w:rPr>
              <w:t>Лица за контак</w:t>
            </w:r>
            <w:r w:rsidR="00380A54">
              <w:rPr>
                <w:rFonts w:cs="Times New Roman"/>
                <w:sz w:val="22"/>
              </w:rPr>
              <w:t>т: Боян Костадинов; Анна Троева; Маньо Манев,</w:t>
            </w:r>
            <w:r w:rsidRPr="00371A33">
              <w:rPr>
                <w:rFonts w:cs="Times New Roman"/>
                <w:sz w:val="22"/>
              </w:rPr>
              <w:t xml:space="preserve"> е-</w:t>
            </w:r>
            <w:r w:rsidRPr="00371A33">
              <w:rPr>
                <w:rFonts w:cs="Times New Roman"/>
                <w:sz w:val="22"/>
                <w:lang w:val="en-US"/>
              </w:rPr>
              <w:t xml:space="preserve">mail: </w:t>
            </w:r>
            <w:hyperlink r:id="rId15" w:history="1">
              <w:r w:rsidRPr="00371A33">
                <w:rPr>
                  <w:rStyle w:val="a7"/>
                  <w:rFonts w:cs="Times New Roman"/>
                  <w:sz w:val="22"/>
                  <w:lang w:val="en-US"/>
                </w:rPr>
                <w:t>migb_bd@abv.bg</w:t>
              </w:r>
            </w:hyperlink>
            <w:r w:rsidRPr="00371A33">
              <w:rPr>
                <w:rFonts w:cs="Times New Roman"/>
                <w:sz w:val="22"/>
              </w:rPr>
              <w:t xml:space="preserve"> </w:t>
            </w:r>
          </w:p>
          <w:p w14:paraId="74516E52" w14:textId="77777777" w:rsidR="000241EC" w:rsidRPr="00371A33" w:rsidRDefault="000241EC" w:rsidP="000241EC">
            <w:pPr>
              <w:spacing w:line="23" w:lineRule="atLeast"/>
              <w:jc w:val="both"/>
              <w:rPr>
                <w:rFonts w:cs="Times New Roman"/>
                <w:sz w:val="22"/>
              </w:rPr>
            </w:pPr>
            <w:r w:rsidRPr="00371A33">
              <w:rPr>
                <w:rFonts w:cs="Times New Roman"/>
                <w:sz w:val="22"/>
              </w:rPr>
              <w:t>Пълният пакет документи за кандидатстване са публикувани на следните интернет адреси:</w:t>
            </w:r>
          </w:p>
          <w:p w14:paraId="730227A3" w14:textId="77777777" w:rsidR="000241EC" w:rsidRPr="00371A33" w:rsidRDefault="000241EC" w:rsidP="000241EC">
            <w:pPr>
              <w:numPr>
                <w:ilvl w:val="0"/>
                <w:numId w:val="21"/>
              </w:numPr>
              <w:tabs>
                <w:tab w:val="left" w:pos="142"/>
              </w:tabs>
              <w:snapToGrid w:val="0"/>
              <w:spacing w:line="23" w:lineRule="atLeast"/>
              <w:jc w:val="both"/>
              <w:rPr>
                <w:rFonts w:cs="Times New Roman"/>
                <w:sz w:val="22"/>
              </w:rPr>
            </w:pPr>
            <w:r w:rsidRPr="00371A33">
              <w:rPr>
                <w:rFonts w:cs="Times New Roman"/>
                <w:sz w:val="22"/>
              </w:rPr>
              <w:t xml:space="preserve">на сайта на Сдружение „МИГ Брезово, Братя Даскалови“: </w:t>
            </w:r>
            <w:hyperlink r:id="rId16" w:history="1">
              <w:r w:rsidRPr="00371A33">
                <w:rPr>
                  <w:rStyle w:val="a7"/>
                  <w:rFonts w:cs="Times New Roman"/>
                  <w:sz w:val="22"/>
                </w:rPr>
                <w:t>http://mig.brezovo.bg/news.php</w:t>
              </w:r>
            </w:hyperlink>
            <w:r w:rsidRPr="00371A33">
              <w:rPr>
                <w:rFonts w:cs="Times New Roman"/>
                <w:sz w:val="22"/>
              </w:rPr>
              <w:t xml:space="preserve"> </w:t>
            </w:r>
          </w:p>
          <w:p w14:paraId="34B78F21" w14:textId="77777777" w:rsidR="000241EC" w:rsidRPr="000241EC" w:rsidRDefault="000241EC" w:rsidP="000241EC">
            <w:pPr>
              <w:numPr>
                <w:ilvl w:val="0"/>
                <w:numId w:val="13"/>
              </w:numPr>
              <w:tabs>
                <w:tab w:val="left" w:pos="142"/>
              </w:tabs>
              <w:snapToGrid w:val="0"/>
              <w:spacing w:line="23" w:lineRule="atLeast"/>
              <w:jc w:val="both"/>
              <w:rPr>
                <w:rFonts w:cs="Times New Roman"/>
                <w:sz w:val="22"/>
              </w:rPr>
            </w:pPr>
            <w:r w:rsidRPr="00371A33">
              <w:rPr>
                <w:rFonts w:cs="Times New Roman"/>
                <w:sz w:val="22"/>
              </w:rPr>
              <w:t xml:space="preserve">на сайта на ИСУН </w:t>
            </w:r>
            <w:hyperlink r:id="rId17" w:history="1">
              <w:r w:rsidRPr="001466AF">
                <w:rPr>
                  <w:rStyle w:val="a7"/>
                </w:rPr>
                <w:t>http://eumis2020.government.bg/</w:t>
              </w:r>
            </w:hyperlink>
            <w:r>
              <w:t xml:space="preserve"> </w:t>
            </w:r>
            <w:r w:rsidRPr="000241EC">
              <w:t xml:space="preserve"> .</w:t>
            </w:r>
            <w:r>
              <w:t xml:space="preserve"> </w:t>
            </w:r>
          </w:p>
        </w:tc>
      </w:tr>
    </w:tbl>
    <w:p w14:paraId="2A3ECD51" w14:textId="77777777" w:rsidR="00181874" w:rsidRPr="00371A33" w:rsidRDefault="00181874" w:rsidP="000241EC">
      <w:pPr>
        <w:shd w:val="clear" w:color="auto" w:fill="FEFEFE"/>
        <w:spacing w:after="0" w:line="23" w:lineRule="atLeast"/>
        <w:rPr>
          <w:rFonts w:cs="Times New Roman"/>
          <w:b/>
          <w:color w:val="548DD4"/>
          <w:sz w:val="22"/>
          <w:lang w:eastAsia="bg-BG"/>
        </w:rPr>
      </w:pPr>
    </w:p>
    <w:p w14:paraId="46575E70" w14:textId="77777777" w:rsidR="00D3123F" w:rsidRDefault="001B0DBB" w:rsidP="000241EC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0241EC">
        <w:rPr>
          <w:rFonts w:cs="Times New Roman"/>
          <w:b/>
          <w:sz w:val="22"/>
          <w:lang w:eastAsia="bg-BG"/>
        </w:rPr>
        <w:t>10</w:t>
      </w:r>
      <w:r w:rsidR="00D3123F" w:rsidRPr="000241EC">
        <w:rPr>
          <w:rFonts w:cs="Times New Roman"/>
          <w:b/>
          <w:sz w:val="22"/>
          <w:lang w:eastAsia="bg-BG"/>
        </w:rPr>
        <w:t>. НАЧИН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0241EC" w14:paraId="39CE4F25" w14:textId="77777777" w:rsidTr="000241EC">
        <w:tc>
          <w:tcPr>
            <w:tcW w:w="10913" w:type="dxa"/>
          </w:tcPr>
          <w:p w14:paraId="20CED501" w14:textId="77777777" w:rsidR="000241EC" w:rsidRPr="000241EC" w:rsidRDefault="000241EC" w:rsidP="000241EC">
            <w:pPr>
              <w:tabs>
                <w:tab w:val="left" w:pos="142"/>
              </w:tabs>
              <w:spacing w:line="23" w:lineRule="atLeast"/>
              <w:jc w:val="both"/>
              <w:rPr>
                <w:rFonts w:cs="Times New Roman"/>
                <w:b/>
                <w:bCs/>
                <w:sz w:val="22"/>
              </w:rPr>
            </w:pPr>
            <w:r w:rsidRPr="00371A33">
              <w:rPr>
                <w:rFonts w:cs="Times New Roman"/>
                <w:sz w:val="22"/>
              </w:rPr>
              <w:t xml:space="preserve">Подаването на проектно предложение по настоящата процедура се извършва по изцяло електронен път, чрез </w:t>
            </w:r>
            <w:r w:rsidRPr="00371A33">
              <w:rPr>
                <w:rFonts w:cs="Times New Roman"/>
                <w:b/>
                <w:bCs/>
                <w:sz w:val="22"/>
              </w:rPr>
              <w:t>Информационна система за управление и наблюдение на средствата от ЕС в периода 2014-2020 г. в България (ИСУН 2020)</w:t>
            </w:r>
            <w:r>
              <w:rPr>
                <w:rFonts w:cs="Times New Roman"/>
                <w:b/>
                <w:bCs/>
                <w:sz w:val="22"/>
              </w:rPr>
              <w:t xml:space="preserve">, </w:t>
            </w:r>
            <w:r w:rsidRPr="00371A33">
              <w:rPr>
                <w:rFonts w:cs="Times New Roman"/>
                <w:sz w:val="22"/>
              </w:rPr>
              <w:t xml:space="preserve">чрез модула „Е-кандидатстване“ на следния интернет адрес: </w:t>
            </w:r>
            <w:hyperlink r:id="rId18" w:history="1">
              <w:r w:rsidRPr="00371A33">
                <w:rPr>
                  <w:rStyle w:val="a7"/>
                  <w:rFonts w:cs="Times New Roman"/>
                  <w:sz w:val="22"/>
                </w:rPr>
                <w:t>https://eumis2020.government.bg</w:t>
              </w:r>
            </w:hyperlink>
            <w:r w:rsidRPr="00371A33">
              <w:rPr>
                <w:rFonts w:cs="Times New Roman"/>
                <w:sz w:val="22"/>
              </w:rPr>
              <w:t>.</w:t>
            </w:r>
          </w:p>
        </w:tc>
      </w:tr>
      <w:bookmarkEnd w:id="1"/>
      <w:bookmarkEnd w:id="2"/>
      <w:bookmarkEnd w:id="3"/>
    </w:tbl>
    <w:p w14:paraId="3ABF18BB" w14:textId="77777777" w:rsidR="000241EC" w:rsidRPr="00371A33" w:rsidRDefault="000241EC" w:rsidP="000241EC">
      <w:pPr>
        <w:shd w:val="clear" w:color="auto" w:fill="FEFEFE"/>
        <w:spacing w:after="0" w:line="23" w:lineRule="atLeast"/>
        <w:rPr>
          <w:rFonts w:cs="Times New Roman"/>
          <w:b/>
          <w:color w:val="385623" w:themeColor="accent6" w:themeShade="80"/>
          <w:sz w:val="22"/>
          <w:lang w:eastAsia="bg-BG"/>
        </w:rPr>
      </w:pPr>
    </w:p>
    <w:sectPr w:rsidR="000241EC" w:rsidRPr="00371A33" w:rsidSect="00E56540">
      <w:footerReference w:type="default" r:id="rId19"/>
      <w:pgSz w:w="11906" w:h="16838"/>
      <w:pgMar w:top="426" w:right="424" w:bottom="709" w:left="709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A4576" w14:textId="77777777" w:rsidR="0015186D" w:rsidRDefault="0015186D" w:rsidP="00617FB6">
      <w:pPr>
        <w:spacing w:after="0" w:line="240" w:lineRule="auto"/>
      </w:pPr>
      <w:r>
        <w:separator/>
      </w:r>
    </w:p>
  </w:endnote>
  <w:endnote w:type="continuationSeparator" w:id="0">
    <w:p w14:paraId="178F159E" w14:textId="77777777" w:rsidR="0015186D" w:rsidRDefault="0015186D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DE6A7" w14:textId="77777777" w:rsidR="00617FB6" w:rsidRPr="00EE63CB" w:rsidRDefault="00617FB6" w:rsidP="00913D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E141A" w14:textId="77777777" w:rsidR="0015186D" w:rsidRDefault="0015186D" w:rsidP="00617FB6">
      <w:pPr>
        <w:spacing w:after="0" w:line="240" w:lineRule="auto"/>
      </w:pPr>
      <w:r>
        <w:separator/>
      </w:r>
    </w:p>
  </w:footnote>
  <w:footnote w:type="continuationSeparator" w:id="0">
    <w:p w14:paraId="11F00E13" w14:textId="77777777" w:rsidR="0015186D" w:rsidRDefault="0015186D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C0A77"/>
    <w:multiLevelType w:val="multilevel"/>
    <w:tmpl w:val="76AAF7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4B737F"/>
    <w:multiLevelType w:val="hybridMultilevel"/>
    <w:tmpl w:val="7BC6E372"/>
    <w:lvl w:ilvl="0" w:tplc="8056EF1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B35FC"/>
    <w:multiLevelType w:val="multilevel"/>
    <w:tmpl w:val="C4D47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BB96D6F"/>
    <w:multiLevelType w:val="hybridMultilevel"/>
    <w:tmpl w:val="22B4CD9C"/>
    <w:lvl w:ilvl="0" w:tplc="040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CF95441"/>
    <w:multiLevelType w:val="hybridMultilevel"/>
    <w:tmpl w:val="1E146E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F4109"/>
    <w:multiLevelType w:val="hybridMultilevel"/>
    <w:tmpl w:val="871A660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FB0EAC"/>
    <w:multiLevelType w:val="hybridMultilevel"/>
    <w:tmpl w:val="2198287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743451B"/>
    <w:multiLevelType w:val="hybridMultilevel"/>
    <w:tmpl w:val="287ECA28"/>
    <w:lvl w:ilvl="0" w:tplc="F1FE27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735C45"/>
    <w:multiLevelType w:val="hybridMultilevel"/>
    <w:tmpl w:val="AF585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45BB4"/>
    <w:multiLevelType w:val="hybridMultilevel"/>
    <w:tmpl w:val="5374FB54"/>
    <w:lvl w:ilvl="0" w:tplc="E3FAB04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9"/>
  </w:num>
  <w:num w:numId="4">
    <w:abstractNumId w:val="20"/>
  </w:num>
  <w:num w:numId="5">
    <w:abstractNumId w:val="24"/>
  </w:num>
  <w:num w:numId="6">
    <w:abstractNumId w:val="30"/>
  </w:num>
  <w:num w:numId="7">
    <w:abstractNumId w:val="14"/>
  </w:num>
  <w:num w:numId="8">
    <w:abstractNumId w:val="19"/>
  </w:num>
  <w:num w:numId="9">
    <w:abstractNumId w:val="15"/>
  </w:num>
  <w:num w:numId="10">
    <w:abstractNumId w:val="8"/>
  </w:num>
  <w:num w:numId="11">
    <w:abstractNumId w:val="5"/>
  </w:num>
  <w:num w:numId="12">
    <w:abstractNumId w:val="25"/>
  </w:num>
  <w:num w:numId="13">
    <w:abstractNumId w:val="23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9"/>
  </w:num>
  <w:num w:numId="18">
    <w:abstractNumId w:val="0"/>
  </w:num>
  <w:num w:numId="19">
    <w:abstractNumId w:val="3"/>
  </w:num>
  <w:num w:numId="20">
    <w:abstractNumId w:val="21"/>
  </w:num>
  <w:num w:numId="21">
    <w:abstractNumId w:val="2"/>
  </w:num>
  <w:num w:numId="22">
    <w:abstractNumId w:val="18"/>
  </w:num>
  <w:num w:numId="23">
    <w:abstractNumId w:val="17"/>
  </w:num>
  <w:num w:numId="24">
    <w:abstractNumId w:val="28"/>
  </w:num>
  <w:num w:numId="25">
    <w:abstractNumId w:val="22"/>
  </w:num>
  <w:num w:numId="26">
    <w:abstractNumId w:val="7"/>
  </w:num>
  <w:num w:numId="27">
    <w:abstractNumId w:val="10"/>
  </w:num>
  <w:num w:numId="28">
    <w:abstractNumId w:val="13"/>
  </w:num>
  <w:num w:numId="29">
    <w:abstractNumId w:val="27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2238F"/>
    <w:rsid w:val="000241EC"/>
    <w:rsid w:val="000366F5"/>
    <w:rsid w:val="00083971"/>
    <w:rsid w:val="000917B7"/>
    <w:rsid w:val="000A201A"/>
    <w:rsid w:val="000A5CF7"/>
    <w:rsid w:val="000B7D47"/>
    <w:rsid w:val="000D0DD9"/>
    <w:rsid w:val="000E438E"/>
    <w:rsid w:val="000F7B54"/>
    <w:rsid w:val="00110B9D"/>
    <w:rsid w:val="00125744"/>
    <w:rsid w:val="00134EB6"/>
    <w:rsid w:val="00141D58"/>
    <w:rsid w:val="0015186D"/>
    <w:rsid w:val="001602C1"/>
    <w:rsid w:val="00167E21"/>
    <w:rsid w:val="00181874"/>
    <w:rsid w:val="0018286F"/>
    <w:rsid w:val="00185B7C"/>
    <w:rsid w:val="001B0DBB"/>
    <w:rsid w:val="001D2D9B"/>
    <w:rsid w:val="001D4E72"/>
    <w:rsid w:val="001D7587"/>
    <w:rsid w:val="001E3DCB"/>
    <w:rsid w:val="001F0DE5"/>
    <w:rsid w:val="001F0FCC"/>
    <w:rsid w:val="001F4054"/>
    <w:rsid w:val="001F77D2"/>
    <w:rsid w:val="001F79F3"/>
    <w:rsid w:val="00205EBF"/>
    <w:rsid w:val="00245CD1"/>
    <w:rsid w:val="00246749"/>
    <w:rsid w:val="00251558"/>
    <w:rsid w:val="00261B08"/>
    <w:rsid w:val="00265D45"/>
    <w:rsid w:val="002B2D9D"/>
    <w:rsid w:val="002B63E3"/>
    <w:rsid w:val="002C393A"/>
    <w:rsid w:val="002C3F1A"/>
    <w:rsid w:val="002C40CB"/>
    <w:rsid w:val="002D5249"/>
    <w:rsid w:val="002D74EC"/>
    <w:rsid w:val="002F7345"/>
    <w:rsid w:val="00300F41"/>
    <w:rsid w:val="0030391B"/>
    <w:rsid w:val="003170F7"/>
    <w:rsid w:val="00323CAC"/>
    <w:rsid w:val="00325BD6"/>
    <w:rsid w:val="00341BC1"/>
    <w:rsid w:val="0035203D"/>
    <w:rsid w:val="00353D1B"/>
    <w:rsid w:val="003600CC"/>
    <w:rsid w:val="00371A33"/>
    <w:rsid w:val="00380A54"/>
    <w:rsid w:val="0039512C"/>
    <w:rsid w:val="003A2B25"/>
    <w:rsid w:val="003F699C"/>
    <w:rsid w:val="0042754C"/>
    <w:rsid w:val="0043328B"/>
    <w:rsid w:val="00444D9D"/>
    <w:rsid w:val="004459A8"/>
    <w:rsid w:val="00456104"/>
    <w:rsid w:val="004561C9"/>
    <w:rsid w:val="0047533D"/>
    <w:rsid w:val="00477810"/>
    <w:rsid w:val="0048142A"/>
    <w:rsid w:val="004A0593"/>
    <w:rsid w:val="004B1C33"/>
    <w:rsid w:val="004C5E61"/>
    <w:rsid w:val="004D1F9A"/>
    <w:rsid w:val="004E46EC"/>
    <w:rsid w:val="004E786A"/>
    <w:rsid w:val="00526C08"/>
    <w:rsid w:val="005315CE"/>
    <w:rsid w:val="00537199"/>
    <w:rsid w:val="00563B32"/>
    <w:rsid w:val="0059678C"/>
    <w:rsid w:val="005A21E9"/>
    <w:rsid w:val="005A6A85"/>
    <w:rsid w:val="005B4A2A"/>
    <w:rsid w:val="005E0998"/>
    <w:rsid w:val="005F1377"/>
    <w:rsid w:val="00601EE3"/>
    <w:rsid w:val="00617FB6"/>
    <w:rsid w:val="00630782"/>
    <w:rsid w:val="0063467E"/>
    <w:rsid w:val="006535DA"/>
    <w:rsid w:val="00654DEB"/>
    <w:rsid w:val="0067299F"/>
    <w:rsid w:val="0068075E"/>
    <w:rsid w:val="00684AC4"/>
    <w:rsid w:val="0069691C"/>
    <w:rsid w:val="006A6FB2"/>
    <w:rsid w:val="006B17C5"/>
    <w:rsid w:val="006B3DD8"/>
    <w:rsid w:val="006C6FE0"/>
    <w:rsid w:val="006D0203"/>
    <w:rsid w:val="006D40C0"/>
    <w:rsid w:val="006D45A0"/>
    <w:rsid w:val="00714F74"/>
    <w:rsid w:val="00724026"/>
    <w:rsid w:val="0074645C"/>
    <w:rsid w:val="00757CB3"/>
    <w:rsid w:val="007A2E7D"/>
    <w:rsid w:val="007A4B81"/>
    <w:rsid w:val="007A5405"/>
    <w:rsid w:val="007C3C18"/>
    <w:rsid w:val="007C5952"/>
    <w:rsid w:val="007D21CC"/>
    <w:rsid w:val="007E4FDD"/>
    <w:rsid w:val="007F3FAE"/>
    <w:rsid w:val="00800A50"/>
    <w:rsid w:val="008051B1"/>
    <w:rsid w:val="00806203"/>
    <w:rsid w:val="00820623"/>
    <w:rsid w:val="0083771A"/>
    <w:rsid w:val="008457F4"/>
    <w:rsid w:val="00846B49"/>
    <w:rsid w:val="0085575D"/>
    <w:rsid w:val="008602B3"/>
    <w:rsid w:val="00864369"/>
    <w:rsid w:val="00865D3A"/>
    <w:rsid w:val="00870182"/>
    <w:rsid w:val="008704CD"/>
    <w:rsid w:val="008873E0"/>
    <w:rsid w:val="008930FB"/>
    <w:rsid w:val="008A5CED"/>
    <w:rsid w:val="008B01E9"/>
    <w:rsid w:val="008B0DBB"/>
    <w:rsid w:val="008C33D1"/>
    <w:rsid w:val="008C7790"/>
    <w:rsid w:val="008E35E7"/>
    <w:rsid w:val="008F08DA"/>
    <w:rsid w:val="008F7AF0"/>
    <w:rsid w:val="00913D07"/>
    <w:rsid w:val="0091472B"/>
    <w:rsid w:val="009200F8"/>
    <w:rsid w:val="00925984"/>
    <w:rsid w:val="00993696"/>
    <w:rsid w:val="00994236"/>
    <w:rsid w:val="0099528A"/>
    <w:rsid w:val="009A3ED8"/>
    <w:rsid w:val="009B2C25"/>
    <w:rsid w:val="009C50B4"/>
    <w:rsid w:val="009C6C30"/>
    <w:rsid w:val="009E72D4"/>
    <w:rsid w:val="009F6977"/>
    <w:rsid w:val="00A01619"/>
    <w:rsid w:val="00A0248E"/>
    <w:rsid w:val="00A103B4"/>
    <w:rsid w:val="00A27006"/>
    <w:rsid w:val="00A40886"/>
    <w:rsid w:val="00A575D1"/>
    <w:rsid w:val="00A60EB9"/>
    <w:rsid w:val="00A95C16"/>
    <w:rsid w:val="00AA7329"/>
    <w:rsid w:val="00AB22C1"/>
    <w:rsid w:val="00AB5C31"/>
    <w:rsid w:val="00AB70EB"/>
    <w:rsid w:val="00AB783C"/>
    <w:rsid w:val="00AC3207"/>
    <w:rsid w:val="00AC48C5"/>
    <w:rsid w:val="00AC7B2E"/>
    <w:rsid w:val="00AE1915"/>
    <w:rsid w:val="00B023E7"/>
    <w:rsid w:val="00B2368B"/>
    <w:rsid w:val="00B262D9"/>
    <w:rsid w:val="00B34177"/>
    <w:rsid w:val="00B601FC"/>
    <w:rsid w:val="00B63DE4"/>
    <w:rsid w:val="00B675C7"/>
    <w:rsid w:val="00B84E44"/>
    <w:rsid w:val="00B97B27"/>
    <w:rsid w:val="00BC3FD9"/>
    <w:rsid w:val="00BD5AD0"/>
    <w:rsid w:val="00C033B3"/>
    <w:rsid w:val="00C10A47"/>
    <w:rsid w:val="00C14560"/>
    <w:rsid w:val="00C45BF8"/>
    <w:rsid w:val="00C529FF"/>
    <w:rsid w:val="00C67E85"/>
    <w:rsid w:val="00C84528"/>
    <w:rsid w:val="00C86DA8"/>
    <w:rsid w:val="00C8763A"/>
    <w:rsid w:val="00C91946"/>
    <w:rsid w:val="00C93457"/>
    <w:rsid w:val="00CA7741"/>
    <w:rsid w:val="00CB253A"/>
    <w:rsid w:val="00CC2823"/>
    <w:rsid w:val="00CD3A45"/>
    <w:rsid w:val="00CD63C9"/>
    <w:rsid w:val="00D0210F"/>
    <w:rsid w:val="00D30002"/>
    <w:rsid w:val="00D3123F"/>
    <w:rsid w:val="00D438B0"/>
    <w:rsid w:val="00D47772"/>
    <w:rsid w:val="00D514EC"/>
    <w:rsid w:val="00D545B5"/>
    <w:rsid w:val="00D731C2"/>
    <w:rsid w:val="00D93F35"/>
    <w:rsid w:val="00DA6429"/>
    <w:rsid w:val="00DB6F4E"/>
    <w:rsid w:val="00DC3896"/>
    <w:rsid w:val="00DD7F7E"/>
    <w:rsid w:val="00DE66EB"/>
    <w:rsid w:val="00DE7214"/>
    <w:rsid w:val="00DF24E3"/>
    <w:rsid w:val="00DF74CA"/>
    <w:rsid w:val="00E149BB"/>
    <w:rsid w:val="00E2368F"/>
    <w:rsid w:val="00E31DB3"/>
    <w:rsid w:val="00E33A67"/>
    <w:rsid w:val="00E36EA7"/>
    <w:rsid w:val="00E4300C"/>
    <w:rsid w:val="00E56540"/>
    <w:rsid w:val="00E64C3A"/>
    <w:rsid w:val="00E81877"/>
    <w:rsid w:val="00E84502"/>
    <w:rsid w:val="00E91CD0"/>
    <w:rsid w:val="00EA1B32"/>
    <w:rsid w:val="00EA7618"/>
    <w:rsid w:val="00EC0248"/>
    <w:rsid w:val="00EC71BE"/>
    <w:rsid w:val="00ED6C96"/>
    <w:rsid w:val="00ED7A97"/>
    <w:rsid w:val="00EE63CB"/>
    <w:rsid w:val="00F4200F"/>
    <w:rsid w:val="00F5099D"/>
    <w:rsid w:val="00F71439"/>
    <w:rsid w:val="00F7321C"/>
    <w:rsid w:val="00F8340D"/>
    <w:rsid w:val="00F92E14"/>
    <w:rsid w:val="00FB0342"/>
    <w:rsid w:val="00FD4F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73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2">
    <w:name w:val="FollowedHyperlink"/>
    <w:basedOn w:val="a0"/>
    <w:uiPriority w:val="99"/>
    <w:semiHidden/>
    <w:unhideWhenUsed/>
    <w:rsid w:val="000241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D3A"/>
    <w:rPr>
      <w:color w:val="605E5C"/>
      <w:shd w:val="clear" w:color="auto" w:fill="E1DFDD"/>
    </w:rPr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4E46E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2">
    <w:name w:val="FollowedHyperlink"/>
    <w:basedOn w:val="a0"/>
    <w:uiPriority w:val="99"/>
    <w:semiHidden/>
    <w:unhideWhenUsed/>
    <w:rsid w:val="000241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D3A"/>
    <w:rPr>
      <w:color w:val="605E5C"/>
      <w:shd w:val="clear" w:color="auto" w:fill="E1DFDD"/>
    </w:rPr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4E46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https://eumis2020.government.b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g.brezovo.bg/news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migb_bd@abv.bg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eumis2020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18DC-0885-4745-896F-C14F7FE4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1723</Words>
  <Characters>9823</Characters>
  <Application>Microsoft Office Word</Application>
  <DocSecurity>0</DocSecurity>
  <Lines>81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user</cp:lastModifiedBy>
  <cp:revision>4</cp:revision>
  <cp:lastPrinted>2020-09-14T10:33:00Z</cp:lastPrinted>
  <dcterms:created xsi:type="dcterms:W3CDTF">2020-08-21T08:16:00Z</dcterms:created>
  <dcterms:modified xsi:type="dcterms:W3CDTF">2020-09-14T10:37:00Z</dcterms:modified>
</cp:coreProperties>
</file>