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F5" w:rsidRPr="008B657A" w:rsidRDefault="00B269F5" w:rsidP="00B269F5">
      <w:pPr>
        <w:spacing w:after="0" w:line="240" w:lineRule="auto"/>
        <w:jc w:val="center"/>
        <w:rPr>
          <w:rFonts w:ascii="Times New Roman" w:eastAsia="Times New Roman" w:hAnsi="Times New Roman"/>
          <w:b/>
          <w:sz w:val="24"/>
          <w:szCs w:val="24"/>
          <w:shd w:val="clear" w:color="auto" w:fill="FEFEFE"/>
          <w:lang w:val="en-US"/>
        </w:rPr>
      </w:pP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r w:rsidRPr="008B657A">
        <w:rPr>
          <w:rFonts w:ascii="Times New Roman" w:eastAsia="Times New Roman" w:hAnsi="Times New Roman"/>
          <w:b/>
          <w:sz w:val="24"/>
          <w:szCs w:val="24"/>
          <w:shd w:val="clear" w:color="auto" w:fill="FEFEFE"/>
          <w:lang w:val="en-US"/>
        </w:rPr>
        <w:t>О</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Б</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Я</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В</w:t>
      </w:r>
      <w:r w:rsidR="000C2DD7" w:rsidRPr="008B657A">
        <w:rPr>
          <w:rFonts w:ascii="Times New Roman" w:eastAsia="Times New Roman" w:hAnsi="Times New Roman"/>
          <w:b/>
          <w:sz w:val="24"/>
          <w:szCs w:val="24"/>
          <w:shd w:val="clear" w:color="auto" w:fill="FEFEFE"/>
          <w:lang w:val="en-US"/>
        </w:rPr>
        <w:t xml:space="preserve"> </w:t>
      </w:r>
      <w:r w:rsidRPr="008B657A">
        <w:rPr>
          <w:rFonts w:ascii="Times New Roman" w:eastAsia="Times New Roman" w:hAnsi="Times New Roman"/>
          <w:b/>
          <w:sz w:val="24"/>
          <w:szCs w:val="24"/>
          <w:shd w:val="clear" w:color="auto" w:fill="FEFEFE"/>
          <w:lang w:val="en-US"/>
        </w:rPr>
        <w:t xml:space="preserve">А </w:t>
      </w:r>
    </w:p>
    <w:p w:rsidR="00B269F5" w:rsidRPr="008B657A" w:rsidRDefault="00B269F5" w:rsidP="00FF56A9">
      <w:pPr>
        <w:spacing w:after="0" w:line="240" w:lineRule="auto"/>
        <w:jc w:val="center"/>
        <w:rPr>
          <w:rFonts w:ascii="Times New Roman" w:eastAsia="Times New Roman" w:hAnsi="Times New Roman"/>
          <w:b/>
          <w:sz w:val="24"/>
          <w:szCs w:val="24"/>
          <w:shd w:val="clear" w:color="auto" w:fill="FEFEFE"/>
        </w:rPr>
      </w:pPr>
    </w:p>
    <w:p w:rsidR="00B269F5" w:rsidRPr="008B657A" w:rsidRDefault="00B269F5" w:rsidP="00FF56A9">
      <w:pPr>
        <w:spacing w:after="0" w:line="240" w:lineRule="auto"/>
        <w:jc w:val="center"/>
        <w:rPr>
          <w:rFonts w:ascii="Times New Roman" w:eastAsia="Times New Roman" w:hAnsi="Times New Roman"/>
          <w:b/>
          <w:i/>
          <w:sz w:val="24"/>
          <w:szCs w:val="24"/>
          <w:shd w:val="clear" w:color="auto" w:fill="FEFEFE"/>
        </w:rPr>
      </w:pPr>
      <w:r w:rsidRPr="008B657A">
        <w:rPr>
          <w:rFonts w:ascii="Times New Roman" w:eastAsia="Times New Roman" w:hAnsi="Times New Roman"/>
          <w:b/>
          <w:i/>
          <w:sz w:val="24"/>
          <w:szCs w:val="24"/>
          <w:shd w:val="clear" w:color="auto" w:fill="FEFEFE"/>
        </w:rPr>
        <w:t xml:space="preserve">за прием на проектни предложения </w:t>
      </w:r>
      <w:r w:rsidR="00EC19B9">
        <w:rPr>
          <w:rFonts w:ascii="Times New Roman" w:eastAsia="Times New Roman" w:hAnsi="Times New Roman"/>
          <w:b/>
          <w:i/>
          <w:sz w:val="24"/>
          <w:szCs w:val="24"/>
          <w:shd w:val="clear" w:color="auto" w:fill="FEFEFE"/>
        </w:rPr>
        <w:t xml:space="preserve"> </w:t>
      </w:r>
      <w:r w:rsidRPr="008B657A">
        <w:rPr>
          <w:rFonts w:ascii="Times New Roman" w:eastAsia="Times New Roman" w:hAnsi="Times New Roman"/>
          <w:b/>
          <w:i/>
          <w:sz w:val="24"/>
          <w:szCs w:val="24"/>
          <w:shd w:val="clear" w:color="auto" w:fill="FEFEFE"/>
        </w:rPr>
        <w:t>към Стратегията за водено от общностите местно развитие за територията на МИГ</w:t>
      </w:r>
      <w:r w:rsidR="000C2DD7" w:rsidRPr="008B657A">
        <w:rPr>
          <w:rFonts w:ascii="Times New Roman" w:eastAsia="Times New Roman" w:hAnsi="Times New Roman"/>
          <w:b/>
          <w:i/>
          <w:sz w:val="24"/>
          <w:szCs w:val="24"/>
          <w:shd w:val="clear" w:color="auto" w:fill="FEFEFE"/>
          <w:lang w:val="en-US"/>
        </w:rPr>
        <w:t xml:space="preserve"> </w:t>
      </w:r>
      <w:r w:rsidR="003240FC" w:rsidRPr="008B657A">
        <w:rPr>
          <w:rFonts w:ascii="Times New Roman" w:eastAsia="Times New Roman" w:hAnsi="Times New Roman"/>
          <w:b/>
          <w:i/>
          <w:sz w:val="24"/>
          <w:szCs w:val="24"/>
          <w:shd w:val="clear" w:color="auto" w:fill="FEFEFE"/>
        </w:rPr>
        <w:t>Долни Чифлик и Бяла</w:t>
      </w:r>
    </w:p>
    <w:p w:rsidR="00B269F5" w:rsidRPr="008B657A" w:rsidRDefault="00B269F5"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ind w:firstLine="708"/>
        <w:jc w:val="both"/>
        <w:outlineLvl w:val="0"/>
        <w:rPr>
          <w:rFonts w:ascii="Times New Roman" w:hAnsi="Times New Roman"/>
          <w:b/>
          <w:sz w:val="24"/>
          <w:szCs w:val="24"/>
        </w:rPr>
      </w:pPr>
    </w:p>
    <w:p w:rsidR="000C2DD7" w:rsidRPr="00CF6472" w:rsidRDefault="000C2DD7" w:rsidP="00FF56A9">
      <w:pPr>
        <w:spacing w:after="0" w:line="240" w:lineRule="auto"/>
        <w:jc w:val="both"/>
        <w:rPr>
          <w:rFonts w:ascii="Times New Roman" w:hAnsi="Times New Roman"/>
          <w:b/>
          <w:sz w:val="24"/>
          <w:szCs w:val="24"/>
          <w:lang w:val="en-US"/>
        </w:rPr>
      </w:pPr>
      <w:r w:rsidRPr="00CF6472">
        <w:rPr>
          <w:rFonts w:ascii="Times New Roman" w:hAnsi="Times New Roman"/>
          <w:b/>
          <w:sz w:val="24"/>
          <w:szCs w:val="24"/>
        </w:rPr>
        <w:t xml:space="preserve">Сдружение „Местна инициативна група </w:t>
      </w:r>
      <w:r w:rsidR="003240FC" w:rsidRPr="00CF6472">
        <w:rPr>
          <w:rFonts w:ascii="Times New Roman" w:hAnsi="Times New Roman"/>
          <w:b/>
          <w:sz w:val="24"/>
          <w:szCs w:val="24"/>
        </w:rPr>
        <w:t xml:space="preserve">Долни </w:t>
      </w:r>
      <w:r w:rsidR="00A21665" w:rsidRPr="00CF6472">
        <w:rPr>
          <w:rFonts w:ascii="Times New Roman" w:hAnsi="Times New Roman"/>
          <w:b/>
          <w:sz w:val="24"/>
          <w:szCs w:val="24"/>
        </w:rPr>
        <w:t>Ч</w:t>
      </w:r>
      <w:r w:rsidR="003240FC" w:rsidRPr="00CF6472">
        <w:rPr>
          <w:rFonts w:ascii="Times New Roman" w:hAnsi="Times New Roman"/>
          <w:b/>
          <w:sz w:val="24"/>
          <w:szCs w:val="24"/>
        </w:rPr>
        <w:t>ифлик и Бяла</w:t>
      </w:r>
      <w:r w:rsidRPr="00CF6472">
        <w:rPr>
          <w:rFonts w:ascii="Times New Roman" w:hAnsi="Times New Roman"/>
          <w:b/>
          <w:sz w:val="24"/>
          <w:szCs w:val="24"/>
        </w:rPr>
        <w:t xml:space="preserve">” открива процедура за подбор на проектни предложения </w:t>
      </w:r>
      <w:r w:rsidR="00152A77" w:rsidRPr="00152A77">
        <w:rPr>
          <w:rFonts w:ascii="Times New Roman" w:hAnsi="Times New Roman"/>
          <w:b/>
          <w:sz w:val="24"/>
          <w:szCs w:val="24"/>
        </w:rPr>
        <w:t>BG</w:t>
      </w:r>
      <w:r w:rsidR="00152A77" w:rsidRPr="00152A77">
        <w:rPr>
          <w:rFonts w:ascii="Times New Roman" w:hAnsi="Times New Roman"/>
          <w:b/>
          <w:sz w:val="24"/>
          <w:szCs w:val="24"/>
          <w:lang w:val="ru-RU"/>
        </w:rPr>
        <w:t>06</w:t>
      </w:r>
      <w:r w:rsidR="00152A77" w:rsidRPr="00152A77">
        <w:rPr>
          <w:rFonts w:ascii="Times New Roman" w:hAnsi="Times New Roman"/>
          <w:b/>
          <w:sz w:val="24"/>
          <w:szCs w:val="24"/>
          <w:lang w:val="en-US"/>
        </w:rPr>
        <w:t>RDNP</w:t>
      </w:r>
      <w:r w:rsidR="00152A77" w:rsidRPr="00152A77">
        <w:rPr>
          <w:rFonts w:ascii="Times New Roman" w:hAnsi="Times New Roman"/>
          <w:b/>
          <w:sz w:val="24"/>
          <w:szCs w:val="24"/>
          <w:lang w:val="ru-RU"/>
        </w:rPr>
        <w:t>001-19.390</w:t>
      </w:r>
      <w:r w:rsidR="00CC15F4" w:rsidRPr="00CF6472">
        <w:rPr>
          <w:rFonts w:ascii="Times New Roman" w:hAnsi="Times New Roman"/>
          <w:b/>
          <w:sz w:val="24"/>
          <w:szCs w:val="24"/>
        </w:rPr>
        <w:t xml:space="preserve"> </w:t>
      </w:r>
      <w:r w:rsidRPr="00CF6472">
        <w:rPr>
          <w:rFonts w:ascii="Times New Roman" w:hAnsi="Times New Roman"/>
          <w:b/>
          <w:sz w:val="24"/>
          <w:szCs w:val="24"/>
        </w:rPr>
        <w:t xml:space="preserve">по Мярка </w:t>
      </w:r>
      <w:r w:rsidR="00152A77">
        <w:rPr>
          <w:rFonts w:ascii="Times New Roman" w:hAnsi="Times New Roman"/>
          <w:b/>
          <w:sz w:val="24"/>
          <w:szCs w:val="24"/>
        </w:rPr>
        <w:t>4</w:t>
      </w:r>
      <w:r w:rsidRPr="00CF6472">
        <w:rPr>
          <w:rFonts w:ascii="Times New Roman" w:hAnsi="Times New Roman"/>
          <w:b/>
          <w:sz w:val="24"/>
          <w:szCs w:val="24"/>
        </w:rPr>
        <w:t>.</w:t>
      </w:r>
      <w:r w:rsidR="00152A77">
        <w:rPr>
          <w:rFonts w:ascii="Times New Roman" w:hAnsi="Times New Roman"/>
          <w:b/>
          <w:sz w:val="24"/>
          <w:szCs w:val="24"/>
        </w:rPr>
        <w:t>1</w:t>
      </w:r>
      <w:r w:rsidRPr="00CF6472">
        <w:rPr>
          <w:rFonts w:ascii="Times New Roman" w:hAnsi="Times New Roman"/>
          <w:b/>
          <w:sz w:val="24"/>
          <w:szCs w:val="24"/>
        </w:rPr>
        <w:t>. „</w:t>
      </w:r>
      <w:r w:rsidR="00152A77" w:rsidRPr="00152A77">
        <w:rPr>
          <w:rFonts w:ascii="Times New Roman" w:hAnsi="Times New Roman"/>
          <w:b/>
          <w:sz w:val="24"/>
          <w:szCs w:val="24"/>
        </w:rPr>
        <w:t>Инвестиции в земеделски стопанства</w:t>
      </w:r>
      <w:r w:rsidRPr="00CF6472">
        <w:rPr>
          <w:rFonts w:ascii="Times New Roman" w:hAnsi="Times New Roman"/>
          <w:b/>
          <w:sz w:val="24"/>
          <w:szCs w:val="24"/>
        </w:rPr>
        <w:t>“</w:t>
      </w:r>
    </w:p>
    <w:p w:rsidR="000C2DD7" w:rsidRPr="00CF6472"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0C2DD7" w:rsidRPr="008B657A" w:rsidRDefault="000C2DD7" w:rsidP="00FF56A9">
      <w:pPr>
        <w:spacing w:after="0" w:line="240" w:lineRule="auto"/>
        <w:jc w:val="both"/>
        <w:outlineLvl w:val="0"/>
        <w:rPr>
          <w:rFonts w:ascii="Times New Roman" w:hAnsi="Times New Roman"/>
          <w:sz w:val="24"/>
          <w:szCs w:val="24"/>
        </w:rPr>
      </w:pPr>
      <w:r w:rsidRPr="008B657A">
        <w:rPr>
          <w:rFonts w:ascii="Times New Roman" w:hAnsi="Times New Roman"/>
          <w:b/>
          <w:sz w:val="24"/>
          <w:szCs w:val="24"/>
        </w:rPr>
        <w:t xml:space="preserve">Оперативна програма: </w:t>
      </w:r>
      <w:r w:rsidRPr="008B657A">
        <w:rPr>
          <w:rFonts w:ascii="Times New Roman" w:hAnsi="Times New Roman"/>
          <w:sz w:val="24"/>
          <w:szCs w:val="24"/>
        </w:rPr>
        <w:t xml:space="preserve">ПРОГРАМА ЗА РАЗВИТИЕ НА СЕЛСКИТЕ РАЙОНИ 2014 -2020Г. </w:t>
      </w:r>
    </w:p>
    <w:p w:rsidR="000C2DD7" w:rsidRPr="008B657A" w:rsidRDefault="000C2DD7" w:rsidP="00FF56A9">
      <w:pPr>
        <w:spacing w:after="0" w:line="240" w:lineRule="auto"/>
        <w:jc w:val="both"/>
        <w:outlineLvl w:val="0"/>
        <w:rPr>
          <w:rFonts w:ascii="Times New Roman" w:hAnsi="Times New Roman"/>
          <w:b/>
          <w:sz w:val="24"/>
          <w:szCs w:val="24"/>
        </w:rPr>
      </w:pPr>
    </w:p>
    <w:p w:rsidR="000C2DD7" w:rsidRPr="008B657A" w:rsidRDefault="000C2DD7" w:rsidP="00FF56A9">
      <w:pPr>
        <w:spacing w:after="0" w:line="240" w:lineRule="auto"/>
        <w:jc w:val="both"/>
        <w:outlineLvl w:val="0"/>
        <w:rPr>
          <w:rFonts w:ascii="Times New Roman" w:hAnsi="Times New Roman"/>
          <w:sz w:val="24"/>
          <w:szCs w:val="24"/>
          <w:lang w:val="en-US"/>
        </w:rPr>
      </w:pPr>
      <w:r w:rsidRPr="008B657A">
        <w:rPr>
          <w:rFonts w:ascii="Times New Roman" w:hAnsi="Times New Roman"/>
          <w:b/>
          <w:sz w:val="24"/>
          <w:szCs w:val="24"/>
        </w:rPr>
        <w:t>Мярка</w:t>
      </w:r>
      <w:r w:rsidRPr="008B657A">
        <w:rPr>
          <w:rFonts w:ascii="Times New Roman" w:hAnsi="Times New Roman"/>
          <w:sz w:val="24"/>
          <w:szCs w:val="24"/>
        </w:rPr>
        <w:t xml:space="preserve">: 19 ВОДЕНО ОТ ОБЩНОСТИТЕ МЕСТНО РАЗВИТИЕ </w:t>
      </w:r>
    </w:p>
    <w:p w:rsidR="000C2DD7" w:rsidRPr="008B657A" w:rsidRDefault="000C2DD7" w:rsidP="00FF56A9">
      <w:pPr>
        <w:spacing w:after="0" w:line="240" w:lineRule="auto"/>
        <w:jc w:val="both"/>
        <w:outlineLvl w:val="0"/>
        <w:rPr>
          <w:rFonts w:ascii="Times New Roman" w:hAnsi="Times New Roman"/>
          <w:sz w:val="24"/>
          <w:szCs w:val="24"/>
          <w:lang w:val="en-US"/>
        </w:rPr>
      </w:pPr>
    </w:p>
    <w:p w:rsidR="006F51A8" w:rsidRDefault="00E237A7" w:rsidP="00681C8B">
      <w:pPr>
        <w:pStyle w:val="Default"/>
        <w:jc w:val="both"/>
      </w:pPr>
      <w:r w:rsidRPr="008B657A">
        <w:rPr>
          <w:rFonts w:ascii="Times New Roman" w:hAnsi="Times New Roman"/>
          <w:b/>
          <w:lang w:val="bg-BG"/>
        </w:rPr>
        <w:t>Цели и обхват на мярката</w:t>
      </w:r>
      <w:r w:rsidR="000C2DD7" w:rsidRPr="008B657A">
        <w:rPr>
          <w:rFonts w:ascii="Times New Roman" w:hAnsi="Times New Roman"/>
          <w:b/>
        </w:rPr>
        <w:t>:</w:t>
      </w:r>
      <w:r w:rsidR="00681C8B" w:rsidRPr="008B657A">
        <w:t xml:space="preserve"> </w:t>
      </w:r>
    </w:p>
    <w:p w:rsidR="006F51A8" w:rsidRDefault="00152A77" w:rsidP="00681C8B">
      <w:pPr>
        <w:pStyle w:val="Default"/>
        <w:jc w:val="both"/>
        <w:rPr>
          <w:rFonts w:ascii="Times New Roman" w:eastAsia="Calibri" w:hAnsi="Times New Roman" w:cs="Times New Roman"/>
          <w:color w:val="auto"/>
          <w:lang w:val="bg-BG" w:eastAsia="bg-BG"/>
        </w:rPr>
      </w:pPr>
      <w:r w:rsidRPr="00152A77">
        <w:rPr>
          <w:rFonts w:ascii="Times New Roman" w:eastAsia="Calibri" w:hAnsi="Times New Roman" w:cs="Times New Roman"/>
          <w:color w:val="auto"/>
          <w:lang w:val="bg-BG" w:eastAsia="bg-BG"/>
        </w:rPr>
        <w:t xml:space="preserve">Общата цел на мярка 4.1. от Стратегията за ВОМР е подпомагане на конкурентоспособността на земеделието на територията на МИГ </w:t>
      </w:r>
      <w:r>
        <w:rPr>
          <w:rFonts w:ascii="Times New Roman" w:eastAsia="Calibri" w:hAnsi="Times New Roman" w:cs="Times New Roman"/>
          <w:color w:val="auto"/>
          <w:lang w:val="bg-BG" w:eastAsia="bg-BG"/>
        </w:rPr>
        <w:t>„</w:t>
      </w:r>
      <w:r w:rsidRPr="00152A77">
        <w:rPr>
          <w:rFonts w:ascii="Times New Roman" w:eastAsia="Calibri" w:hAnsi="Times New Roman" w:cs="Times New Roman"/>
          <w:color w:val="auto"/>
          <w:lang w:val="bg-BG" w:eastAsia="bg-BG"/>
        </w:rPr>
        <w:t>Долни Чифлик и Бяла</w:t>
      </w:r>
      <w:r>
        <w:rPr>
          <w:rFonts w:ascii="Times New Roman" w:eastAsia="Calibri" w:hAnsi="Times New Roman" w:cs="Times New Roman"/>
          <w:color w:val="auto"/>
          <w:lang w:val="bg-BG" w:eastAsia="bg-BG"/>
        </w:rPr>
        <w:t>“</w:t>
      </w:r>
      <w:r w:rsidRPr="00152A77">
        <w:rPr>
          <w:rFonts w:ascii="Times New Roman" w:eastAsia="Calibri" w:hAnsi="Times New Roman" w:cs="Times New Roman"/>
          <w:color w:val="auto"/>
          <w:lang w:val="bg-BG" w:eastAsia="bg-BG"/>
        </w:rPr>
        <w:t xml:space="preserve"> посредством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спазване стандартите на Европейския съюз (ЕС) и подобряване на условията в земеделските стопанства.</w:t>
      </w:r>
    </w:p>
    <w:p w:rsidR="00681C8B" w:rsidRPr="008B657A" w:rsidRDefault="006F51A8" w:rsidP="00681C8B">
      <w:pPr>
        <w:pStyle w:val="Default"/>
        <w:jc w:val="both"/>
        <w:rPr>
          <w:rFonts w:ascii="Times New Roman" w:eastAsia="Calibri" w:hAnsi="Times New Roman" w:cs="Times New Roman"/>
          <w:color w:val="auto"/>
          <w:lang w:val="bg-BG" w:eastAsia="bg-BG"/>
        </w:rPr>
      </w:pPr>
      <w:r w:rsidRPr="006F51A8">
        <w:rPr>
          <w:rFonts w:ascii="Times New Roman" w:eastAsia="Calibri" w:hAnsi="Times New Roman" w:cs="Times New Roman"/>
          <w:color w:val="auto"/>
          <w:lang w:val="bg-BG" w:eastAsia="bg-BG"/>
        </w:rPr>
        <w:t>Проектите по процедурата се изпълняват на територията на общините Долни Чифлик и Бяла</w:t>
      </w:r>
      <w:r>
        <w:rPr>
          <w:rFonts w:ascii="Times New Roman" w:eastAsia="Calibri" w:hAnsi="Times New Roman" w:cs="Times New Roman"/>
          <w:color w:val="auto"/>
          <w:lang w:val="bg-BG" w:eastAsia="bg-BG"/>
        </w:rPr>
        <w:t>.</w:t>
      </w:r>
    </w:p>
    <w:p w:rsidR="00E237A7" w:rsidRPr="008B657A" w:rsidRDefault="000C2DD7" w:rsidP="00FF56A9">
      <w:pPr>
        <w:spacing w:after="0" w:line="240" w:lineRule="auto"/>
        <w:jc w:val="both"/>
        <w:rPr>
          <w:rFonts w:ascii="Times New Roman" w:hAnsi="Times New Roman"/>
          <w:sz w:val="24"/>
          <w:szCs w:val="24"/>
        </w:rPr>
      </w:pPr>
      <w:r w:rsidRPr="008B657A">
        <w:rPr>
          <w:rFonts w:ascii="Times New Roman" w:hAnsi="Times New Roman"/>
          <w:b/>
          <w:sz w:val="24"/>
          <w:szCs w:val="24"/>
        </w:rPr>
        <w:t xml:space="preserve"> </w:t>
      </w:r>
    </w:p>
    <w:p w:rsidR="000C2DD7" w:rsidRPr="008B657A" w:rsidRDefault="000C2DD7" w:rsidP="00FF56A9">
      <w:pPr>
        <w:spacing w:after="0" w:line="240" w:lineRule="auto"/>
        <w:jc w:val="both"/>
        <w:rPr>
          <w:rFonts w:ascii="Times New Roman" w:hAnsi="Times New Roman"/>
          <w:b/>
          <w:sz w:val="24"/>
          <w:szCs w:val="24"/>
        </w:rPr>
      </w:pPr>
      <w:r w:rsidRPr="008B657A">
        <w:rPr>
          <w:rFonts w:ascii="Times New Roman" w:hAnsi="Times New Roman"/>
          <w:sz w:val="24"/>
          <w:szCs w:val="24"/>
        </w:rPr>
        <w:t xml:space="preserve">Процедурата за безвъзмездна финансова помощ </w:t>
      </w:r>
      <w:r w:rsidRPr="008B657A">
        <w:rPr>
          <w:rFonts w:ascii="Times New Roman" w:hAnsi="Times New Roman"/>
          <w:b/>
          <w:sz w:val="24"/>
          <w:szCs w:val="24"/>
        </w:rPr>
        <w:t>се реализира с финансовата подкрепа на Европейския земеделски фонд за развитие на селските райони.</w:t>
      </w:r>
    </w:p>
    <w:p w:rsidR="000C2DD7" w:rsidRPr="008B657A" w:rsidRDefault="000C2DD7" w:rsidP="00FF56A9">
      <w:pPr>
        <w:spacing w:after="0" w:line="240" w:lineRule="auto"/>
        <w:jc w:val="both"/>
        <w:rPr>
          <w:rFonts w:ascii="Times New Roman" w:eastAsia="Times New Roman" w:hAnsi="Times New Roman"/>
          <w:b/>
          <w:sz w:val="24"/>
          <w:szCs w:val="24"/>
          <w:shd w:val="clear" w:color="auto" w:fill="FEFEFE"/>
          <w:lang w:val="en-US"/>
        </w:rPr>
      </w:pPr>
    </w:p>
    <w:p w:rsidR="00B269F5" w:rsidRPr="008B657A" w:rsidRDefault="00B269F5" w:rsidP="008351DA">
      <w:pPr>
        <w:numPr>
          <w:ilvl w:val="0"/>
          <w:numId w:val="6"/>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Наименование на мярката от Стратегията за ВОМР:</w:t>
      </w:r>
    </w:p>
    <w:p w:rsidR="00B269F5" w:rsidRPr="00152A77" w:rsidRDefault="00685DF5"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МИГ „Долни Чифлик и Бяла” </w:t>
      </w:r>
      <w:r w:rsidR="000C2DD7" w:rsidRPr="008B657A">
        <w:rPr>
          <w:rFonts w:ascii="Times New Roman" w:eastAsia="Times New Roman" w:hAnsi="Times New Roman"/>
          <w:noProof/>
          <w:color w:val="000000"/>
          <w:sz w:val="24"/>
          <w:szCs w:val="24"/>
        </w:rPr>
        <w:t xml:space="preserve">- мярка </w:t>
      </w:r>
      <w:r w:rsidR="00152A77">
        <w:rPr>
          <w:rFonts w:ascii="Times New Roman" w:eastAsia="Times New Roman" w:hAnsi="Times New Roman"/>
          <w:noProof/>
          <w:color w:val="000000"/>
          <w:sz w:val="24"/>
          <w:szCs w:val="24"/>
        </w:rPr>
        <w:t>4</w:t>
      </w:r>
      <w:r w:rsidR="00B269F5" w:rsidRPr="008B657A">
        <w:rPr>
          <w:rFonts w:ascii="Times New Roman" w:eastAsia="Times New Roman" w:hAnsi="Times New Roman"/>
          <w:noProof/>
          <w:color w:val="000000"/>
          <w:sz w:val="24"/>
          <w:szCs w:val="24"/>
          <w:lang w:val="fr-BE"/>
        </w:rPr>
        <w:t>.</w:t>
      </w:r>
      <w:r w:rsidR="00152A77">
        <w:rPr>
          <w:rFonts w:ascii="Times New Roman" w:eastAsia="Times New Roman" w:hAnsi="Times New Roman"/>
          <w:noProof/>
          <w:color w:val="000000"/>
          <w:sz w:val="24"/>
          <w:szCs w:val="24"/>
        </w:rPr>
        <w:t>1</w:t>
      </w:r>
      <w:r w:rsidR="00B269F5" w:rsidRPr="008B657A">
        <w:rPr>
          <w:rFonts w:ascii="Times New Roman" w:eastAsia="Times New Roman" w:hAnsi="Times New Roman"/>
          <w:noProof/>
          <w:color w:val="000000"/>
          <w:sz w:val="24"/>
          <w:szCs w:val="24"/>
          <w:lang w:val="fr-BE"/>
        </w:rPr>
        <w:t xml:space="preserve">. </w:t>
      </w:r>
      <w:r w:rsidR="00152A77">
        <w:rPr>
          <w:rFonts w:ascii="Times New Roman" w:eastAsia="Times New Roman" w:hAnsi="Times New Roman"/>
          <w:noProof/>
          <w:color w:val="000000"/>
          <w:sz w:val="24"/>
          <w:szCs w:val="24"/>
        </w:rPr>
        <w:t>Инвестиции в земеделски стопанства</w:t>
      </w:r>
    </w:p>
    <w:p w:rsidR="000D3562" w:rsidRPr="008B657A" w:rsidRDefault="000D3562" w:rsidP="007B2FF1">
      <w:pPr>
        <w:spacing w:after="0" w:line="240" w:lineRule="auto"/>
        <w:jc w:val="both"/>
        <w:rPr>
          <w:rFonts w:ascii="Times New Roman" w:hAnsi="Times New Roman"/>
          <w:color w:val="000000"/>
          <w:sz w:val="24"/>
          <w:szCs w:val="24"/>
          <w:lang w:eastAsia="bg-BG"/>
        </w:rPr>
      </w:pPr>
    </w:p>
    <w:p w:rsidR="000D3562" w:rsidRPr="008B657A" w:rsidRDefault="000D3562" w:rsidP="008351DA">
      <w:pPr>
        <w:numPr>
          <w:ilvl w:val="0"/>
          <w:numId w:val="1"/>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кандидати</w:t>
      </w:r>
      <w:r w:rsidRPr="008B657A">
        <w:rPr>
          <w:rFonts w:ascii="Times New Roman" w:eastAsia="Times New Roman" w:hAnsi="Times New Roman"/>
          <w:b/>
          <w:i/>
          <w:sz w:val="24"/>
          <w:szCs w:val="24"/>
          <w:lang w:val="en-US"/>
        </w:rPr>
        <w:t>:</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За подпомагане по </w:t>
      </w:r>
      <w:proofErr w:type="spellStart"/>
      <w:r w:rsidRPr="00152A77">
        <w:rPr>
          <w:rFonts w:ascii="Times New Roman" w:hAnsi="Times New Roman"/>
          <w:color w:val="000000"/>
          <w:sz w:val="24"/>
          <w:szCs w:val="24"/>
          <w:lang w:eastAsia="bg-BG"/>
        </w:rPr>
        <w:t>подмярка</w:t>
      </w:r>
      <w:proofErr w:type="spellEnd"/>
      <w:r w:rsidRPr="00152A77">
        <w:rPr>
          <w:rFonts w:ascii="Times New Roman" w:hAnsi="Times New Roman"/>
          <w:color w:val="000000"/>
          <w:sz w:val="24"/>
          <w:szCs w:val="24"/>
          <w:lang w:eastAsia="bg-BG"/>
        </w:rPr>
        <w:t xml:space="preserve"> 4.1. могат да кандидатстват лица, които към датата на подаване на заявлението за подпомагане са:</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w:t>
      </w:r>
      <w:r w:rsidR="006F51A8">
        <w:rPr>
          <w:rFonts w:ascii="Times New Roman" w:hAnsi="Times New Roman"/>
          <w:color w:val="000000"/>
          <w:sz w:val="24"/>
          <w:szCs w:val="24"/>
          <w:lang w:eastAsia="bg-BG"/>
        </w:rPr>
        <w:t>З</w:t>
      </w:r>
      <w:r w:rsidRPr="00152A77">
        <w:rPr>
          <w:rFonts w:ascii="Times New Roman" w:hAnsi="Times New Roman"/>
          <w:color w:val="000000"/>
          <w:sz w:val="24"/>
          <w:szCs w:val="24"/>
          <w:lang w:eastAsia="bg-BG"/>
        </w:rPr>
        <w:t>емеделски стопани /физически и юридически лица/, отговарящи на следните условия за допустимост:</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1.1. имат постоянен адрес – за физическите лица, и седалище и адрес на управление – за еднолични търговци и юридическите лица, на територията на действие на МИГ „Долни Чифлик и Бяла“ и осъществяват дейностите по проекта на територията на действие на МИГ;</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1.2. да са регистрирани като земеделски стопани съгласно чл. 7, ал. 1 от Закона за подпомагане на земеделските производители;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1.3. минималният стандартен производствен обем на земеделското им стопанство за текущата стопанска година е не по-малко от левовата равностойност на 8 000 евро;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lastRenderedPageBreak/>
        <w:t>1.4. земеделските стопани-юридически лица трябва да отговарят и на следните условия за допустимост:</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1.4.1.</w:t>
      </w:r>
      <w:r w:rsidRPr="00152A77">
        <w:rPr>
          <w:rFonts w:ascii="Times New Roman" w:hAnsi="Times New Roman"/>
          <w:color w:val="000000"/>
          <w:sz w:val="24"/>
          <w:szCs w:val="24"/>
          <w:lang w:eastAsia="bg-BG"/>
        </w:rPr>
        <w:tab/>
        <w:t>Да са регистрирани по Търговския закон, Закона за кооперациите, Закона за вероизповеданията или създадени по Закона за Селскостопанската академия;</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1.4.2.</w:t>
      </w:r>
      <w:r w:rsidRPr="00152A77">
        <w:rPr>
          <w:rFonts w:ascii="Times New Roman" w:hAnsi="Times New Roman"/>
          <w:color w:val="000000"/>
          <w:sz w:val="24"/>
          <w:szCs w:val="24"/>
          <w:lang w:eastAsia="bg-BG"/>
        </w:rPr>
        <w:tab/>
        <w:t>Да са получили за предходната или текущата 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 или получена публична финансова помощ;</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Критерият за допустимост по т. 1.4.2. не се прилага за кандидати, създадени до 1 година преди кандидатстването за проекти с инвестиции в: сектор „животновъдство”, сектор „плодове и зеленчуци” и производство на „етерично – маслени и медицински култури”, включително с инвестиции, в обхвата на два или повече от тези сектори.</w:t>
      </w:r>
    </w:p>
    <w:p w:rsidR="00152A77" w:rsidRPr="00152A77" w:rsidRDefault="00152A77" w:rsidP="00152A77">
      <w:pPr>
        <w:spacing w:after="0" w:line="240" w:lineRule="auto"/>
        <w:jc w:val="both"/>
        <w:rPr>
          <w:rFonts w:ascii="Times New Roman" w:hAnsi="Times New Roman"/>
          <w:color w:val="000000"/>
          <w:sz w:val="24"/>
          <w:szCs w:val="24"/>
          <w:lang w:eastAsia="bg-BG"/>
        </w:rPr>
      </w:pPr>
    </w:p>
    <w:p w:rsidR="00152A77" w:rsidRPr="00152A77" w:rsidRDefault="00152A77" w:rsidP="00152A77">
      <w:pPr>
        <w:spacing w:after="0" w:line="240" w:lineRule="auto"/>
        <w:jc w:val="both"/>
        <w:rPr>
          <w:rFonts w:ascii="Times New Roman" w:hAnsi="Times New Roman"/>
          <w:b/>
          <w:color w:val="000000"/>
          <w:sz w:val="24"/>
          <w:szCs w:val="24"/>
          <w:lang w:eastAsia="bg-BG"/>
        </w:rPr>
      </w:pPr>
      <w:r w:rsidRPr="00152A77">
        <w:rPr>
          <w:rFonts w:ascii="Times New Roman" w:hAnsi="Times New Roman"/>
          <w:b/>
          <w:color w:val="000000"/>
          <w:sz w:val="24"/>
          <w:szCs w:val="24"/>
          <w:lang w:eastAsia="bg-BG"/>
        </w:rPr>
        <w:t>ВАЖНО!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Минималният стандартен производствен обем на земеделското стопанство по т. 1.3 се доказва със:</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     1. регистрация на обработваната от кандидата земя и отглежданите животни в Интегрираната система за администриране и контрол и декларация (по образец) за изчисление на минималния стандартен производствен обем на стопанството през текущата стопанска година към момента на кандидатстване; или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     2.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 декларация по образец към Условия за кандидатстване - за изчисление на минималния стандартен производствен обем на стопанството през текущата стопанска година към момента на кандидатстване; или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    3. анкетните формуляри от анкетна карта/анкетни карти на земеделския стопанин, издадени по реда на 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 и декларация по образец за изчисление на минималния стандартен производствен обем на стопанството през текущата стопанска година към момента на кандидатстване.</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Когато минималният стандартен производствен обем се доказва с намерения за засаждане/засяване през текущата стопанска година, в декларацията за видовете култури задължително се посочва конкретен период, в рамките на който ще се извърши засаждането/засяването на културите. В този случай минималният стандартен производствен обем трябва да е достигнат и за предходната стопанска година и се доказва с документите по т. 1-3 за предходната стопанска година.</w:t>
      </w:r>
    </w:p>
    <w:p w:rsidR="00152A77" w:rsidRPr="00152A77" w:rsidRDefault="00152A77" w:rsidP="00152A77">
      <w:pPr>
        <w:spacing w:after="0" w:line="240" w:lineRule="auto"/>
        <w:jc w:val="both"/>
        <w:rPr>
          <w:rFonts w:ascii="Times New Roman" w:hAnsi="Times New Roman"/>
          <w:color w:val="000000"/>
          <w:sz w:val="24"/>
          <w:szCs w:val="24"/>
          <w:lang w:eastAsia="bg-BG"/>
        </w:rPr>
      </w:pPr>
    </w:p>
    <w:p w:rsidR="00152A77" w:rsidRPr="00152A77" w:rsidRDefault="00152A77" w:rsidP="00152A77">
      <w:pPr>
        <w:spacing w:after="0" w:line="240" w:lineRule="auto"/>
        <w:jc w:val="both"/>
        <w:rPr>
          <w:rFonts w:ascii="Times New Roman" w:hAnsi="Times New Roman"/>
          <w:b/>
          <w:color w:val="000000"/>
          <w:sz w:val="24"/>
          <w:szCs w:val="24"/>
          <w:lang w:eastAsia="bg-BG"/>
        </w:rPr>
      </w:pPr>
      <w:r w:rsidRPr="00152A77">
        <w:rPr>
          <w:rFonts w:ascii="Times New Roman" w:hAnsi="Times New Roman"/>
          <w:b/>
          <w:color w:val="000000"/>
          <w:sz w:val="24"/>
          <w:szCs w:val="24"/>
          <w:lang w:eastAsia="bg-BG"/>
        </w:rPr>
        <w:t>Важно!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 xml:space="preserve">Не са допустими за подпомагане юридически лица или еднолични търговци, имащи  клон на територията на МИГ, ако юридическите лица или едноличните търговци, открили клона, нямат </w:t>
      </w:r>
      <w:r w:rsidRPr="00152A77">
        <w:rPr>
          <w:rFonts w:ascii="Times New Roman" w:hAnsi="Times New Roman"/>
          <w:color w:val="000000"/>
          <w:sz w:val="24"/>
          <w:szCs w:val="24"/>
          <w:lang w:eastAsia="bg-BG"/>
        </w:rPr>
        <w:lastRenderedPageBreak/>
        <w:t>постоянен адрес или седалище на територията на МИГ и/ или дейностите по проекта не се изпълняват на територията на МИГ „Долни Чифлик и Бяла“.</w:t>
      </w:r>
    </w:p>
    <w:p w:rsidR="00152A77" w:rsidRPr="00152A77" w:rsidRDefault="00152A77" w:rsidP="00152A77">
      <w:pPr>
        <w:spacing w:after="0" w:line="240" w:lineRule="auto"/>
        <w:jc w:val="both"/>
        <w:rPr>
          <w:rFonts w:ascii="Times New Roman" w:hAnsi="Times New Roman"/>
          <w:color w:val="000000"/>
          <w:sz w:val="24"/>
          <w:szCs w:val="24"/>
          <w:lang w:eastAsia="bg-BG"/>
        </w:rPr>
      </w:pPr>
    </w:p>
    <w:p w:rsidR="00152A77" w:rsidRPr="00152A77" w:rsidRDefault="00152A77" w:rsidP="00152A77">
      <w:pPr>
        <w:spacing w:after="0" w:line="240" w:lineRule="auto"/>
        <w:jc w:val="both"/>
        <w:rPr>
          <w:rFonts w:ascii="Times New Roman" w:hAnsi="Times New Roman"/>
          <w:b/>
          <w:color w:val="000000"/>
          <w:sz w:val="24"/>
          <w:szCs w:val="24"/>
          <w:lang w:eastAsia="bg-BG"/>
        </w:rPr>
      </w:pPr>
      <w:r w:rsidRPr="00152A77">
        <w:rPr>
          <w:rFonts w:ascii="Times New Roman" w:hAnsi="Times New Roman"/>
          <w:b/>
          <w:color w:val="000000"/>
          <w:sz w:val="24"/>
          <w:szCs w:val="24"/>
          <w:lang w:eastAsia="bg-BG"/>
        </w:rPr>
        <w:t>Важно!</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color w:val="000000"/>
          <w:sz w:val="24"/>
          <w:szCs w:val="24"/>
          <w:lang w:eastAsia="bg-BG"/>
        </w:rPr>
        <w:t>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p w:rsidR="00B269F5" w:rsidRPr="008B657A" w:rsidRDefault="00681C8B" w:rsidP="00681C8B">
      <w:pPr>
        <w:spacing w:after="0" w:line="240" w:lineRule="auto"/>
        <w:ind w:firstLine="720"/>
        <w:jc w:val="both"/>
        <w:rPr>
          <w:rFonts w:ascii="Times New Roman" w:hAnsi="Times New Roman"/>
          <w:sz w:val="24"/>
          <w:szCs w:val="24"/>
          <w:lang w:eastAsia="bg-BG"/>
        </w:rPr>
      </w:pPr>
      <w:r w:rsidRPr="00681C8B">
        <w:rPr>
          <w:rFonts w:ascii="Times New Roman" w:hAnsi="Times New Roman"/>
          <w:color w:val="000000"/>
          <w:sz w:val="24"/>
          <w:szCs w:val="24"/>
          <w:lang w:eastAsia="bg-BG"/>
        </w:rPr>
        <w:t xml:space="preserve"> </w:t>
      </w:r>
    </w:p>
    <w:p w:rsidR="00B269F5" w:rsidRPr="008B657A" w:rsidRDefault="00B269F5" w:rsidP="008351DA">
      <w:pPr>
        <w:numPr>
          <w:ilvl w:val="0"/>
          <w:numId w:val="2"/>
        </w:numPr>
        <w:spacing w:after="0" w:line="240" w:lineRule="auto"/>
        <w:ind w:left="0" w:firstLine="0"/>
        <w:jc w:val="both"/>
        <w:rPr>
          <w:rFonts w:ascii="Times New Roman" w:hAnsi="Times New Roman"/>
          <w:b/>
          <w:i/>
          <w:sz w:val="24"/>
          <w:szCs w:val="24"/>
          <w:lang w:eastAsia="bg-BG"/>
        </w:rPr>
      </w:pPr>
      <w:r w:rsidRPr="008B657A">
        <w:rPr>
          <w:rFonts w:ascii="Times New Roman" w:hAnsi="Times New Roman"/>
          <w:b/>
          <w:i/>
          <w:sz w:val="24"/>
          <w:szCs w:val="24"/>
          <w:lang w:eastAsia="bg-BG"/>
        </w:rPr>
        <w:t>Дейности, допустими за финансиране:</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По мярка 4.1. „Инвестиции в земеделските стопанства“ от Стратегията за ВОМР се подпомагат проекти, изпълнявани на територията на МИГ, които водят до подобряване на цялостната дейност на земеделското стопанство чрез:</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внедряване на нови продукти, процеси и технологии и обновяване на наличните производствени материални и/или нематериални активи;</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опазване на компонентите на околната среда, включително с намаляване на вредните емисии и отпадъци и прилагане на устойчиви земеделски практики;</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повишаване на енергийната ефективност в земеделските стопанства;</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 xml:space="preserve">и/или подобряване условията на труд, подобряване на хигиенните, ветеринарните, </w:t>
      </w:r>
      <w:proofErr w:type="spellStart"/>
      <w:r w:rsidRPr="00152A77">
        <w:rPr>
          <w:rFonts w:ascii="Times New Roman" w:eastAsia="Calibri" w:hAnsi="Times New Roman" w:cs="Times New Roman"/>
          <w:lang w:val="bg-BG" w:eastAsia="bg-BG"/>
        </w:rPr>
        <w:t>фитосанитарните</w:t>
      </w:r>
      <w:proofErr w:type="spellEnd"/>
      <w:r w:rsidRPr="00152A77">
        <w:rPr>
          <w:rFonts w:ascii="Times New Roman" w:eastAsia="Calibri" w:hAnsi="Times New Roman" w:cs="Times New Roman"/>
          <w:lang w:val="bg-BG" w:eastAsia="bg-BG"/>
        </w:rPr>
        <w:t>, екологичните и други условия на производство;</w:t>
      </w:r>
    </w:p>
    <w:p w:rsidR="00152A77" w:rsidRPr="00152A77" w:rsidRDefault="00152A77" w:rsidP="00152A77">
      <w:pPr>
        <w:pStyle w:val="Default"/>
        <w:jc w:val="both"/>
        <w:rPr>
          <w:rFonts w:ascii="Times New Roman" w:eastAsia="Calibri" w:hAnsi="Times New Roman" w:cs="Times New Roman"/>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подобряване качеството на произвежданите земеделски продукти;</w:t>
      </w:r>
    </w:p>
    <w:p w:rsidR="005E6770" w:rsidRPr="005E6770" w:rsidRDefault="00152A77" w:rsidP="00152A77">
      <w:pPr>
        <w:pStyle w:val="Default"/>
        <w:jc w:val="both"/>
        <w:rPr>
          <w:rFonts w:ascii="Times New Roman" w:eastAsia="Calibri" w:hAnsi="Times New Roman" w:cs="Times New Roman"/>
          <w:color w:val="auto"/>
          <w:lang w:val="bg-BG" w:eastAsia="bg-BG"/>
        </w:rPr>
      </w:pPr>
      <w:r w:rsidRPr="00152A77">
        <w:rPr>
          <w:rFonts w:ascii="Times New Roman" w:eastAsia="Calibri" w:hAnsi="Times New Roman" w:cs="Times New Roman"/>
          <w:lang w:val="bg-BG" w:eastAsia="bg-BG"/>
        </w:rPr>
        <w:t>•</w:t>
      </w:r>
      <w:r w:rsidRPr="00152A77">
        <w:rPr>
          <w:rFonts w:ascii="Times New Roman" w:eastAsia="Calibri" w:hAnsi="Times New Roman" w:cs="Times New Roman"/>
          <w:lang w:val="bg-BG" w:eastAsia="bg-BG"/>
        </w:rPr>
        <w:tab/>
        <w:t>и/или осигуряване на възможностите за производство на биологични земеделски продукти.</w:t>
      </w:r>
      <w:r w:rsidR="005E6770" w:rsidRPr="005E6770">
        <w:rPr>
          <w:rFonts w:ascii="Times New Roman" w:hAnsi="Times New Roman"/>
          <w:lang w:eastAsia="bg-BG"/>
        </w:rPr>
        <w:t xml:space="preserve"> </w:t>
      </w:r>
    </w:p>
    <w:p w:rsidR="005E6770" w:rsidRPr="005E6770" w:rsidRDefault="005E6770" w:rsidP="005E6770">
      <w:pPr>
        <w:autoSpaceDE w:val="0"/>
        <w:autoSpaceDN w:val="0"/>
        <w:adjustRightInd w:val="0"/>
        <w:spacing w:after="0" w:line="240" w:lineRule="auto"/>
        <w:jc w:val="both"/>
        <w:rPr>
          <w:rFonts w:ascii="Times New Roman" w:hAnsi="Times New Roman"/>
          <w:color w:val="000000"/>
          <w:sz w:val="24"/>
          <w:szCs w:val="24"/>
          <w:lang w:eastAsia="bg-BG"/>
        </w:rPr>
      </w:pPr>
    </w:p>
    <w:p w:rsidR="00B269F5" w:rsidRPr="008B657A" w:rsidRDefault="00B269F5" w:rsidP="008351DA">
      <w:pPr>
        <w:numPr>
          <w:ilvl w:val="0"/>
          <w:numId w:val="8"/>
        </w:numPr>
        <w:spacing w:after="0" w:line="240" w:lineRule="auto"/>
        <w:ind w:left="0" w:firstLine="0"/>
        <w:jc w:val="both"/>
        <w:rPr>
          <w:rFonts w:ascii="Times New Roman" w:eastAsia="Times New Roman" w:hAnsi="Times New Roman"/>
          <w:b/>
          <w:i/>
          <w:sz w:val="24"/>
          <w:szCs w:val="24"/>
        </w:rPr>
      </w:pPr>
      <w:r w:rsidRPr="008B657A">
        <w:rPr>
          <w:rFonts w:ascii="Times New Roman" w:eastAsia="Times New Roman" w:hAnsi="Times New Roman"/>
          <w:b/>
          <w:i/>
          <w:sz w:val="24"/>
          <w:szCs w:val="24"/>
        </w:rPr>
        <w:t>Допустими разходи:</w:t>
      </w:r>
    </w:p>
    <w:p w:rsidR="00152A77" w:rsidRPr="00152A77" w:rsidRDefault="00152A77" w:rsidP="00152A77">
      <w:pPr>
        <w:spacing w:after="0" w:line="240" w:lineRule="auto"/>
        <w:jc w:val="both"/>
        <w:rPr>
          <w:rFonts w:ascii="Times New Roman" w:hAnsi="Times New Roman"/>
          <w:color w:val="000000"/>
          <w:sz w:val="24"/>
          <w:szCs w:val="24"/>
          <w:lang w:eastAsia="bg-BG"/>
        </w:rPr>
      </w:pPr>
      <w:bookmarkStart w:id="0" w:name="_Hlk512322837"/>
      <w:r w:rsidRPr="00152A77">
        <w:rPr>
          <w:rFonts w:ascii="Times New Roman" w:hAnsi="Times New Roman"/>
          <w:color w:val="000000"/>
          <w:sz w:val="24"/>
          <w:szCs w:val="24"/>
          <w:lang w:eastAsia="bg-BG"/>
        </w:rPr>
        <w:t>В съответствие с чл.</w:t>
      </w:r>
      <w:r w:rsidRPr="00152A77">
        <w:rPr>
          <w:rFonts w:ascii="Times New Roman" w:hAnsi="Times New Roman"/>
          <w:color w:val="000000"/>
          <w:sz w:val="24"/>
          <w:szCs w:val="24"/>
          <w:lang w:val="ru-RU" w:eastAsia="bg-BG"/>
        </w:rPr>
        <w:t xml:space="preserve"> </w:t>
      </w:r>
      <w:r w:rsidRPr="00152A77">
        <w:rPr>
          <w:rFonts w:ascii="Times New Roman" w:hAnsi="Times New Roman"/>
          <w:color w:val="000000"/>
          <w:sz w:val="24"/>
          <w:szCs w:val="24"/>
          <w:lang w:eastAsia="bg-BG"/>
        </w:rPr>
        <w:t xml:space="preserve">67 от Регламент (ЕС) № 1303/2013 на Европейския парламент и на Съвета от 17 декември 2013 година  за определяне на </w:t>
      </w:r>
      <w:proofErr w:type="spellStart"/>
      <w:r w:rsidRPr="00152A77">
        <w:rPr>
          <w:rFonts w:ascii="Times New Roman" w:hAnsi="Times New Roman"/>
          <w:color w:val="000000"/>
          <w:sz w:val="24"/>
          <w:szCs w:val="24"/>
          <w:lang w:eastAsia="bg-BG"/>
        </w:rPr>
        <w:t>общоприложими</w:t>
      </w:r>
      <w:proofErr w:type="spellEnd"/>
      <w:r w:rsidRPr="00152A77">
        <w:rPr>
          <w:rFonts w:ascii="Times New Roman" w:hAnsi="Times New Roman"/>
          <w:color w:val="000000"/>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финансовата помощ по мярката се предоставя под формата на  възстановяване на действително направени и платени допустими разходи.</w:t>
      </w:r>
    </w:p>
    <w:p w:rsidR="00152A77" w:rsidRPr="00152A77" w:rsidRDefault="00152A77" w:rsidP="00152A77">
      <w:pPr>
        <w:spacing w:after="0" w:line="240" w:lineRule="auto"/>
        <w:jc w:val="both"/>
        <w:rPr>
          <w:rFonts w:ascii="Times New Roman" w:hAnsi="Times New Roman"/>
          <w:color w:val="000000"/>
          <w:sz w:val="24"/>
          <w:szCs w:val="24"/>
          <w:lang w:eastAsia="bg-BG"/>
        </w:rPr>
      </w:pPr>
      <w:r w:rsidRPr="00152A77">
        <w:rPr>
          <w:rFonts w:ascii="Times New Roman" w:hAnsi="Times New Roman"/>
          <w:b/>
          <w:bCs/>
          <w:color w:val="000000"/>
          <w:sz w:val="24"/>
          <w:szCs w:val="24"/>
          <w:lang w:eastAsia="bg-BG"/>
        </w:rPr>
        <w:t>Допустимите разходи, включват разходи, които са необходими за осъществяване на проекта и са съобразени с принципите на разумно финансово управление, действително извършени и платени в периода на изпълнение на проекта</w:t>
      </w:r>
      <w:r w:rsidRPr="00152A77">
        <w:rPr>
          <w:rFonts w:ascii="Times New Roman" w:hAnsi="Times New Roman"/>
          <w:color w:val="000000"/>
          <w:sz w:val="24"/>
          <w:szCs w:val="24"/>
          <w:lang w:eastAsia="bg-BG"/>
        </w:rPr>
        <w:t xml:space="preserve">: </w:t>
      </w:r>
    </w:p>
    <w:bookmarkEnd w:id="0"/>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2. закупуване,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включително свързани с опазване на околната среда, съхранение и подготовка за продажба на </w:t>
      </w:r>
      <w:r w:rsidRPr="007B2FF1">
        <w:rPr>
          <w:rFonts w:ascii="Times New Roman" w:hAnsi="Times New Roman"/>
          <w:color w:val="000000"/>
          <w:sz w:val="24"/>
          <w:szCs w:val="24"/>
          <w:lang w:eastAsia="bg-BG"/>
        </w:rPr>
        <w:lastRenderedPageBreak/>
        <w:t xml:space="preserve">земеделска продукция от стопанството, получаване на топлинна и/или електроенергия, необходими за земеделските дейности в стопанството, подобряване на енергийната ефективност;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3. създаване и/или </w:t>
      </w:r>
      <w:proofErr w:type="spellStart"/>
      <w:r w:rsidRPr="007B2FF1">
        <w:rPr>
          <w:rFonts w:ascii="Times New Roman" w:hAnsi="Times New Roman"/>
          <w:color w:val="000000"/>
          <w:sz w:val="24"/>
          <w:szCs w:val="24"/>
          <w:lang w:eastAsia="bg-BG"/>
        </w:rPr>
        <w:t>презасаждане</w:t>
      </w:r>
      <w:proofErr w:type="spellEnd"/>
      <w:r w:rsidRPr="007B2FF1">
        <w:rPr>
          <w:rFonts w:ascii="Times New Roman" w:hAnsi="Times New Roman"/>
          <w:color w:val="000000"/>
          <w:sz w:val="24"/>
          <w:szCs w:val="24"/>
          <w:lang w:eastAsia="bg-BG"/>
        </w:rPr>
        <w:t xml:space="preserve"> на трайни насаждения, включително трайни насаждения от десертни лозя, медоносни дървесни видове /за производство на мед/ и други бързо растящи храсти и дървесни видове, използвани за производство на био-енергия;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4. разходи за достигане съответствие с </w:t>
      </w:r>
      <w:proofErr w:type="spellStart"/>
      <w:r w:rsidRPr="007B2FF1">
        <w:rPr>
          <w:rFonts w:ascii="Times New Roman" w:hAnsi="Times New Roman"/>
          <w:color w:val="000000"/>
          <w:sz w:val="24"/>
          <w:szCs w:val="24"/>
          <w:lang w:eastAsia="bg-BG"/>
        </w:rPr>
        <w:t>нововъведените</w:t>
      </w:r>
      <w:proofErr w:type="spellEnd"/>
      <w:r w:rsidRPr="007B2FF1">
        <w:rPr>
          <w:rFonts w:ascii="Times New Roman" w:hAnsi="Times New Roman"/>
          <w:color w:val="000000"/>
          <w:sz w:val="24"/>
          <w:szCs w:val="24"/>
          <w:lang w:eastAsia="bg-BG"/>
        </w:rPr>
        <w:t xml:space="preserve"> стандарти на ЕС, включително чрез финансов лизинг;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5. закупуване на: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включително чрез финансов лизинг;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6. разходи за достигане на съответствие със съществуващи стандарти на ЕС –за млади земеделски производители от 18 до 40 години включително;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7. закупуване на земя, необходима за изграждане/модернизиране на сгради, помещения и други недвижими активи предназначени за земеделските производствени дейности и/или за създаване/</w:t>
      </w:r>
      <w:proofErr w:type="spellStart"/>
      <w:r w:rsidRPr="007B2FF1">
        <w:rPr>
          <w:rFonts w:ascii="Times New Roman" w:hAnsi="Times New Roman"/>
          <w:color w:val="000000"/>
          <w:sz w:val="24"/>
          <w:szCs w:val="24"/>
          <w:lang w:eastAsia="bg-BG"/>
        </w:rPr>
        <w:t>презасаждане</w:t>
      </w:r>
      <w:proofErr w:type="spellEnd"/>
      <w:r w:rsidRPr="007B2FF1">
        <w:rPr>
          <w:rFonts w:ascii="Times New Roman" w:hAnsi="Times New Roman"/>
          <w:color w:val="000000"/>
          <w:sz w:val="24"/>
          <w:szCs w:val="24"/>
          <w:lang w:eastAsia="bg-BG"/>
        </w:rPr>
        <w:t xml:space="preserve"> на трайни насаждения /до 10 % от общия размер на допустимите инвестиционни разходи/;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8. закупуване, включително чрез финансов лизинг, на специализирани земеделски транспортни средства, като например: камиони, цистерни за събиране на мляко, хладилни превозни средства за транспортиране на продукция, превозни средства за транспортиране на живи животни и птици, и др.;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9. разходи за достигане на съответствие с международно признати стандарти, свързани с въвеждане на системи за управление на качеството в земеделските стопанства, въвеждане на добри производствени практики, подготовка за сертификация;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10. закупуване на софтуер, включително чрез финансов лизинг;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11. за ноу-хау, придобиване на патенти права и лицензи, за регистрация на търговски марки и процеси, необходими за изготвяне и изпълнение на проекта; </w:t>
      </w:r>
    </w:p>
    <w:p w:rsidR="007B2FF1" w:rsidRPr="007B2FF1"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 xml:space="preserve">12. разходи, свързани с проекта, в т.ч. разходи за </w:t>
      </w:r>
      <w:proofErr w:type="spellStart"/>
      <w:r w:rsidRPr="007B2FF1">
        <w:rPr>
          <w:rFonts w:ascii="Times New Roman" w:hAnsi="Times New Roman"/>
          <w:color w:val="000000"/>
          <w:sz w:val="24"/>
          <w:szCs w:val="24"/>
          <w:lang w:eastAsia="bg-BG"/>
        </w:rPr>
        <w:t>предпроектни</w:t>
      </w:r>
      <w:proofErr w:type="spellEnd"/>
      <w:r w:rsidRPr="007B2FF1">
        <w:rPr>
          <w:rFonts w:ascii="Times New Roman" w:hAnsi="Times New Roman"/>
          <w:color w:val="000000"/>
          <w:sz w:val="24"/>
          <w:szCs w:val="24"/>
          <w:lang w:eastAsia="bg-BG"/>
        </w:rPr>
        <w:t xml:space="preserve">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11.</w:t>
      </w:r>
    </w:p>
    <w:p w:rsidR="005E6770" w:rsidRDefault="007B2FF1" w:rsidP="007B2FF1">
      <w:p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13. Разходи за консултантски услуги, свързани с подготовката и управлението на проекта, не следва да надхвърлят 5 на сто от общия размер на допустимите разходи по проект, включени в т. 1 – 11.</w:t>
      </w:r>
    </w:p>
    <w:p w:rsidR="007B2FF1" w:rsidRDefault="007B2FF1" w:rsidP="007B2FF1">
      <w:pPr>
        <w:spacing w:after="0" w:line="240" w:lineRule="auto"/>
        <w:jc w:val="both"/>
        <w:rPr>
          <w:rFonts w:ascii="Times New Roman" w:hAnsi="Times New Roman"/>
          <w:color w:val="000000"/>
          <w:sz w:val="24"/>
          <w:szCs w:val="24"/>
          <w:lang w:eastAsia="bg-BG"/>
        </w:rPr>
      </w:pPr>
    </w:p>
    <w:p w:rsidR="00B269F5" w:rsidRPr="008B657A" w:rsidRDefault="00B269F5" w:rsidP="00BF580C">
      <w:pPr>
        <w:numPr>
          <w:ilvl w:val="0"/>
          <w:numId w:val="8"/>
        </w:numPr>
        <w:spacing w:after="0" w:line="240" w:lineRule="auto"/>
        <w:jc w:val="both"/>
        <w:rPr>
          <w:rFonts w:ascii="Times New Roman" w:hAnsi="Times New Roman"/>
          <w:b/>
          <w:i/>
          <w:sz w:val="24"/>
          <w:szCs w:val="24"/>
          <w:lang w:eastAsia="bg-BG"/>
        </w:rPr>
      </w:pPr>
      <w:r w:rsidRPr="008B657A">
        <w:rPr>
          <w:rFonts w:ascii="Times New Roman" w:hAnsi="Times New Roman"/>
          <w:b/>
          <w:i/>
          <w:sz w:val="24"/>
          <w:szCs w:val="24"/>
          <w:lang w:eastAsia="bg-BG"/>
        </w:rPr>
        <w:t>Период на прием и  място  за подаване на проектни предложения:</w:t>
      </w:r>
    </w:p>
    <w:p w:rsidR="007B2FF1" w:rsidRDefault="007B2FF1" w:rsidP="00840D8E">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
          <w:bCs/>
          <w:i/>
          <w:sz w:val="24"/>
          <w:szCs w:val="24"/>
          <w:u w:val="single"/>
          <w:lang w:eastAsia="bg-BG"/>
        </w:rPr>
      </w:pPr>
    </w:p>
    <w:p w:rsidR="00781537" w:rsidRPr="00C82006" w:rsidRDefault="00D611F7" w:rsidP="00840D8E">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jc w:val="both"/>
        <w:outlineLvl w:val="0"/>
        <w:rPr>
          <w:rFonts w:ascii="Times New Roman" w:eastAsia="Times New Roman" w:hAnsi="Times New Roman"/>
          <w:b/>
          <w:bCs/>
          <w:i/>
          <w:sz w:val="24"/>
          <w:szCs w:val="24"/>
          <w:u w:val="single"/>
          <w:lang w:eastAsia="bg-BG"/>
        </w:rPr>
      </w:pPr>
      <w:r>
        <w:rPr>
          <w:rFonts w:ascii="Times New Roman" w:eastAsia="Times New Roman" w:hAnsi="Times New Roman"/>
          <w:b/>
          <w:bCs/>
          <w:i/>
          <w:sz w:val="24"/>
          <w:szCs w:val="24"/>
          <w:u w:val="single"/>
          <w:lang w:eastAsia="bg-BG"/>
        </w:rPr>
        <w:t>Втори</w:t>
      </w:r>
      <w:r w:rsidR="00C82006">
        <w:rPr>
          <w:rFonts w:ascii="Times New Roman" w:eastAsia="Times New Roman" w:hAnsi="Times New Roman"/>
          <w:b/>
          <w:bCs/>
          <w:i/>
          <w:sz w:val="24"/>
          <w:szCs w:val="24"/>
          <w:u w:val="single"/>
          <w:lang w:eastAsia="bg-BG"/>
        </w:rPr>
        <w:t xml:space="preserve"> прием:</w:t>
      </w:r>
    </w:p>
    <w:p w:rsidR="00781537" w:rsidRPr="008B657A" w:rsidRDefault="00840D8E"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 xml:space="preserve">Начална дата за </w:t>
      </w:r>
      <w:r w:rsidR="00403C42">
        <w:rPr>
          <w:rFonts w:ascii="Times New Roman" w:eastAsia="Times New Roman" w:hAnsi="Times New Roman"/>
          <w:b/>
          <w:bCs/>
          <w:sz w:val="24"/>
          <w:szCs w:val="24"/>
          <w:lang w:eastAsia="bg-BG"/>
        </w:rPr>
        <w:t xml:space="preserve">втория </w:t>
      </w:r>
      <w:bookmarkStart w:id="1" w:name="_GoBack"/>
      <w:bookmarkEnd w:id="1"/>
      <w:r w:rsidRPr="00BF580C">
        <w:rPr>
          <w:rFonts w:ascii="Times New Roman" w:eastAsia="Times New Roman" w:hAnsi="Times New Roman"/>
          <w:b/>
          <w:bCs/>
          <w:sz w:val="24"/>
          <w:szCs w:val="24"/>
          <w:lang w:eastAsia="bg-BG"/>
        </w:rPr>
        <w:t xml:space="preserve">прием на проектни предложения </w:t>
      </w:r>
      <w:r w:rsidR="00781537" w:rsidRPr="00BF580C">
        <w:rPr>
          <w:rFonts w:ascii="Times New Roman" w:eastAsia="Times New Roman" w:hAnsi="Times New Roman"/>
          <w:b/>
          <w:bCs/>
          <w:sz w:val="24"/>
          <w:szCs w:val="24"/>
          <w:lang w:eastAsia="bg-BG"/>
        </w:rPr>
        <w:t xml:space="preserve">от </w:t>
      </w:r>
      <w:r w:rsidR="00D611F7">
        <w:rPr>
          <w:rFonts w:ascii="Times New Roman" w:eastAsia="Times New Roman" w:hAnsi="Times New Roman"/>
          <w:bCs/>
          <w:sz w:val="24"/>
          <w:szCs w:val="24"/>
          <w:lang w:eastAsia="bg-BG"/>
        </w:rPr>
        <w:t>30</w:t>
      </w:r>
      <w:r w:rsidR="005A395B">
        <w:rPr>
          <w:rFonts w:ascii="Times New Roman" w:eastAsia="Times New Roman" w:hAnsi="Times New Roman"/>
          <w:bCs/>
          <w:sz w:val="24"/>
          <w:szCs w:val="24"/>
          <w:lang w:eastAsia="bg-BG"/>
        </w:rPr>
        <w:t>.</w:t>
      </w:r>
      <w:r w:rsidR="00D611F7">
        <w:rPr>
          <w:rFonts w:ascii="Times New Roman" w:eastAsia="Times New Roman" w:hAnsi="Times New Roman"/>
          <w:bCs/>
          <w:sz w:val="24"/>
          <w:szCs w:val="24"/>
          <w:lang w:eastAsia="bg-BG"/>
        </w:rPr>
        <w:t>10</w:t>
      </w:r>
      <w:r w:rsidRPr="008B657A">
        <w:rPr>
          <w:rFonts w:ascii="Times New Roman" w:eastAsia="Times New Roman" w:hAnsi="Times New Roman"/>
          <w:bCs/>
          <w:sz w:val="24"/>
          <w:szCs w:val="24"/>
          <w:lang w:eastAsia="bg-BG"/>
        </w:rPr>
        <w:t>.20</w:t>
      </w:r>
      <w:r w:rsidR="00152A77">
        <w:rPr>
          <w:rFonts w:ascii="Times New Roman" w:eastAsia="Times New Roman" w:hAnsi="Times New Roman"/>
          <w:bCs/>
          <w:sz w:val="24"/>
          <w:szCs w:val="24"/>
          <w:lang w:eastAsia="bg-BG"/>
        </w:rPr>
        <w:t>20</w:t>
      </w:r>
      <w:r w:rsidR="00781537" w:rsidRPr="008B657A">
        <w:rPr>
          <w:rFonts w:ascii="Times New Roman" w:eastAsia="Times New Roman" w:hAnsi="Times New Roman"/>
          <w:bCs/>
          <w:sz w:val="24"/>
          <w:szCs w:val="24"/>
          <w:lang w:val="en-US" w:eastAsia="bg-BG"/>
        </w:rPr>
        <w:t xml:space="preserve"> </w:t>
      </w:r>
      <w:r w:rsidR="00781537" w:rsidRPr="008B657A">
        <w:rPr>
          <w:rFonts w:ascii="Times New Roman" w:eastAsia="Times New Roman" w:hAnsi="Times New Roman"/>
          <w:bCs/>
          <w:sz w:val="24"/>
          <w:szCs w:val="24"/>
          <w:lang w:eastAsia="bg-BG"/>
        </w:rPr>
        <w:t xml:space="preserve">г. </w:t>
      </w:r>
    </w:p>
    <w:p w:rsidR="00BF580C" w:rsidRDefault="00BF580C" w:rsidP="0078153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val="en-US" w:eastAsia="bg-BG"/>
        </w:rPr>
      </w:pPr>
    </w:p>
    <w:p w:rsidR="00522CC9" w:rsidRPr="00522CC9" w:rsidRDefault="00840D8E" w:rsidP="00D611F7">
      <w:pPr>
        <w:tabs>
          <w:tab w:val="left" w:pos="14471"/>
          <w:tab w:val="left" w:pos="14631"/>
          <w:tab w:val="left" w:pos="14791"/>
          <w:tab w:val="left" w:pos="14981"/>
          <w:tab w:val="left" w:pos="15141"/>
          <w:tab w:val="left" w:pos="15301"/>
          <w:tab w:val="left" w:pos="15461"/>
          <w:tab w:val="left" w:pos="15621"/>
          <w:tab w:val="left" w:pos="15781"/>
          <w:tab w:val="left" w:pos="15941"/>
          <w:tab w:val="left" w:pos="16101"/>
          <w:tab w:val="left" w:pos="16261"/>
          <w:tab w:val="left" w:pos="16421"/>
          <w:tab w:val="left" w:pos="16581"/>
          <w:tab w:val="left" w:pos="16741"/>
          <w:tab w:val="left" w:pos="16901"/>
          <w:tab w:val="left" w:pos="17061"/>
          <w:tab w:val="left" w:pos="17221"/>
          <w:tab w:val="left" w:pos="17381"/>
          <w:tab w:val="left" w:pos="17541"/>
          <w:tab w:val="left" w:pos="17701"/>
          <w:tab w:val="left" w:pos="17861"/>
          <w:tab w:val="left" w:pos="18021"/>
          <w:tab w:val="left" w:pos="18181"/>
          <w:tab w:val="left" w:pos="18341"/>
          <w:tab w:val="left" w:pos="18501"/>
          <w:tab w:val="left" w:pos="18661"/>
          <w:tab w:val="left" w:pos="18821"/>
          <w:tab w:val="left" w:pos="18981"/>
          <w:tab w:val="left" w:pos="19141"/>
          <w:tab w:val="left" w:pos="19301"/>
          <w:tab w:val="left" w:pos="19461"/>
          <w:tab w:val="left" w:pos="19621"/>
          <w:tab w:val="left" w:pos="19781"/>
          <w:tab w:val="left" w:pos="19941"/>
          <w:tab w:val="left" w:pos="20101"/>
          <w:tab w:val="left" w:pos="20261"/>
          <w:tab w:val="left" w:pos="20421"/>
          <w:tab w:val="left" w:pos="20581"/>
          <w:tab w:val="left" w:pos="20741"/>
          <w:tab w:val="left" w:pos="20901"/>
          <w:tab w:val="left" w:pos="21061"/>
          <w:tab w:val="left" w:pos="21221"/>
          <w:tab w:val="left" w:pos="21381"/>
          <w:tab w:val="left" w:pos="21541"/>
          <w:tab w:val="left" w:pos="21701"/>
          <w:tab w:val="left" w:pos="21861"/>
          <w:tab w:val="left" w:pos="22021"/>
          <w:tab w:val="left" w:pos="22181"/>
          <w:tab w:val="left" w:pos="22341"/>
          <w:tab w:val="left" w:pos="22501"/>
          <w:tab w:val="left" w:pos="22661"/>
          <w:tab w:val="left" w:pos="22821"/>
          <w:tab w:val="left" w:pos="22981"/>
          <w:tab w:val="left" w:pos="23141"/>
        </w:tabs>
        <w:spacing w:after="0" w:line="240" w:lineRule="auto"/>
        <w:ind w:left="70"/>
        <w:jc w:val="both"/>
        <w:outlineLvl w:val="0"/>
        <w:rPr>
          <w:rFonts w:ascii="Times New Roman" w:eastAsia="Times New Roman" w:hAnsi="Times New Roman"/>
          <w:bCs/>
          <w:sz w:val="24"/>
          <w:szCs w:val="24"/>
          <w:lang w:eastAsia="bg-BG"/>
        </w:rPr>
      </w:pPr>
      <w:r w:rsidRPr="00BF580C">
        <w:rPr>
          <w:rFonts w:ascii="Times New Roman" w:eastAsia="Times New Roman" w:hAnsi="Times New Roman"/>
          <w:b/>
          <w:bCs/>
          <w:sz w:val="24"/>
          <w:szCs w:val="24"/>
          <w:lang w:eastAsia="bg-BG"/>
        </w:rPr>
        <w:t>Краен срок за представяне на предложенията</w:t>
      </w:r>
      <w:r w:rsidRPr="008B657A">
        <w:rPr>
          <w:rFonts w:ascii="Times New Roman" w:eastAsia="Times New Roman" w:hAnsi="Times New Roman"/>
          <w:bCs/>
          <w:sz w:val="24"/>
          <w:szCs w:val="24"/>
          <w:lang w:eastAsia="bg-BG"/>
        </w:rPr>
        <w:t xml:space="preserve"> </w:t>
      </w:r>
      <w:r w:rsidR="00D611F7">
        <w:rPr>
          <w:rFonts w:ascii="Times New Roman" w:eastAsia="Times New Roman" w:hAnsi="Times New Roman"/>
          <w:bCs/>
          <w:sz w:val="24"/>
          <w:szCs w:val="24"/>
          <w:lang w:eastAsia="bg-BG"/>
        </w:rPr>
        <w:t>30</w:t>
      </w:r>
      <w:r w:rsidR="005A395B">
        <w:rPr>
          <w:rFonts w:ascii="Times New Roman" w:eastAsia="Times New Roman" w:hAnsi="Times New Roman"/>
          <w:bCs/>
          <w:sz w:val="24"/>
          <w:szCs w:val="24"/>
          <w:lang w:eastAsia="bg-BG"/>
        </w:rPr>
        <w:t>.</w:t>
      </w:r>
      <w:r w:rsidR="00D611F7">
        <w:rPr>
          <w:rFonts w:ascii="Times New Roman" w:eastAsia="Times New Roman" w:hAnsi="Times New Roman"/>
          <w:bCs/>
          <w:sz w:val="24"/>
          <w:szCs w:val="24"/>
          <w:lang w:eastAsia="bg-BG"/>
        </w:rPr>
        <w:t>11</w:t>
      </w:r>
      <w:r w:rsidR="005A395B">
        <w:rPr>
          <w:rFonts w:ascii="Times New Roman" w:eastAsia="Times New Roman" w:hAnsi="Times New Roman"/>
          <w:bCs/>
          <w:sz w:val="24"/>
          <w:szCs w:val="24"/>
          <w:lang w:eastAsia="bg-BG"/>
        </w:rPr>
        <w:t>.20</w:t>
      </w:r>
      <w:r w:rsidR="00152A77">
        <w:rPr>
          <w:rFonts w:ascii="Times New Roman" w:eastAsia="Times New Roman" w:hAnsi="Times New Roman"/>
          <w:bCs/>
          <w:sz w:val="24"/>
          <w:szCs w:val="24"/>
          <w:lang w:eastAsia="bg-BG"/>
        </w:rPr>
        <w:t>20</w:t>
      </w:r>
      <w:r w:rsidR="00750D30">
        <w:rPr>
          <w:rFonts w:ascii="Times New Roman" w:eastAsia="Times New Roman" w:hAnsi="Times New Roman"/>
          <w:bCs/>
          <w:sz w:val="24"/>
          <w:szCs w:val="24"/>
          <w:lang w:eastAsia="bg-BG"/>
        </w:rPr>
        <w:t xml:space="preserve"> г.</w:t>
      </w:r>
      <w:r w:rsidRPr="008B657A">
        <w:rPr>
          <w:rFonts w:ascii="Times New Roman" w:eastAsia="Times New Roman" w:hAnsi="Times New Roman"/>
          <w:bCs/>
          <w:sz w:val="24"/>
          <w:szCs w:val="24"/>
          <w:lang w:eastAsia="bg-BG"/>
        </w:rPr>
        <w:t>, 17:</w:t>
      </w:r>
      <w:r w:rsidR="00152A77">
        <w:rPr>
          <w:rFonts w:ascii="Times New Roman" w:eastAsia="Times New Roman" w:hAnsi="Times New Roman"/>
          <w:bCs/>
          <w:sz w:val="24"/>
          <w:szCs w:val="24"/>
          <w:lang w:eastAsia="bg-BG"/>
        </w:rPr>
        <w:t>3</w:t>
      </w:r>
      <w:r w:rsidRPr="008B657A">
        <w:rPr>
          <w:rFonts w:ascii="Times New Roman" w:eastAsia="Times New Roman" w:hAnsi="Times New Roman"/>
          <w:bCs/>
          <w:sz w:val="24"/>
          <w:szCs w:val="24"/>
          <w:lang w:eastAsia="bg-BG"/>
        </w:rPr>
        <w:t>0 часа</w:t>
      </w:r>
    </w:p>
    <w:p w:rsidR="00926E35" w:rsidRPr="008B657A" w:rsidRDefault="00926E35" w:rsidP="00FF56A9">
      <w:pPr>
        <w:spacing w:after="0" w:line="240" w:lineRule="auto"/>
        <w:jc w:val="both"/>
        <w:rPr>
          <w:rFonts w:ascii="Times New Roman" w:hAnsi="Times New Roman"/>
          <w:b/>
          <w:sz w:val="24"/>
          <w:szCs w:val="24"/>
        </w:rPr>
      </w:pPr>
      <w:r w:rsidRPr="008B657A">
        <w:rPr>
          <w:rFonts w:ascii="Times New Roman" w:hAnsi="Times New Roman"/>
          <w:b/>
          <w:sz w:val="24"/>
          <w:szCs w:val="24"/>
        </w:rPr>
        <w:lastRenderedPageBreak/>
        <w:t xml:space="preserve">Място на подаване на проектните предложения: </w:t>
      </w: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единствено с използването на Квалифициран електронен подпис (КЕП), чрез модула „Е-кандидатстване“ на следния интернет адрес: </w:t>
      </w:r>
      <w:hyperlink r:id="rId8" w:history="1">
        <w:r w:rsidRPr="008B657A">
          <w:rPr>
            <w:rFonts w:ascii="Times New Roman" w:hAnsi="Times New Roman"/>
            <w:color w:val="0563C1"/>
            <w:sz w:val="24"/>
            <w:szCs w:val="24"/>
            <w:u w:val="single"/>
          </w:rPr>
          <w:t>https://eumis2020.government.bg</w:t>
        </w:r>
      </w:hyperlink>
      <w:r w:rsidRPr="008B657A">
        <w:rPr>
          <w:rFonts w:ascii="Times New Roman" w:hAnsi="Times New Roman"/>
          <w:sz w:val="24"/>
          <w:szCs w:val="24"/>
        </w:rPr>
        <w:t>.</w:t>
      </w:r>
    </w:p>
    <w:p w:rsidR="00B269F5" w:rsidRPr="00BC6CCF" w:rsidRDefault="00B269F5" w:rsidP="00FF56A9">
      <w:pPr>
        <w:spacing w:after="0" w:line="240" w:lineRule="auto"/>
        <w:ind w:firstLine="720"/>
        <w:jc w:val="both"/>
        <w:rPr>
          <w:rFonts w:ascii="Times New Roman" w:hAnsi="Times New Roman"/>
          <w:color w:val="000000" w:themeColor="text1"/>
          <w:sz w:val="24"/>
          <w:szCs w:val="24"/>
          <w:lang w:eastAsia="bg-BG"/>
        </w:rPr>
      </w:pPr>
    </w:p>
    <w:p w:rsidR="00B269F5" w:rsidRPr="00BC6CCF" w:rsidRDefault="00B269F5" w:rsidP="008351DA">
      <w:pPr>
        <w:numPr>
          <w:ilvl w:val="0"/>
          <w:numId w:val="7"/>
        </w:numPr>
        <w:spacing w:after="0" w:line="240" w:lineRule="auto"/>
        <w:ind w:left="0" w:firstLine="0"/>
        <w:jc w:val="both"/>
        <w:rPr>
          <w:rFonts w:ascii="Times New Roman" w:eastAsia="Times New Roman" w:hAnsi="Times New Roman"/>
          <w:b/>
          <w:i/>
          <w:color w:val="000000" w:themeColor="text1"/>
          <w:sz w:val="24"/>
          <w:szCs w:val="24"/>
        </w:rPr>
      </w:pPr>
      <w:r w:rsidRPr="00BC6CCF">
        <w:rPr>
          <w:rFonts w:ascii="Times New Roman" w:eastAsia="Times New Roman" w:hAnsi="Times New Roman"/>
          <w:b/>
          <w:i/>
          <w:color w:val="000000" w:themeColor="text1"/>
          <w:sz w:val="24"/>
          <w:szCs w:val="24"/>
        </w:rPr>
        <w:t>Бюджет на приема</w:t>
      </w:r>
    </w:p>
    <w:p w:rsidR="00B269F5" w:rsidRPr="00BC6CCF" w:rsidRDefault="00B269F5" w:rsidP="00FF56A9">
      <w:pPr>
        <w:spacing w:after="0" w:line="240" w:lineRule="auto"/>
        <w:jc w:val="both"/>
        <w:rPr>
          <w:rFonts w:ascii="Times New Roman" w:hAnsi="Times New Roman"/>
          <w:b/>
          <w:color w:val="000000" w:themeColor="text1"/>
          <w:sz w:val="24"/>
          <w:szCs w:val="24"/>
          <w:lang w:eastAsia="bg-BG"/>
        </w:rPr>
      </w:pPr>
      <w:r w:rsidRPr="00BC6CCF">
        <w:rPr>
          <w:rFonts w:ascii="Times New Roman" w:eastAsia="Times New Roman" w:hAnsi="Times New Roman"/>
          <w:color w:val="000000" w:themeColor="text1"/>
          <w:sz w:val="24"/>
          <w:szCs w:val="24"/>
        </w:rPr>
        <w:t>Общият финансов ресурс по процедурата е</w:t>
      </w:r>
      <w:r w:rsidRPr="00BC6CCF">
        <w:rPr>
          <w:rFonts w:ascii="Times New Roman" w:hAnsi="Times New Roman"/>
          <w:color w:val="000000" w:themeColor="text1"/>
          <w:sz w:val="24"/>
          <w:szCs w:val="24"/>
          <w:lang w:eastAsia="bg-BG"/>
        </w:rPr>
        <w:t xml:space="preserve"> </w:t>
      </w:r>
      <w:r w:rsidR="00D611F7">
        <w:rPr>
          <w:rFonts w:ascii="Times New Roman" w:hAnsi="Times New Roman"/>
          <w:color w:val="000000" w:themeColor="text1"/>
          <w:sz w:val="24"/>
          <w:szCs w:val="24"/>
          <w:shd w:val="clear" w:color="auto" w:fill="FEFEFE"/>
        </w:rPr>
        <w:t>226</w:t>
      </w:r>
      <w:r w:rsidR="006F51A8" w:rsidRPr="006F51A8">
        <w:rPr>
          <w:rFonts w:ascii="Times New Roman" w:hAnsi="Times New Roman"/>
          <w:color w:val="000000" w:themeColor="text1"/>
          <w:sz w:val="24"/>
          <w:szCs w:val="24"/>
          <w:shd w:val="clear" w:color="auto" w:fill="FEFEFE"/>
        </w:rPr>
        <w:t xml:space="preserve"> </w:t>
      </w:r>
      <w:r w:rsidR="00D611F7">
        <w:rPr>
          <w:rFonts w:ascii="Times New Roman" w:hAnsi="Times New Roman"/>
          <w:color w:val="000000" w:themeColor="text1"/>
          <w:sz w:val="24"/>
          <w:szCs w:val="24"/>
          <w:shd w:val="clear" w:color="auto" w:fill="FEFEFE"/>
        </w:rPr>
        <w:t>183</w:t>
      </w:r>
      <w:r w:rsidR="006F51A8" w:rsidRPr="006F51A8">
        <w:rPr>
          <w:rFonts w:ascii="Times New Roman" w:hAnsi="Times New Roman"/>
          <w:color w:val="000000" w:themeColor="text1"/>
          <w:sz w:val="24"/>
          <w:szCs w:val="24"/>
          <w:shd w:val="clear" w:color="auto" w:fill="FEFEFE"/>
        </w:rPr>
        <w:t>,</w:t>
      </w:r>
      <w:r w:rsidR="00D611F7">
        <w:rPr>
          <w:rFonts w:ascii="Times New Roman" w:hAnsi="Times New Roman"/>
          <w:color w:val="000000" w:themeColor="text1"/>
          <w:sz w:val="24"/>
          <w:szCs w:val="24"/>
          <w:shd w:val="clear" w:color="auto" w:fill="FEFEFE"/>
        </w:rPr>
        <w:t>59</w:t>
      </w:r>
      <w:r w:rsidR="00684A76" w:rsidRPr="00BC6CCF">
        <w:rPr>
          <w:rFonts w:ascii="Times New Roman" w:hAnsi="Times New Roman"/>
          <w:color w:val="000000" w:themeColor="text1"/>
          <w:sz w:val="24"/>
          <w:szCs w:val="24"/>
          <w:shd w:val="clear" w:color="auto" w:fill="FEFEFE"/>
        </w:rPr>
        <w:t xml:space="preserve"> лв.</w:t>
      </w:r>
      <w:r w:rsidR="00D611F7">
        <w:rPr>
          <w:rFonts w:ascii="Times New Roman" w:hAnsi="Times New Roman"/>
          <w:color w:val="000000" w:themeColor="text1"/>
          <w:sz w:val="24"/>
          <w:szCs w:val="24"/>
          <w:shd w:val="clear" w:color="auto" w:fill="FEFEFE"/>
        </w:rPr>
        <w:t>, остатък след първи прием.</w:t>
      </w:r>
    </w:p>
    <w:p w:rsidR="00B269F5" w:rsidRPr="00BC6CCF" w:rsidRDefault="00B269F5" w:rsidP="00FF56A9">
      <w:pPr>
        <w:spacing w:after="0" w:line="240" w:lineRule="auto"/>
        <w:jc w:val="both"/>
        <w:rPr>
          <w:rFonts w:ascii="Times New Roman" w:eastAsia="Times New Roman" w:hAnsi="Times New Roman"/>
          <w:b/>
          <w:color w:val="000000" w:themeColor="text1"/>
          <w:sz w:val="24"/>
          <w:szCs w:val="24"/>
        </w:rPr>
      </w:pPr>
    </w:p>
    <w:p w:rsidR="00B269F5" w:rsidRPr="008B657A" w:rsidRDefault="00FF611F" w:rsidP="008351DA">
      <w:pPr>
        <w:numPr>
          <w:ilvl w:val="0"/>
          <w:numId w:val="3"/>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Pr>
          <w:rFonts w:ascii="Times New Roman" w:eastAsia="Times New Roman" w:hAnsi="Times New Roman"/>
          <w:b/>
          <w:i/>
          <w:color w:val="000000"/>
          <w:spacing w:val="-10"/>
          <w:sz w:val="24"/>
          <w:szCs w:val="24"/>
          <w:shd w:val="clear" w:color="auto" w:fill="FFFFFF"/>
        </w:rPr>
        <w:t>Финансови параметри на п</w:t>
      </w:r>
      <w:r w:rsidR="008B657A" w:rsidRPr="008B657A">
        <w:rPr>
          <w:rFonts w:ascii="Times New Roman" w:eastAsia="Times New Roman" w:hAnsi="Times New Roman"/>
          <w:b/>
          <w:i/>
          <w:color w:val="000000"/>
          <w:spacing w:val="-10"/>
          <w:sz w:val="24"/>
          <w:szCs w:val="24"/>
          <w:shd w:val="clear" w:color="auto" w:fill="FFFFFF"/>
        </w:rPr>
        <w:t>р</w:t>
      </w:r>
      <w:r>
        <w:rPr>
          <w:rFonts w:ascii="Times New Roman" w:eastAsia="Times New Roman" w:hAnsi="Times New Roman"/>
          <w:b/>
          <w:i/>
          <w:color w:val="000000"/>
          <w:spacing w:val="-10"/>
          <w:sz w:val="24"/>
          <w:szCs w:val="24"/>
          <w:shd w:val="clear" w:color="auto" w:fill="FFFFFF"/>
        </w:rPr>
        <w:t>о</w:t>
      </w:r>
      <w:r w:rsidR="008B657A" w:rsidRPr="008B657A">
        <w:rPr>
          <w:rFonts w:ascii="Times New Roman" w:eastAsia="Times New Roman" w:hAnsi="Times New Roman"/>
          <w:b/>
          <w:i/>
          <w:color w:val="000000"/>
          <w:spacing w:val="-10"/>
          <w:sz w:val="24"/>
          <w:szCs w:val="24"/>
          <w:shd w:val="clear" w:color="auto" w:fill="FFFFFF"/>
        </w:rPr>
        <w:t>ектите</w:t>
      </w:r>
      <w:r w:rsidR="00B269F5" w:rsidRPr="008B657A">
        <w:rPr>
          <w:rFonts w:ascii="Times New Roman" w:eastAsia="Times New Roman" w:hAnsi="Times New Roman"/>
          <w:b/>
          <w:i/>
          <w:color w:val="000000"/>
          <w:spacing w:val="-10"/>
          <w:sz w:val="24"/>
          <w:szCs w:val="24"/>
          <w:shd w:val="clear" w:color="auto" w:fill="FFFFFF"/>
        </w:rPr>
        <w:t>:</w:t>
      </w:r>
    </w:p>
    <w:p w:rsidR="007B2FF1" w:rsidRPr="007B2FF1" w:rsidRDefault="007B2FF1" w:rsidP="007B2FF1">
      <w:pPr>
        <w:pStyle w:val="ListParagraph"/>
        <w:numPr>
          <w:ilvl w:val="0"/>
          <w:numId w:val="12"/>
        </w:num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Минимален размер на допустимите разходи за проект – 39 116,00 лева</w:t>
      </w:r>
    </w:p>
    <w:p w:rsidR="007B2FF1" w:rsidRDefault="007B2FF1" w:rsidP="007B2FF1">
      <w:pPr>
        <w:pStyle w:val="ListParagraph"/>
        <w:numPr>
          <w:ilvl w:val="0"/>
          <w:numId w:val="12"/>
        </w:num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Максимален размер на допустимите разходи за проект – 293 370,00 лева</w:t>
      </w:r>
    </w:p>
    <w:p w:rsidR="007B2FF1" w:rsidRPr="007B2FF1" w:rsidRDefault="007B2FF1" w:rsidP="007B2FF1">
      <w:pPr>
        <w:pStyle w:val="ListParagraph"/>
        <w:spacing w:after="0" w:line="240" w:lineRule="auto"/>
        <w:jc w:val="both"/>
        <w:rPr>
          <w:rFonts w:ascii="Times New Roman" w:hAnsi="Times New Roman"/>
          <w:color w:val="000000"/>
          <w:sz w:val="24"/>
          <w:szCs w:val="24"/>
          <w:lang w:eastAsia="bg-BG"/>
        </w:rPr>
      </w:pPr>
    </w:p>
    <w:p w:rsidR="007B2FF1" w:rsidRPr="007B2FF1" w:rsidRDefault="007B2FF1" w:rsidP="007B2FF1">
      <w:pPr>
        <w:pStyle w:val="ListParagraph"/>
        <w:numPr>
          <w:ilvl w:val="0"/>
          <w:numId w:val="12"/>
        </w:numPr>
        <w:spacing w:after="0" w:line="240" w:lineRule="auto"/>
        <w:jc w:val="both"/>
        <w:rPr>
          <w:rFonts w:ascii="Times New Roman" w:hAnsi="Times New Roman"/>
          <w:color w:val="000000"/>
          <w:sz w:val="24"/>
          <w:szCs w:val="24"/>
          <w:lang w:eastAsia="bg-BG"/>
        </w:rPr>
      </w:pPr>
      <w:r w:rsidRPr="007B2FF1">
        <w:rPr>
          <w:rFonts w:ascii="Times New Roman" w:hAnsi="Times New Roman"/>
          <w:color w:val="000000"/>
          <w:sz w:val="24"/>
          <w:szCs w:val="24"/>
          <w:lang w:eastAsia="bg-BG"/>
        </w:rPr>
        <w:t>Минимален размер на безвъзмездната финансова помощ за проект – 19 558,00 лева</w:t>
      </w:r>
    </w:p>
    <w:p w:rsidR="008B657A" w:rsidRPr="007B2FF1" w:rsidRDefault="007B2FF1" w:rsidP="007B2FF1">
      <w:pPr>
        <w:pStyle w:val="ListParagraph"/>
        <w:numPr>
          <w:ilvl w:val="0"/>
          <w:numId w:val="12"/>
        </w:numPr>
        <w:spacing w:after="0" w:line="240" w:lineRule="auto"/>
        <w:jc w:val="both"/>
        <w:rPr>
          <w:rFonts w:ascii="Times New Roman" w:eastAsia="Times New Roman" w:hAnsi="Times New Roman"/>
          <w:b/>
          <w:sz w:val="24"/>
          <w:szCs w:val="24"/>
        </w:rPr>
      </w:pPr>
      <w:r w:rsidRPr="007B2FF1">
        <w:rPr>
          <w:rFonts w:ascii="Times New Roman" w:hAnsi="Times New Roman"/>
          <w:color w:val="000000"/>
          <w:sz w:val="24"/>
          <w:szCs w:val="24"/>
          <w:lang w:eastAsia="bg-BG"/>
        </w:rPr>
        <w:t>Максимален размер на безвъзмездната финансова помощ за проект – 205 359,00 лева</w:t>
      </w:r>
    </w:p>
    <w:p w:rsidR="009B2F31" w:rsidRPr="008B657A" w:rsidRDefault="009B2F31" w:rsidP="009B2F31">
      <w:pPr>
        <w:spacing w:after="0" w:line="240" w:lineRule="auto"/>
        <w:ind w:left="1428"/>
        <w:jc w:val="both"/>
        <w:rPr>
          <w:rFonts w:ascii="Times New Roman" w:eastAsia="Times New Roman" w:hAnsi="Times New Roman"/>
          <w:b/>
          <w:sz w:val="24"/>
          <w:szCs w:val="24"/>
          <w:lang w:val="en-US"/>
        </w:rPr>
      </w:pPr>
    </w:p>
    <w:p w:rsidR="00B269F5" w:rsidRPr="008B657A" w:rsidRDefault="009B2F31" w:rsidP="008351DA">
      <w:pPr>
        <w:numPr>
          <w:ilvl w:val="0"/>
          <w:numId w:val="4"/>
        </w:numPr>
        <w:spacing w:after="0" w:line="240" w:lineRule="auto"/>
        <w:ind w:left="0" w:firstLine="0"/>
        <w:jc w:val="both"/>
        <w:rPr>
          <w:rFonts w:ascii="Times New Roman" w:eastAsia="Times New Roman" w:hAnsi="Times New Roman"/>
          <w:b/>
          <w:i/>
          <w:sz w:val="24"/>
          <w:szCs w:val="24"/>
        </w:rPr>
      </w:pPr>
      <w:r>
        <w:rPr>
          <w:rFonts w:ascii="Times New Roman" w:eastAsia="Times New Roman" w:hAnsi="Times New Roman"/>
          <w:b/>
          <w:i/>
          <w:sz w:val="24"/>
          <w:szCs w:val="24"/>
        </w:rPr>
        <w:t xml:space="preserve">Размер и </w:t>
      </w:r>
      <w:r w:rsidR="005D09D3">
        <w:rPr>
          <w:rFonts w:ascii="Times New Roman" w:eastAsia="Times New Roman" w:hAnsi="Times New Roman"/>
          <w:b/>
          <w:i/>
          <w:sz w:val="24"/>
          <w:szCs w:val="24"/>
        </w:rPr>
        <w:t>и</w:t>
      </w:r>
      <w:r w:rsidR="005D09D3" w:rsidRPr="008B657A">
        <w:rPr>
          <w:rFonts w:ascii="Times New Roman" w:eastAsia="Times New Roman" w:hAnsi="Times New Roman"/>
          <w:b/>
          <w:i/>
          <w:sz w:val="24"/>
          <w:szCs w:val="24"/>
        </w:rPr>
        <w:t>нтензитет</w:t>
      </w:r>
      <w:r w:rsidR="00926E35" w:rsidRPr="008B657A">
        <w:rPr>
          <w:rFonts w:ascii="Times New Roman" w:eastAsia="Times New Roman" w:hAnsi="Times New Roman"/>
          <w:b/>
          <w:i/>
          <w:sz w:val="24"/>
          <w:szCs w:val="24"/>
        </w:rPr>
        <w:t xml:space="preserve"> на финансовата помощ</w:t>
      </w:r>
      <w:r w:rsidR="00B269F5" w:rsidRPr="008B657A">
        <w:rPr>
          <w:rFonts w:ascii="Times New Roman" w:eastAsia="Times New Roman" w:hAnsi="Times New Roman"/>
          <w:b/>
          <w:i/>
          <w:sz w:val="24"/>
          <w:szCs w:val="24"/>
        </w:rPr>
        <w:t xml:space="preserve">: </w:t>
      </w:r>
    </w:p>
    <w:p w:rsidR="009B2F31" w:rsidRPr="009B2F31" w:rsidRDefault="009B2F31" w:rsidP="009B2F31">
      <w:pPr>
        <w:autoSpaceDE w:val="0"/>
        <w:autoSpaceDN w:val="0"/>
        <w:adjustRightInd w:val="0"/>
        <w:spacing w:after="0" w:line="240" w:lineRule="auto"/>
        <w:ind w:left="1428"/>
        <w:jc w:val="both"/>
        <w:rPr>
          <w:rFonts w:ascii="Times New Roman" w:hAnsi="Times New Roman"/>
          <w:sz w:val="24"/>
          <w:szCs w:val="24"/>
          <w:lang w:eastAsia="bg-BG"/>
        </w:rPr>
      </w:pPr>
    </w:p>
    <w:p w:rsidR="006F51A8" w:rsidRPr="006F51A8"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 xml:space="preserve">Финансовата помощ е в размер 50 на сто от общия размер на допустимите за финансово подпомагане разходи. Финансовата помощ се увеличава с 10 на сто за: </w:t>
      </w:r>
    </w:p>
    <w:p w:rsidR="006F51A8" w:rsidRPr="006F51A8"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 xml:space="preserve">1. проекти, представени от млади земеделски стопани (Допълнителната финансова помощ за млади земеделски стопани се предоставя в случай, че заявлението за подпомагане е представено от кандидат на възраст от 18 години и не повече от 40 години към датата на кандидатстване за финансова помощ); </w:t>
      </w:r>
    </w:p>
    <w:p w:rsidR="006F51A8" w:rsidRPr="006F51A8"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2. проекти с инвестиции в райони с природни и други специфични ограничения финансовата помощ се увеличава с 10 %;</w:t>
      </w:r>
    </w:p>
    <w:p w:rsidR="009B2F31" w:rsidRDefault="006F51A8" w:rsidP="006F51A8">
      <w:pPr>
        <w:autoSpaceDE w:val="0"/>
        <w:autoSpaceDN w:val="0"/>
        <w:adjustRightInd w:val="0"/>
        <w:spacing w:after="0" w:line="240" w:lineRule="auto"/>
        <w:jc w:val="both"/>
        <w:rPr>
          <w:rFonts w:ascii="Times New Roman" w:hAnsi="Times New Roman"/>
          <w:color w:val="000000"/>
          <w:sz w:val="24"/>
          <w:szCs w:val="24"/>
          <w:lang w:eastAsia="bg-BG"/>
        </w:rPr>
      </w:pPr>
      <w:r w:rsidRPr="006F51A8">
        <w:rPr>
          <w:rFonts w:ascii="Times New Roman" w:hAnsi="Times New Roman"/>
          <w:color w:val="000000"/>
          <w:sz w:val="24"/>
          <w:szCs w:val="24"/>
          <w:lang w:eastAsia="bg-BG"/>
        </w:rPr>
        <w:t>Максимално комбинирано подпомагане – 70 % от общия размер на допустимите за финансово подпомагане разходи.</w:t>
      </w:r>
    </w:p>
    <w:p w:rsidR="009B2F31" w:rsidRPr="009B2F31" w:rsidRDefault="009B2F31" w:rsidP="009B2F31">
      <w:pPr>
        <w:autoSpaceDE w:val="0"/>
        <w:autoSpaceDN w:val="0"/>
        <w:adjustRightInd w:val="0"/>
        <w:spacing w:after="0" w:line="240" w:lineRule="auto"/>
        <w:jc w:val="both"/>
        <w:rPr>
          <w:rFonts w:ascii="Times New Roman" w:hAnsi="Times New Roman"/>
          <w:color w:val="000000"/>
          <w:sz w:val="24"/>
          <w:szCs w:val="24"/>
          <w:lang w:eastAsia="bg-BG"/>
        </w:rPr>
      </w:pPr>
    </w:p>
    <w:p w:rsidR="00B269F5" w:rsidRPr="009B2F31" w:rsidRDefault="006F51A8" w:rsidP="008351DA">
      <w:pPr>
        <w:numPr>
          <w:ilvl w:val="0"/>
          <w:numId w:val="4"/>
        </w:numPr>
        <w:autoSpaceDE w:val="0"/>
        <w:autoSpaceDN w:val="0"/>
        <w:adjustRightInd w:val="0"/>
        <w:spacing w:after="0" w:line="240" w:lineRule="auto"/>
        <w:jc w:val="both"/>
        <w:rPr>
          <w:rFonts w:ascii="Times New Roman" w:hAnsi="Times New Roman"/>
          <w:i/>
          <w:color w:val="000000"/>
          <w:sz w:val="23"/>
          <w:szCs w:val="23"/>
          <w:lang w:eastAsia="bg-BG"/>
        </w:rPr>
      </w:pPr>
      <w:r w:rsidRPr="006F51A8">
        <w:rPr>
          <w:rFonts w:ascii="Times New Roman" w:hAnsi="Times New Roman"/>
          <w:b/>
          <w:bCs/>
          <w:i/>
          <w:color w:val="000000"/>
          <w:sz w:val="23"/>
          <w:szCs w:val="23"/>
          <w:lang w:eastAsia="bg-BG"/>
        </w:rPr>
        <w:t>Критерии и методика за оценка на проектните предложения:</w:t>
      </w:r>
      <w:r w:rsidR="009B2F31" w:rsidRPr="009B2F31">
        <w:rPr>
          <w:rFonts w:ascii="Times New Roman" w:hAnsi="Times New Roman"/>
          <w:b/>
          <w:bCs/>
          <w:i/>
          <w:color w:val="000000"/>
          <w:sz w:val="23"/>
          <w:szCs w:val="23"/>
          <w:lang w:eastAsia="bg-BG"/>
        </w:rPr>
        <w:t xml:space="preserve"> </w:t>
      </w:r>
    </w:p>
    <w:tbl>
      <w:tblPr>
        <w:tblStyle w:val="TableGrid"/>
        <w:tblW w:w="9810" w:type="dxa"/>
        <w:tblInd w:w="85" w:type="dxa"/>
        <w:tblLook w:val="04A0" w:firstRow="1" w:lastRow="0" w:firstColumn="1" w:lastColumn="0" w:noHBand="0" w:noVBand="1"/>
      </w:tblPr>
      <w:tblGrid>
        <w:gridCol w:w="516"/>
        <w:gridCol w:w="3984"/>
        <w:gridCol w:w="4320"/>
        <w:gridCol w:w="990"/>
      </w:tblGrid>
      <w:tr w:rsidR="006F51A8" w:rsidRPr="002D7D6D" w:rsidTr="007B2FF1">
        <w:tc>
          <w:tcPr>
            <w:tcW w:w="516"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N</w:t>
            </w:r>
          </w:p>
        </w:tc>
        <w:tc>
          <w:tcPr>
            <w:tcW w:w="3984"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Критерии</w:t>
            </w:r>
          </w:p>
        </w:tc>
        <w:tc>
          <w:tcPr>
            <w:tcW w:w="4320"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Минимално изискване</w:t>
            </w:r>
          </w:p>
        </w:tc>
        <w:tc>
          <w:tcPr>
            <w:tcW w:w="990" w:type="dxa"/>
            <w:shd w:val="clear" w:color="auto" w:fill="C2D69B" w:themeFill="accent3" w:themeFillTint="99"/>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Брой точки</w:t>
            </w:r>
          </w:p>
        </w:tc>
      </w:tr>
      <w:tr w:rsidR="006F51A8" w:rsidRPr="002D7D6D" w:rsidTr="007B2FF1">
        <w:trPr>
          <w:trHeight w:val="1593"/>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1.</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с инвестиции и дейности в чувствителните и приоритетни за територията на МИГ сектори на земеделското производство „Плодове и зеленчуци“ и/или сектор „Животновъдство“ и/или сектор </w:t>
            </w:r>
            <w:r w:rsidRPr="002D7D6D">
              <w:rPr>
                <w:rFonts w:ascii="Times New Roman" w:hAnsi="Times New Roman"/>
                <w:sz w:val="24"/>
                <w:szCs w:val="24"/>
              </w:rPr>
              <w:lastRenderedPageBreak/>
              <w:t>„Етерично-маслени и медицински култури“</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Над 50 %  от допустимите инвестиционни разходи са в посочените чувствителни и приоритетни за територията сектори.</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rPr>
          <w:trHeight w:val="692"/>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2.</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с инвестиции и дейности от стопанства за производство на биологични продукти и/или стопанства в преход към биологично производство на продукти.</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50 % от допустимите инвестиционни разходи по проекта са свързани с производство на биологични продукти и/или продуктите са в преход към биологично производство.</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rPr>
          <w:trHeight w:val="276"/>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3.</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за инвестиции и дейности за производство на земеделски култури, които отговарят на местните почвено-климатични характеристики и </w:t>
            </w:r>
            <w:proofErr w:type="spellStart"/>
            <w:r w:rsidRPr="002D7D6D">
              <w:rPr>
                <w:rFonts w:ascii="Times New Roman" w:hAnsi="Times New Roman"/>
                <w:sz w:val="24"/>
                <w:szCs w:val="24"/>
              </w:rPr>
              <w:t>агроекологичен</w:t>
            </w:r>
            <w:proofErr w:type="spellEnd"/>
            <w:r w:rsidRPr="002D7D6D">
              <w:rPr>
                <w:rFonts w:ascii="Times New Roman" w:hAnsi="Times New Roman"/>
                <w:sz w:val="24"/>
                <w:szCs w:val="24"/>
              </w:rPr>
              <w:t xml:space="preserve"> потенциал </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Над 85 % от инвестицията по проекта е насочена към отглеждането на земеделски култури, отговарящи на почвено-климатичните характеристики и </w:t>
            </w:r>
            <w:proofErr w:type="spellStart"/>
            <w:r w:rsidRPr="002D7D6D">
              <w:rPr>
                <w:rFonts w:ascii="Times New Roman" w:hAnsi="Times New Roman"/>
                <w:sz w:val="24"/>
                <w:szCs w:val="24"/>
              </w:rPr>
              <w:t>агроекологичен</w:t>
            </w:r>
            <w:proofErr w:type="spellEnd"/>
            <w:r w:rsidRPr="002D7D6D">
              <w:rPr>
                <w:rFonts w:ascii="Times New Roman" w:hAnsi="Times New Roman"/>
                <w:sz w:val="24"/>
                <w:szCs w:val="24"/>
              </w:rPr>
              <w:t xml:space="preserve"> потенциал. </w:t>
            </w:r>
          </w:p>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/Постигането на критерия се доказва с извършен почвен анализ и оценка на </w:t>
            </w:r>
            <w:proofErr w:type="spellStart"/>
            <w:r w:rsidRPr="002D7D6D">
              <w:rPr>
                <w:rFonts w:ascii="Times New Roman" w:hAnsi="Times New Roman"/>
                <w:sz w:val="24"/>
                <w:szCs w:val="24"/>
              </w:rPr>
              <w:t>агроекологичния</w:t>
            </w:r>
            <w:proofErr w:type="spellEnd"/>
            <w:r w:rsidRPr="002D7D6D">
              <w:rPr>
                <w:rFonts w:ascii="Times New Roman" w:hAnsi="Times New Roman"/>
                <w:sz w:val="24"/>
                <w:szCs w:val="24"/>
              </w:rPr>
              <w:t xml:space="preserve"> потенциал/.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15 т. </w:t>
            </w:r>
          </w:p>
        </w:tc>
      </w:tr>
      <w:tr w:rsidR="006F51A8" w:rsidRPr="002D7D6D" w:rsidTr="007B2FF1">
        <w:trPr>
          <w:trHeight w:val="276"/>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4.</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Проектът предвижда инвестиции, насочени към въвеждане на практики/подходи за прецизно земеделие</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30 % от инвестицията е насочена към въвеждане на практики за прецизно земеделие, вкл. интегрирани селскостопански системи за управление, GPS устройства за управление, контрол и локализация на промените</w:t>
            </w:r>
            <w:r w:rsidRPr="002D7D6D">
              <w:rPr>
                <w:rFonts w:ascii="Arial" w:hAnsi="Arial" w:cs="Arial"/>
                <w:color w:val="202020"/>
                <w:sz w:val="18"/>
                <w:szCs w:val="18"/>
              </w:rPr>
              <w:t xml:space="preserve">, </w:t>
            </w:r>
            <w:r w:rsidRPr="002D7D6D">
              <w:rPr>
                <w:rFonts w:ascii="Times New Roman" w:hAnsi="Times New Roman"/>
                <w:sz w:val="24"/>
                <w:szCs w:val="24"/>
              </w:rPr>
              <w:t xml:space="preserve">мобилни сензори - мобилни устройства за анализ на средата, внесените препарати и получения добив, софтуерни продукти за прецизно земеделие и др. </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rPr>
          <w:trHeight w:val="674"/>
        </w:trPr>
        <w:tc>
          <w:tcPr>
            <w:tcW w:w="516" w:type="dxa"/>
            <w:vMerge w:val="restart"/>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5.</w:t>
            </w:r>
          </w:p>
        </w:tc>
        <w:tc>
          <w:tcPr>
            <w:tcW w:w="3984" w:type="dxa"/>
            <w:vMerge w:val="restart"/>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при които изпълнението на одобрените инвестиции и дейности води до осигуряване на </w:t>
            </w:r>
            <w:r w:rsidRPr="002D7D6D">
              <w:rPr>
                <w:rFonts w:ascii="Times New Roman" w:hAnsi="Times New Roman"/>
                <w:sz w:val="24"/>
                <w:szCs w:val="24"/>
              </w:rPr>
              <w:lastRenderedPageBreak/>
              <w:t>допълнителна заетост в земеделските стопанства</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Създаване на до 2 работни места, вкл.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5 т. </w:t>
            </w:r>
          </w:p>
        </w:tc>
      </w:tr>
      <w:tr w:rsidR="006F51A8" w:rsidRPr="002D7D6D" w:rsidTr="007B2FF1">
        <w:tc>
          <w:tcPr>
            <w:tcW w:w="516" w:type="dxa"/>
            <w:vMerge/>
          </w:tcPr>
          <w:p w:rsidR="006F51A8" w:rsidRPr="002D7D6D" w:rsidRDefault="006F51A8" w:rsidP="00267AC2">
            <w:pPr>
              <w:jc w:val="both"/>
              <w:rPr>
                <w:rFonts w:ascii="Times New Roman" w:hAnsi="Times New Roman"/>
                <w:sz w:val="24"/>
                <w:szCs w:val="24"/>
              </w:rPr>
            </w:pPr>
          </w:p>
        </w:tc>
        <w:tc>
          <w:tcPr>
            <w:tcW w:w="3984" w:type="dxa"/>
            <w:vMerge/>
          </w:tcPr>
          <w:p w:rsidR="006F51A8" w:rsidRPr="002D7D6D" w:rsidRDefault="006F51A8" w:rsidP="00267AC2">
            <w:pPr>
              <w:jc w:val="both"/>
              <w:rPr>
                <w:rFonts w:ascii="Times New Roman" w:hAnsi="Times New Roman"/>
                <w:sz w:val="24"/>
                <w:szCs w:val="24"/>
              </w:rPr>
            </w:pP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Създаване на над 2 до 5 работни места, вкл.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c>
          <w:tcPr>
            <w:tcW w:w="516" w:type="dxa"/>
            <w:vMerge/>
          </w:tcPr>
          <w:p w:rsidR="006F51A8" w:rsidRPr="002D7D6D" w:rsidRDefault="006F51A8" w:rsidP="00267AC2">
            <w:pPr>
              <w:jc w:val="both"/>
              <w:rPr>
                <w:rFonts w:ascii="Times New Roman" w:hAnsi="Times New Roman"/>
                <w:sz w:val="24"/>
                <w:szCs w:val="24"/>
              </w:rPr>
            </w:pPr>
          </w:p>
        </w:tc>
        <w:tc>
          <w:tcPr>
            <w:tcW w:w="3984" w:type="dxa"/>
            <w:vMerge/>
          </w:tcPr>
          <w:p w:rsidR="006F51A8" w:rsidRPr="002D7D6D" w:rsidRDefault="006F51A8" w:rsidP="00267AC2">
            <w:pPr>
              <w:jc w:val="both"/>
              <w:rPr>
                <w:rFonts w:ascii="Times New Roman" w:hAnsi="Times New Roman"/>
                <w:sz w:val="24"/>
                <w:szCs w:val="24"/>
              </w:rPr>
            </w:pP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Създаване на над 5 работни места</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15 т.</w:t>
            </w:r>
          </w:p>
        </w:tc>
      </w:tr>
      <w:tr w:rsidR="006F51A8" w:rsidRPr="002D7D6D" w:rsidTr="007B2FF1">
        <w:trPr>
          <w:trHeight w:val="1224"/>
        </w:trPr>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lastRenderedPageBreak/>
              <w:t>6.</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Проекти с инвестиции и дейности, които се изпълняват на територията на </w:t>
            </w:r>
            <w:proofErr w:type="spellStart"/>
            <w:r w:rsidRPr="002D7D6D">
              <w:rPr>
                <w:rFonts w:ascii="Times New Roman" w:hAnsi="Times New Roman"/>
                <w:sz w:val="24"/>
                <w:szCs w:val="24"/>
              </w:rPr>
              <w:t>необлагодетелствани</w:t>
            </w:r>
            <w:proofErr w:type="spellEnd"/>
            <w:r w:rsidRPr="002D7D6D">
              <w:rPr>
                <w:rFonts w:ascii="Times New Roman" w:hAnsi="Times New Roman"/>
                <w:sz w:val="24"/>
                <w:szCs w:val="24"/>
              </w:rPr>
              <w:t xml:space="preserve"> райони с природни и други ограничения</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 xml:space="preserve">Най-малко 50 % от обработваната от кандидата земя се намира в </w:t>
            </w:r>
            <w:proofErr w:type="spellStart"/>
            <w:r w:rsidRPr="002D7D6D">
              <w:rPr>
                <w:rFonts w:ascii="Times New Roman" w:hAnsi="Times New Roman"/>
                <w:sz w:val="24"/>
                <w:szCs w:val="24"/>
              </w:rPr>
              <w:t>необлагодетелстван</w:t>
            </w:r>
            <w:proofErr w:type="spellEnd"/>
            <w:r w:rsidRPr="002D7D6D">
              <w:rPr>
                <w:rFonts w:ascii="Times New Roman" w:hAnsi="Times New Roman"/>
                <w:sz w:val="24"/>
                <w:szCs w:val="24"/>
              </w:rPr>
              <w:t xml:space="preserve"> район</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7.</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на млади земеделски стопани физически лица, еднолични търговци на възраст от 18 до 40 години включително</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Към момента на подаване на заявлението за кандидатстване кандидатът е физическо лице или ЕТ на възраст от 18 до 40 г. вкл.</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10 т.</w:t>
            </w:r>
          </w:p>
        </w:tc>
      </w:tr>
      <w:tr w:rsidR="006F51A8" w:rsidRPr="002D7D6D" w:rsidTr="007B2FF1">
        <w:tc>
          <w:tcPr>
            <w:tcW w:w="516"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8.</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при които изпълнението на проекта е свързано с внедряването на иновации в земеделското стопанство.</w:t>
            </w:r>
          </w:p>
        </w:tc>
        <w:tc>
          <w:tcPr>
            <w:tcW w:w="4320" w:type="dxa"/>
          </w:tcPr>
          <w:p w:rsidR="006F51A8" w:rsidRPr="002D7D6D" w:rsidRDefault="006F51A8" w:rsidP="00267AC2">
            <w:pPr>
              <w:jc w:val="both"/>
              <w:rPr>
                <w:rFonts w:ascii="Times New Roman" w:hAnsi="Times New Roman"/>
                <w:sz w:val="24"/>
                <w:szCs w:val="24"/>
              </w:rPr>
            </w:pPr>
            <w:bookmarkStart w:id="2" w:name="_Hlk27079968"/>
            <w:r w:rsidRPr="002D7D6D">
              <w:rPr>
                <w:rFonts w:ascii="Times New Roman" w:hAnsi="Times New Roman"/>
                <w:sz w:val="24"/>
                <w:szCs w:val="24"/>
              </w:rPr>
              <w:t>Проекти, които включват инвестиции, свързани с 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организацията на работното място, или външни връзки, която води до повишаване на икономическа, социална и екологична ефективност на земеделското стопанство.</w:t>
            </w:r>
            <w:bookmarkEnd w:id="2"/>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20 т.</w:t>
            </w:r>
          </w:p>
        </w:tc>
      </w:tr>
      <w:tr w:rsidR="006F51A8" w:rsidRPr="002D7D6D" w:rsidTr="007B2FF1">
        <w:tc>
          <w:tcPr>
            <w:tcW w:w="516" w:type="dxa"/>
            <w:vMerge w:val="restart"/>
          </w:tcPr>
          <w:p w:rsidR="006F51A8" w:rsidRPr="002D7D6D" w:rsidRDefault="006F51A8" w:rsidP="00267AC2">
            <w:pPr>
              <w:rPr>
                <w:rFonts w:ascii="Times New Roman" w:hAnsi="Times New Roman"/>
                <w:sz w:val="24"/>
                <w:szCs w:val="24"/>
              </w:rPr>
            </w:pPr>
            <w:r w:rsidRPr="002D7D6D">
              <w:rPr>
                <w:rFonts w:ascii="Times New Roman" w:hAnsi="Times New Roman"/>
                <w:sz w:val="24"/>
                <w:szCs w:val="24"/>
              </w:rPr>
              <w:t xml:space="preserve">9. </w:t>
            </w:r>
          </w:p>
        </w:tc>
        <w:tc>
          <w:tcPr>
            <w:tcW w:w="3984" w:type="dxa"/>
            <w:vMerge w:val="restart"/>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Проекти с инвестиции и дейности, осигуряващи опазване на компонентите на околната среда, (вкл. технологии, водещи до намаляване на емисиите) и/или инвестиции, осигуряващи съответствие на стопанството с изискванията на стандартите на ЕС.</w:t>
            </w: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20 % от допустимите инвестиционни разходи по проекта са свързани с опазване на компонентите на околната среда и/или</w:t>
            </w:r>
          </w:p>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инвестиции, осигуряващи съответствие на стопанството с изискванията на стандартите на ЕС</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5 т.  </w:t>
            </w:r>
          </w:p>
        </w:tc>
      </w:tr>
      <w:tr w:rsidR="006F51A8" w:rsidRPr="002D7D6D" w:rsidTr="007B2FF1">
        <w:tc>
          <w:tcPr>
            <w:tcW w:w="516" w:type="dxa"/>
            <w:vMerge/>
          </w:tcPr>
          <w:p w:rsidR="006F51A8" w:rsidRPr="002D7D6D" w:rsidRDefault="006F51A8" w:rsidP="00267AC2">
            <w:pPr>
              <w:rPr>
                <w:rFonts w:ascii="Times New Roman" w:hAnsi="Times New Roman"/>
                <w:sz w:val="24"/>
                <w:szCs w:val="24"/>
              </w:rPr>
            </w:pPr>
          </w:p>
        </w:tc>
        <w:tc>
          <w:tcPr>
            <w:tcW w:w="3984" w:type="dxa"/>
            <w:vMerge/>
          </w:tcPr>
          <w:p w:rsidR="006F51A8" w:rsidRPr="002D7D6D" w:rsidRDefault="006F51A8" w:rsidP="00267AC2">
            <w:pPr>
              <w:jc w:val="both"/>
              <w:rPr>
                <w:rFonts w:ascii="Times New Roman" w:hAnsi="Times New Roman"/>
                <w:sz w:val="24"/>
                <w:szCs w:val="24"/>
              </w:rPr>
            </w:pPr>
          </w:p>
        </w:tc>
        <w:tc>
          <w:tcPr>
            <w:tcW w:w="4320"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Над 50 %  от допустимите разходи са насочени към опазване на околната среда</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10 т. </w:t>
            </w:r>
          </w:p>
        </w:tc>
      </w:tr>
      <w:tr w:rsidR="006F51A8" w:rsidRPr="002D7D6D" w:rsidTr="007B2FF1">
        <w:tc>
          <w:tcPr>
            <w:tcW w:w="516" w:type="dxa"/>
          </w:tcPr>
          <w:p w:rsidR="006F51A8" w:rsidRPr="002D7D6D" w:rsidRDefault="006F51A8" w:rsidP="00267AC2">
            <w:pPr>
              <w:rPr>
                <w:rFonts w:ascii="Times New Roman" w:hAnsi="Times New Roman"/>
                <w:sz w:val="24"/>
                <w:szCs w:val="24"/>
              </w:rPr>
            </w:pPr>
            <w:r w:rsidRPr="002D7D6D">
              <w:rPr>
                <w:rFonts w:ascii="Times New Roman" w:hAnsi="Times New Roman"/>
                <w:sz w:val="24"/>
                <w:szCs w:val="24"/>
              </w:rPr>
              <w:lastRenderedPageBreak/>
              <w:t xml:space="preserve">10. </w:t>
            </w:r>
          </w:p>
        </w:tc>
        <w:tc>
          <w:tcPr>
            <w:tcW w:w="3984" w:type="dxa"/>
          </w:tcPr>
          <w:p w:rsidR="006F51A8" w:rsidRPr="002D7D6D" w:rsidRDefault="006F51A8" w:rsidP="00267AC2">
            <w:pPr>
              <w:jc w:val="both"/>
              <w:rPr>
                <w:rFonts w:ascii="Times New Roman" w:hAnsi="Times New Roman"/>
                <w:sz w:val="24"/>
                <w:szCs w:val="24"/>
              </w:rPr>
            </w:pPr>
            <w:r w:rsidRPr="002D7D6D">
              <w:rPr>
                <w:rFonts w:ascii="Times New Roman" w:hAnsi="Times New Roman"/>
                <w:sz w:val="24"/>
                <w:szCs w:val="24"/>
              </w:rPr>
              <w:t>Подпомагане на проекти за повишаване на енергийната ефективност в стопанствата</w:t>
            </w:r>
          </w:p>
        </w:tc>
        <w:tc>
          <w:tcPr>
            <w:tcW w:w="4320" w:type="dxa"/>
          </w:tcPr>
          <w:p w:rsidR="006F51A8" w:rsidRPr="002D7D6D" w:rsidRDefault="006F51A8" w:rsidP="00267AC2">
            <w:pPr>
              <w:rPr>
                <w:rFonts w:ascii="Times New Roman" w:hAnsi="Times New Roman"/>
                <w:sz w:val="24"/>
                <w:szCs w:val="24"/>
              </w:rPr>
            </w:pPr>
            <w:r w:rsidRPr="002D7D6D">
              <w:rPr>
                <w:rFonts w:ascii="Times New Roman" w:hAnsi="Times New Roman"/>
                <w:sz w:val="24"/>
                <w:szCs w:val="24"/>
              </w:rPr>
              <w:t>Инвестициите по проекта водят до повишаване на енергийната ефективност с минимум 5 % за земеделското стопанство</w:t>
            </w:r>
          </w:p>
        </w:tc>
        <w:tc>
          <w:tcPr>
            <w:tcW w:w="990" w:type="dxa"/>
          </w:tcPr>
          <w:p w:rsidR="006F51A8" w:rsidRPr="002D7D6D" w:rsidRDefault="006F51A8" w:rsidP="00267AC2">
            <w:pPr>
              <w:rPr>
                <w:rFonts w:ascii="Times New Roman" w:hAnsi="Times New Roman"/>
                <w:b/>
                <w:sz w:val="24"/>
                <w:szCs w:val="24"/>
              </w:rPr>
            </w:pPr>
            <w:r w:rsidRPr="002D7D6D">
              <w:rPr>
                <w:rFonts w:ascii="Times New Roman" w:hAnsi="Times New Roman"/>
                <w:b/>
                <w:sz w:val="24"/>
                <w:szCs w:val="24"/>
              </w:rPr>
              <w:t xml:space="preserve">10 т. </w:t>
            </w:r>
          </w:p>
        </w:tc>
      </w:tr>
    </w:tbl>
    <w:p w:rsidR="009B2F31"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Минимален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6F51A8">
        <w:rPr>
          <w:rFonts w:ascii="Times New Roman" w:eastAsia="Times New Roman" w:hAnsi="Times New Roman"/>
          <w:b/>
          <w:sz w:val="24"/>
          <w:szCs w:val="24"/>
        </w:rPr>
        <w:t>1</w:t>
      </w:r>
      <w:r>
        <w:rPr>
          <w:rFonts w:ascii="Times New Roman" w:eastAsia="Times New Roman" w:hAnsi="Times New Roman"/>
          <w:b/>
          <w:sz w:val="24"/>
          <w:szCs w:val="24"/>
        </w:rPr>
        <w:t xml:space="preserve"> : 10 точки </w:t>
      </w:r>
    </w:p>
    <w:p w:rsidR="00C541BC" w:rsidRDefault="00C541BC" w:rsidP="00FF56A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Максимален брой точки по </w:t>
      </w:r>
      <w:proofErr w:type="spellStart"/>
      <w:r>
        <w:rPr>
          <w:rFonts w:ascii="Times New Roman" w:eastAsia="Times New Roman" w:hAnsi="Times New Roman"/>
          <w:b/>
          <w:sz w:val="24"/>
          <w:szCs w:val="24"/>
        </w:rPr>
        <w:t>подмярка</w:t>
      </w:r>
      <w:proofErr w:type="spellEnd"/>
      <w:r>
        <w:rPr>
          <w:rFonts w:ascii="Times New Roman" w:eastAsia="Times New Roman" w:hAnsi="Times New Roman"/>
          <w:b/>
          <w:sz w:val="24"/>
          <w:szCs w:val="24"/>
        </w:rPr>
        <w:t xml:space="preserve"> </w:t>
      </w:r>
      <w:r w:rsidR="006F51A8">
        <w:rPr>
          <w:rFonts w:ascii="Times New Roman" w:eastAsia="Times New Roman" w:hAnsi="Times New Roman"/>
          <w:b/>
          <w:sz w:val="24"/>
          <w:szCs w:val="24"/>
        </w:rPr>
        <w:t>4</w:t>
      </w:r>
      <w:r>
        <w:rPr>
          <w:rFonts w:ascii="Times New Roman" w:eastAsia="Times New Roman" w:hAnsi="Times New Roman"/>
          <w:b/>
          <w:sz w:val="24"/>
          <w:szCs w:val="24"/>
        </w:rPr>
        <w:t>.</w:t>
      </w:r>
      <w:r w:rsidR="006F51A8">
        <w:rPr>
          <w:rFonts w:ascii="Times New Roman" w:eastAsia="Times New Roman" w:hAnsi="Times New Roman"/>
          <w:b/>
          <w:sz w:val="24"/>
          <w:szCs w:val="24"/>
        </w:rPr>
        <w:t>1</w:t>
      </w:r>
      <w:r>
        <w:rPr>
          <w:rFonts w:ascii="Times New Roman" w:eastAsia="Times New Roman" w:hAnsi="Times New Roman"/>
          <w:b/>
          <w:sz w:val="24"/>
          <w:szCs w:val="24"/>
        </w:rPr>
        <w:t xml:space="preserve">: </w:t>
      </w:r>
      <w:r w:rsidR="006F51A8">
        <w:rPr>
          <w:rFonts w:ascii="Times New Roman" w:eastAsia="Times New Roman" w:hAnsi="Times New Roman"/>
          <w:b/>
          <w:sz w:val="24"/>
          <w:szCs w:val="24"/>
        </w:rPr>
        <w:t>12</w:t>
      </w:r>
      <w:r>
        <w:rPr>
          <w:rFonts w:ascii="Times New Roman" w:eastAsia="Times New Roman" w:hAnsi="Times New Roman"/>
          <w:b/>
          <w:sz w:val="24"/>
          <w:szCs w:val="24"/>
        </w:rPr>
        <w:t xml:space="preserve">0 точки </w:t>
      </w:r>
    </w:p>
    <w:p w:rsidR="009B2F31" w:rsidRDefault="009B2F31" w:rsidP="00FF56A9">
      <w:pPr>
        <w:spacing w:after="0" w:line="240" w:lineRule="auto"/>
        <w:jc w:val="both"/>
        <w:rPr>
          <w:rFonts w:ascii="Times New Roman" w:eastAsia="Times New Roman" w:hAnsi="Times New Roman"/>
          <w:b/>
          <w:sz w:val="24"/>
          <w:szCs w:val="24"/>
        </w:rPr>
      </w:pPr>
    </w:p>
    <w:p w:rsidR="00B269F5" w:rsidRPr="008B657A" w:rsidRDefault="00B269F5"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Л</w:t>
      </w:r>
      <w:proofErr w:type="spellStart"/>
      <w:r w:rsidRPr="008B657A">
        <w:rPr>
          <w:rFonts w:ascii="Times New Roman" w:eastAsia="Times New Roman" w:hAnsi="Times New Roman"/>
          <w:b/>
          <w:i/>
          <w:color w:val="000000"/>
          <w:spacing w:val="-10"/>
          <w:sz w:val="24"/>
          <w:szCs w:val="24"/>
          <w:shd w:val="clear" w:color="auto" w:fill="FFFFFF"/>
          <w:lang w:val="en-US"/>
        </w:rPr>
        <w:t>ице</w:t>
      </w:r>
      <w:proofErr w:type="spellEnd"/>
      <w:r w:rsidRPr="008B657A">
        <w:rPr>
          <w:rFonts w:ascii="Times New Roman" w:eastAsia="Times New Roman" w:hAnsi="Times New Roman"/>
          <w:b/>
          <w:i/>
          <w:color w:val="000000"/>
          <w:spacing w:val="-10"/>
          <w:sz w:val="24"/>
          <w:szCs w:val="24"/>
          <w:shd w:val="clear" w:color="auto" w:fill="FFFFFF"/>
          <w:lang w:val="en-US"/>
        </w:rPr>
        <w:t xml:space="preserve">/а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контакт</w:t>
      </w:r>
      <w:proofErr w:type="spellEnd"/>
      <w:r w:rsidRPr="008B657A">
        <w:rPr>
          <w:rFonts w:ascii="Times New Roman" w:eastAsia="Times New Roman" w:hAnsi="Times New Roman"/>
          <w:b/>
          <w:i/>
          <w:color w:val="000000"/>
          <w:spacing w:val="-10"/>
          <w:sz w:val="24"/>
          <w:szCs w:val="24"/>
          <w:shd w:val="clear" w:color="auto" w:fill="FFFFFF"/>
          <w:lang w:val="en-US"/>
        </w:rPr>
        <w:t xml:space="preserve"> и </w:t>
      </w:r>
      <w:proofErr w:type="spellStart"/>
      <w:r w:rsidRPr="008B657A">
        <w:rPr>
          <w:rFonts w:ascii="Times New Roman" w:eastAsia="Times New Roman" w:hAnsi="Times New Roman"/>
          <w:b/>
          <w:i/>
          <w:color w:val="000000"/>
          <w:spacing w:val="-10"/>
          <w:sz w:val="24"/>
          <w:szCs w:val="24"/>
          <w:shd w:val="clear" w:color="auto" w:fill="FFFFFF"/>
          <w:lang w:val="en-US"/>
        </w:rPr>
        <w:t>място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за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достъп</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до</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подробна</w:t>
      </w:r>
      <w:proofErr w:type="spellEnd"/>
      <w:r w:rsidRPr="008B657A">
        <w:rPr>
          <w:rFonts w:ascii="Times New Roman" w:eastAsia="Times New Roman" w:hAnsi="Times New Roman"/>
          <w:b/>
          <w:i/>
          <w:color w:val="000000"/>
          <w:spacing w:val="-10"/>
          <w:sz w:val="24"/>
          <w:szCs w:val="24"/>
          <w:shd w:val="clear" w:color="auto" w:fill="FFFFFF"/>
          <w:lang w:val="en-US"/>
        </w:rPr>
        <w:t xml:space="preserve"> </w:t>
      </w:r>
      <w:proofErr w:type="spellStart"/>
      <w:r w:rsidRPr="008B657A">
        <w:rPr>
          <w:rFonts w:ascii="Times New Roman" w:eastAsia="Times New Roman" w:hAnsi="Times New Roman"/>
          <w:b/>
          <w:i/>
          <w:color w:val="000000"/>
          <w:spacing w:val="-10"/>
          <w:sz w:val="24"/>
          <w:szCs w:val="24"/>
          <w:shd w:val="clear" w:color="auto" w:fill="FFFFFF"/>
          <w:lang w:val="en-US"/>
        </w:rPr>
        <w:t>информация</w:t>
      </w:r>
      <w:proofErr w:type="spellEnd"/>
      <w:r w:rsidRPr="008B657A">
        <w:rPr>
          <w:rFonts w:ascii="Times New Roman" w:eastAsia="Times New Roman" w:hAnsi="Times New Roman"/>
          <w:b/>
          <w:i/>
          <w:color w:val="000000"/>
          <w:spacing w:val="-10"/>
          <w:sz w:val="24"/>
          <w:szCs w:val="24"/>
          <w:shd w:val="clear" w:color="auto" w:fill="FFFFFF"/>
        </w:rPr>
        <w:t>:</w:t>
      </w:r>
    </w:p>
    <w:p w:rsidR="003D1BD8" w:rsidRPr="008B657A" w:rsidRDefault="003D1BD8" w:rsidP="00FF56A9">
      <w:pPr>
        <w:spacing w:after="0" w:line="240" w:lineRule="auto"/>
        <w:jc w:val="both"/>
        <w:rPr>
          <w:rFonts w:ascii="Times New Roman" w:eastAsia="Times New Roman" w:hAnsi="Times New Roman"/>
          <w:sz w:val="24"/>
          <w:szCs w:val="24"/>
        </w:rPr>
      </w:pPr>
    </w:p>
    <w:p w:rsidR="003D1BD8"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i/>
          <w:sz w:val="24"/>
          <w:szCs w:val="24"/>
        </w:rPr>
        <w:t>За контакти</w:t>
      </w:r>
      <w:r w:rsidRPr="008B657A">
        <w:rPr>
          <w:rFonts w:ascii="Times New Roman" w:eastAsia="Times New Roman" w:hAnsi="Times New Roman"/>
          <w:sz w:val="24"/>
          <w:szCs w:val="24"/>
        </w:rPr>
        <w:t xml:space="preserve">: </w:t>
      </w:r>
    </w:p>
    <w:p w:rsidR="00B269F5" w:rsidRDefault="008E06C1" w:rsidP="003D1BD8">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инж. Коста Стоянов </w:t>
      </w:r>
      <w:r w:rsidR="00B269F5" w:rsidRPr="008B657A">
        <w:rPr>
          <w:rFonts w:ascii="Times New Roman" w:eastAsia="Times New Roman" w:hAnsi="Times New Roman"/>
          <w:sz w:val="24"/>
          <w:szCs w:val="24"/>
        </w:rPr>
        <w:t xml:space="preserve"> – изпълнителен директор на МИГ </w:t>
      </w:r>
      <w:r>
        <w:rPr>
          <w:rFonts w:ascii="Times New Roman" w:eastAsia="Times New Roman" w:hAnsi="Times New Roman"/>
          <w:sz w:val="24"/>
          <w:szCs w:val="24"/>
        </w:rPr>
        <w:t>Долни Чифлик и Бяла</w:t>
      </w:r>
      <w:r w:rsidR="00B269F5" w:rsidRPr="008B657A">
        <w:rPr>
          <w:rFonts w:ascii="Times New Roman" w:eastAsia="Times New Roman" w:hAnsi="Times New Roman"/>
          <w:sz w:val="24"/>
          <w:szCs w:val="24"/>
        </w:rPr>
        <w:t>;</w:t>
      </w:r>
    </w:p>
    <w:p w:rsidR="00FE4760" w:rsidRPr="00DD6862" w:rsidRDefault="00FE4760"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 xml:space="preserve">Венелин Миланов </w:t>
      </w:r>
      <w:r w:rsidR="00DD6862" w:rsidRPr="00DD6862">
        <w:rPr>
          <w:rFonts w:ascii="Times New Roman" w:eastAsia="Times New Roman" w:hAnsi="Times New Roman"/>
          <w:sz w:val="24"/>
          <w:szCs w:val="24"/>
        </w:rPr>
        <w:t>–</w:t>
      </w:r>
      <w:r w:rsidRPr="00DD6862">
        <w:rPr>
          <w:rFonts w:ascii="Times New Roman" w:eastAsia="Times New Roman" w:hAnsi="Times New Roman"/>
          <w:sz w:val="24"/>
          <w:szCs w:val="24"/>
        </w:rPr>
        <w:t xml:space="preserve"> </w:t>
      </w:r>
      <w:r w:rsidR="00DD6862" w:rsidRPr="00DD6862">
        <w:rPr>
          <w:rFonts w:ascii="Times New Roman" w:eastAsia="Times New Roman" w:hAnsi="Times New Roman"/>
          <w:sz w:val="24"/>
          <w:szCs w:val="24"/>
        </w:rPr>
        <w:t>експерт ВОМР</w:t>
      </w:r>
    </w:p>
    <w:p w:rsidR="00DD6862" w:rsidRPr="00DD6862" w:rsidRDefault="00DD6862" w:rsidP="003D1BD8">
      <w:pPr>
        <w:spacing w:after="120" w:line="240" w:lineRule="auto"/>
        <w:jc w:val="both"/>
        <w:rPr>
          <w:rFonts w:ascii="Times New Roman" w:eastAsia="Times New Roman" w:hAnsi="Times New Roman"/>
          <w:sz w:val="24"/>
          <w:szCs w:val="24"/>
        </w:rPr>
      </w:pPr>
      <w:r w:rsidRPr="00DD6862">
        <w:rPr>
          <w:rFonts w:ascii="Times New Roman" w:eastAsia="Times New Roman" w:hAnsi="Times New Roman"/>
          <w:sz w:val="24"/>
          <w:szCs w:val="24"/>
        </w:rPr>
        <w:t>Цветелина Минчева – тех</w:t>
      </w:r>
      <w:r w:rsidR="00403C42">
        <w:rPr>
          <w:rFonts w:ascii="Times New Roman" w:eastAsia="Times New Roman" w:hAnsi="Times New Roman"/>
          <w:sz w:val="24"/>
          <w:szCs w:val="24"/>
        </w:rPr>
        <w:t>нически</w:t>
      </w:r>
      <w:r w:rsidRPr="00DD6862">
        <w:rPr>
          <w:rFonts w:ascii="Times New Roman" w:eastAsia="Times New Roman" w:hAnsi="Times New Roman"/>
          <w:sz w:val="24"/>
          <w:szCs w:val="24"/>
        </w:rPr>
        <w:t xml:space="preserve"> сътрудник</w:t>
      </w:r>
    </w:p>
    <w:p w:rsidR="00B269F5" w:rsidRPr="00FE4760" w:rsidRDefault="00B269F5" w:rsidP="003D1BD8">
      <w:pPr>
        <w:spacing w:after="120" w:line="240" w:lineRule="auto"/>
        <w:jc w:val="both"/>
        <w:rPr>
          <w:rFonts w:ascii="Times New Roman" w:eastAsia="Times New Roman" w:hAnsi="Times New Roman"/>
          <w:color w:val="747474"/>
          <w:sz w:val="24"/>
          <w:szCs w:val="24"/>
        </w:rPr>
      </w:pPr>
      <w:r w:rsidRPr="008B657A">
        <w:rPr>
          <w:rFonts w:ascii="Times New Roman" w:eastAsia="Times New Roman" w:hAnsi="Times New Roman"/>
          <w:sz w:val="24"/>
          <w:szCs w:val="24"/>
        </w:rPr>
        <w:t>Информация и консултации по процедурата може да получите всеки работ</w:t>
      </w:r>
      <w:r w:rsidR="00926E35" w:rsidRPr="008B657A">
        <w:rPr>
          <w:rFonts w:ascii="Times New Roman" w:eastAsia="Times New Roman" w:hAnsi="Times New Roman"/>
          <w:sz w:val="24"/>
          <w:szCs w:val="24"/>
        </w:rPr>
        <w:t xml:space="preserve">ен ден от 9.00 до 17.00 часа в офиса </w:t>
      </w:r>
      <w:r w:rsidRPr="008B657A">
        <w:rPr>
          <w:rFonts w:ascii="Times New Roman" w:eastAsia="Times New Roman" w:hAnsi="Times New Roman"/>
          <w:sz w:val="24"/>
          <w:szCs w:val="24"/>
        </w:rPr>
        <w:t xml:space="preserve">на МИГ </w:t>
      </w:r>
      <w:r w:rsidR="00CA359B">
        <w:rPr>
          <w:rFonts w:ascii="Times New Roman" w:eastAsia="Times New Roman" w:hAnsi="Times New Roman"/>
          <w:sz w:val="24"/>
          <w:szCs w:val="24"/>
        </w:rPr>
        <w:t>„</w:t>
      </w:r>
      <w:r w:rsidR="008E06C1">
        <w:rPr>
          <w:rFonts w:ascii="Times New Roman" w:eastAsia="Times New Roman" w:hAnsi="Times New Roman"/>
          <w:sz w:val="24"/>
          <w:szCs w:val="24"/>
        </w:rPr>
        <w:t>Долни Чифлик и Бяла</w:t>
      </w:r>
      <w:r w:rsidR="00CA359B">
        <w:rPr>
          <w:rFonts w:ascii="Times New Roman" w:eastAsia="Times New Roman" w:hAnsi="Times New Roman"/>
          <w:sz w:val="24"/>
          <w:szCs w:val="24"/>
        </w:rPr>
        <w:t>”</w:t>
      </w:r>
      <w:r w:rsidRPr="008B657A">
        <w:rPr>
          <w:rFonts w:ascii="Times New Roman" w:eastAsia="Times New Roman" w:hAnsi="Times New Roman"/>
          <w:sz w:val="24"/>
          <w:szCs w:val="24"/>
        </w:rPr>
        <w:t xml:space="preserve"> </w:t>
      </w:r>
      <w:r w:rsidR="003D1BD8" w:rsidRPr="008B657A">
        <w:rPr>
          <w:rFonts w:ascii="Times New Roman" w:eastAsia="Times New Roman" w:hAnsi="Times New Roman"/>
          <w:sz w:val="24"/>
          <w:szCs w:val="24"/>
        </w:rPr>
        <w:t xml:space="preserve">на адрес: </w:t>
      </w:r>
      <w:r w:rsidR="008E06C1">
        <w:rPr>
          <w:rFonts w:ascii="Times New Roman" w:eastAsia="Times New Roman" w:hAnsi="Times New Roman"/>
          <w:sz w:val="24"/>
          <w:szCs w:val="24"/>
        </w:rPr>
        <w:t>гр.</w:t>
      </w:r>
      <w:r w:rsidR="00403C42">
        <w:rPr>
          <w:rFonts w:ascii="Times New Roman" w:eastAsia="Times New Roman" w:hAnsi="Times New Roman"/>
          <w:sz w:val="24"/>
          <w:szCs w:val="24"/>
        </w:rPr>
        <w:t xml:space="preserve"> </w:t>
      </w:r>
      <w:r w:rsidR="008E06C1">
        <w:rPr>
          <w:rFonts w:ascii="Times New Roman" w:eastAsia="Times New Roman" w:hAnsi="Times New Roman"/>
          <w:sz w:val="24"/>
          <w:szCs w:val="24"/>
        </w:rPr>
        <w:t>Бяла, област Варна, ул. „</w:t>
      </w:r>
      <w:r w:rsidR="00376EC6">
        <w:rPr>
          <w:rFonts w:ascii="Times New Roman" w:eastAsia="Times New Roman" w:hAnsi="Times New Roman"/>
          <w:sz w:val="24"/>
          <w:szCs w:val="24"/>
        </w:rPr>
        <w:t>Иван Калчев</w:t>
      </w:r>
      <w:r w:rsidR="008E06C1">
        <w:rPr>
          <w:rFonts w:ascii="Times New Roman" w:eastAsia="Times New Roman" w:hAnsi="Times New Roman"/>
          <w:sz w:val="24"/>
          <w:szCs w:val="24"/>
        </w:rPr>
        <w:t xml:space="preserve">” № </w:t>
      </w:r>
      <w:r w:rsidR="00376EC6">
        <w:rPr>
          <w:rFonts w:ascii="Times New Roman" w:eastAsia="Times New Roman" w:hAnsi="Times New Roman"/>
          <w:sz w:val="24"/>
          <w:szCs w:val="24"/>
        </w:rPr>
        <w:t>2</w:t>
      </w:r>
      <w:r w:rsidR="008E06C1">
        <w:rPr>
          <w:rFonts w:ascii="Times New Roman" w:eastAsia="Times New Roman" w:hAnsi="Times New Roman"/>
          <w:sz w:val="24"/>
          <w:szCs w:val="24"/>
        </w:rPr>
        <w:t xml:space="preserve">, </w:t>
      </w:r>
      <w:r w:rsidRPr="00DD6862">
        <w:rPr>
          <w:rFonts w:ascii="Times New Roman" w:eastAsia="Times New Roman" w:hAnsi="Times New Roman"/>
          <w:sz w:val="24"/>
          <w:szCs w:val="24"/>
        </w:rPr>
        <w:t>тел</w:t>
      </w:r>
      <w:r w:rsidRPr="00E769A8">
        <w:rPr>
          <w:rFonts w:ascii="Times New Roman" w:eastAsia="Times New Roman" w:hAnsi="Times New Roman"/>
          <w:sz w:val="24"/>
          <w:szCs w:val="24"/>
        </w:rPr>
        <w:t xml:space="preserve">.: </w:t>
      </w:r>
      <w:r w:rsidR="00FE4760" w:rsidRPr="00E769A8">
        <w:rPr>
          <w:rFonts w:ascii="Times New Roman" w:hAnsi="Times New Roman"/>
          <w:sz w:val="24"/>
          <w:szCs w:val="24"/>
        </w:rPr>
        <w:t xml:space="preserve">0878 945154, </w:t>
      </w:r>
      <w:r w:rsidR="00DD6862" w:rsidRPr="00E769A8">
        <w:rPr>
          <w:rFonts w:ascii="Times New Roman" w:hAnsi="Times New Roman"/>
          <w:sz w:val="24"/>
          <w:szCs w:val="24"/>
        </w:rPr>
        <w:t>0889200102, 0886810024</w:t>
      </w:r>
      <w:r w:rsidR="00E769A8">
        <w:rPr>
          <w:rFonts w:ascii="Times New Roman" w:hAnsi="Times New Roman"/>
          <w:sz w:val="24"/>
          <w:szCs w:val="24"/>
        </w:rPr>
        <w:t>.</w:t>
      </w:r>
    </w:p>
    <w:p w:rsidR="00B269F5" w:rsidRPr="008B657A" w:rsidRDefault="00B269F5" w:rsidP="003D1BD8">
      <w:pPr>
        <w:spacing w:after="12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269F5" w:rsidRPr="000D5BA8" w:rsidRDefault="00FE4760" w:rsidP="003D1BD8">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Адрес на електронна поща</w:t>
      </w:r>
      <w:r w:rsidR="000D5BA8">
        <w:rPr>
          <w:rFonts w:ascii="Times New Roman" w:eastAsia="Times New Roman" w:hAnsi="Times New Roman"/>
          <w:sz w:val="24"/>
          <w:szCs w:val="24"/>
        </w:rPr>
        <w:t>:</w:t>
      </w:r>
      <w:r>
        <w:rPr>
          <w:rFonts w:ascii="Times New Roman" w:eastAsia="Times New Roman" w:hAnsi="Times New Roman"/>
          <w:sz w:val="24"/>
          <w:szCs w:val="24"/>
        </w:rPr>
        <w:t xml:space="preserve">  </w:t>
      </w:r>
      <w:r w:rsidRPr="00E769A8">
        <w:rPr>
          <w:rFonts w:ascii="Times New Roman" w:hAnsi="Times New Roman"/>
          <w:b/>
          <w:sz w:val="24"/>
          <w:szCs w:val="24"/>
        </w:rPr>
        <w:t>migd4b@abv.bg</w:t>
      </w:r>
    </w:p>
    <w:p w:rsidR="002361F6" w:rsidRDefault="00EA2FB9" w:rsidP="003D1BD8">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Разясненията </w:t>
      </w:r>
      <w:r w:rsidRPr="00EA2FB9">
        <w:rPr>
          <w:rFonts w:ascii="Times New Roman" w:eastAsia="Times New Roman" w:hAnsi="Times New Roman"/>
          <w:sz w:val="24"/>
          <w:szCs w:val="24"/>
        </w:rPr>
        <w:t>се публикуват на електронната страница на МИГ „Долни Чифлик и Бяла“ и в ИСУН в 10-дневен срок от получаване на искането, но не по-късно от две седмици преди изтичането на срока за кандидатстване и са задължителни за всички кандидати</w:t>
      </w:r>
      <w:r w:rsidR="002361F6">
        <w:rPr>
          <w:rFonts w:ascii="Times New Roman" w:eastAsia="Times New Roman" w:hAnsi="Times New Roman"/>
          <w:sz w:val="24"/>
          <w:szCs w:val="24"/>
        </w:rPr>
        <w:t>.</w:t>
      </w:r>
    </w:p>
    <w:p w:rsidR="00BF5A6F" w:rsidRPr="008B657A" w:rsidRDefault="00BF5A6F" w:rsidP="003D1BD8">
      <w:pPr>
        <w:spacing w:after="0" w:line="240" w:lineRule="auto"/>
        <w:jc w:val="both"/>
        <w:rPr>
          <w:rFonts w:ascii="Times New Roman" w:eastAsia="Times New Roman" w:hAnsi="Times New Roman"/>
          <w:sz w:val="24"/>
          <w:szCs w:val="24"/>
        </w:rPr>
      </w:pPr>
      <w:proofErr w:type="spellStart"/>
      <w:r w:rsidRPr="008B657A">
        <w:rPr>
          <w:rFonts w:ascii="Times New Roman" w:eastAsia="Times New Roman" w:hAnsi="Times New Roman"/>
          <w:sz w:val="24"/>
          <w:szCs w:val="24"/>
          <w:lang w:val="en-US"/>
        </w:rPr>
        <w:t>Пълният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пакет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документи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за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кандидатстване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публикувани</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на</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следните</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интернет</w:t>
      </w:r>
      <w:proofErr w:type="spellEnd"/>
      <w:r w:rsidRPr="008B657A">
        <w:rPr>
          <w:rFonts w:ascii="Times New Roman" w:eastAsia="Times New Roman" w:hAnsi="Times New Roman"/>
          <w:sz w:val="24"/>
          <w:szCs w:val="24"/>
          <w:lang w:val="en-US"/>
        </w:rPr>
        <w:t xml:space="preserve"> </w:t>
      </w:r>
      <w:proofErr w:type="spellStart"/>
      <w:r w:rsidRPr="008B657A">
        <w:rPr>
          <w:rFonts w:ascii="Times New Roman" w:eastAsia="Times New Roman" w:hAnsi="Times New Roman"/>
          <w:sz w:val="24"/>
          <w:szCs w:val="24"/>
          <w:lang w:val="en-US"/>
        </w:rPr>
        <w:t>адреси</w:t>
      </w:r>
      <w:proofErr w:type="spellEnd"/>
      <w:r w:rsidRPr="008B657A">
        <w:rPr>
          <w:rFonts w:ascii="Times New Roman" w:eastAsia="Times New Roman" w:hAnsi="Times New Roman"/>
          <w:sz w:val="24"/>
          <w:szCs w:val="24"/>
          <w:lang w:val="en-US"/>
        </w:rPr>
        <w:t xml:space="preserve">: </w:t>
      </w:r>
    </w:p>
    <w:p w:rsidR="00BF5A6F" w:rsidRPr="008B657A" w:rsidRDefault="00BF5A6F"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rPr>
        <w:t xml:space="preserve">- на сайта на сдружение </w:t>
      </w:r>
      <w:r w:rsidR="008E06C1">
        <w:rPr>
          <w:rFonts w:ascii="Times New Roman" w:eastAsia="Times New Roman" w:hAnsi="Times New Roman"/>
          <w:sz w:val="24"/>
          <w:szCs w:val="24"/>
        </w:rPr>
        <w:t xml:space="preserve">МИГ </w:t>
      </w:r>
      <w:r w:rsidR="00B269F5" w:rsidRPr="008B657A">
        <w:rPr>
          <w:rFonts w:ascii="Times New Roman" w:eastAsia="Times New Roman" w:hAnsi="Times New Roman"/>
          <w:sz w:val="24"/>
          <w:szCs w:val="24"/>
        </w:rPr>
        <w:t>“</w:t>
      </w:r>
      <w:r w:rsidR="008E06C1">
        <w:rPr>
          <w:rFonts w:ascii="Times New Roman" w:eastAsia="Times New Roman" w:hAnsi="Times New Roman"/>
          <w:sz w:val="24"/>
          <w:szCs w:val="24"/>
        </w:rPr>
        <w:t xml:space="preserve">Долни Чифлик и Бяла” </w:t>
      </w:r>
      <w:r w:rsidR="00B269F5" w:rsidRPr="008B657A">
        <w:rPr>
          <w:rFonts w:ascii="Times New Roman" w:eastAsia="Times New Roman" w:hAnsi="Times New Roman"/>
          <w:sz w:val="24"/>
          <w:szCs w:val="24"/>
        </w:rPr>
        <w:t xml:space="preserve">: </w:t>
      </w:r>
      <w:hyperlink r:id="rId9" w:history="1">
        <w:r w:rsidR="006F51A8" w:rsidRPr="00E72EBD">
          <w:rPr>
            <w:rStyle w:val="Hyperlink"/>
            <w:rFonts w:ascii="Times New Roman" w:eastAsia="Times New Roman" w:hAnsi="Times New Roman"/>
            <w:sz w:val="24"/>
            <w:szCs w:val="24"/>
          </w:rPr>
          <w:t>http://www.mig-db.org/</w:t>
        </w:r>
      </w:hyperlink>
      <w:r w:rsidR="006F51A8">
        <w:rPr>
          <w:rFonts w:ascii="Times New Roman" w:eastAsia="Times New Roman" w:hAnsi="Times New Roman"/>
          <w:sz w:val="24"/>
          <w:szCs w:val="24"/>
        </w:rPr>
        <w:t xml:space="preserve"> </w:t>
      </w:r>
    </w:p>
    <w:p w:rsidR="00B269F5" w:rsidRPr="008B657A" w:rsidRDefault="003D1BD8" w:rsidP="003D1BD8">
      <w:pPr>
        <w:spacing w:after="0" w:line="240" w:lineRule="auto"/>
        <w:jc w:val="both"/>
        <w:rPr>
          <w:rFonts w:ascii="Times New Roman" w:eastAsia="Times New Roman" w:hAnsi="Times New Roman"/>
          <w:sz w:val="24"/>
          <w:szCs w:val="24"/>
        </w:rPr>
      </w:pPr>
      <w:r w:rsidRPr="008B657A">
        <w:rPr>
          <w:rFonts w:ascii="Times New Roman" w:eastAsia="Times New Roman" w:hAnsi="Times New Roman"/>
          <w:sz w:val="24"/>
          <w:szCs w:val="24"/>
          <w:lang w:val="en-US"/>
        </w:rPr>
        <w:t>-</w:t>
      </w:r>
      <w:r w:rsidRPr="008B657A">
        <w:rPr>
          <w:rFonts w:ascii="Times New Roman" w:eastAsia="Times New Roman" w:hAnsi="Times New Roman"/>
          <w:sz w:val="24"/>
          <w:szCs w:val="24"/>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сайта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Информационната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система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управление</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наблюдение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на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средствата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от</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Европейските</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структурни</w:t>
      </w:r>
      <w:proofErr w:type="spellEnd"/>
      <w:r w:rsidR="00BF5A6F" w:rsidRPr="008B657A">
        <w:rPr>
          <w:rFonts w:ascii="Times New Roman" w:eastAsia="Times New Roman" w:hAnsi="Times New Roman"/>
          <w:sz w:val="24"/>
          <w:szCs w:val="24"/>
          <w:lang w:val="en-US"/>
        </w:rPr>
        <w:t xml:space="preserve"> и </w:t>
      </w:r>
      <w:proofErr w:type="spellStart"/>
      <w:r w:rsidR="00BF5A6F" w:rsidRPr="008B657A">
        <w:rPr>
          <w:rFonts w:ascii="Times New Roman" w:eastAsia="Times New Roman" w:hAnsi="Times New Roman"/>
          <w:sz w:val="24"/>
          <w:szCs w:val="24"/>
          <w:lang w:val="en-US"/>
        </w:rPr>
        <w:t>инвестиционни</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фондове</w:t>
      </w:r>
      <w:proofErr w:type="spellEnd"/>
      <w:r w:rsidR="00BF5A6F" w:rsidRPr="008B657A">
        <w:rPr>
          <w:rFonts w:ascii="Times New Roman" w:eastAsia="Times New Roman" w:hAnsi="Times New Roman"/>
          <w:sz w:val="24"/>
          <w:szCs w:val="24"/>
          <w:lang w:val="en-US"/>
        </w:rPr>
        <w:t xml:space="preserve"> (ИСУН 2020) в </w:t>
      </w:r>
      <w:proofErr w:type="spellStart"/>
      <w:r w:rsidR="00BF5A6F" w:rsidRPr="008B657A">
        <w:rPr>
          <w:rFonts w:ascii="Times New Roman" w:eastAsia="Times New Roman" w:hAnsi="Times New Roman"/>
          <w:sz w:val="24"/>
          <w:szCs w:val="24"/>
          <w:lang w:val="en-US"/>
        </w:rPr>
        <w:t>модула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за</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електронно</w:t>
      </w:r>
      <w:proofErr w:type="spellEnd"/>
      <w:r w:rsidR="00BF5A6F" w:rsidRPr="008B657A">
        <w:rPr>
          <w:rFonts w:ascii="Times New Roman" w:eastAsia="Times New Roman" w:hAnsi="Times New Roman"/>
          <w:sz w:val="24"/>
          <w:szCs w:val="24"/>
          <w:lang w:val="en-US"/>
        </w:rPr>
        <w:t xml:space="preserve"> </w:t>
      </w:r>
      <w:proofErr w:type="spellStart"/>
      <w:r w:rsidR="00BF5A6F" w:rsidRPr="008B657A">
        <w:rPr>
          <w:rFonts w:ascii="Times New Roman" w:eastAsia="Times New Roman" w:hAnsi="Times New Roman"/>
          <w:sz w:val="24"/>
          <w:szCs w:val="24"/>
          <w:lang w:val="en-US"/>
        </w:rPr>
        <w:t>кандидатстване</w:t>
      </w:r>
      <w:proofErr w:type="spellEnd"/>
      <w:r w:rsidR="00BF5A6F" w:rsidRPr="008B657A">
        <w:rPr>
          <w:rFonts w:ascii="Times New Roman" w:eastAsia="Times New Roman" w:hAnsi="Times New Roman"/>
          <w:sz w:val="24"/>
          <w:szCs w:val="24"/>
          <w:lang w:val="en-US"/>
        </w:rPr>
        <w:t xml:space="preserve">: </w:t>
      </w:r>
      <w:hyperlink r:id="rId10" w:history="1">
        <w:r w:rsidR="00BF5A6F" w:rsidRPr="008B657A">
          <w:rPr>
            <w:rStyle w:val="Hyperlink"/>
            <w:rFonts w:ascii="Times New Roman" w:eastAsia="Times New Roman" w:hAnsi="Times New Roman"/>
            <w:sz w:val="24"/>
            <w:szCs w:val="24"/>
            <w:lang w:val="en-US"/>
          </w:rPr>
          <w:t>http://eumis2020.government.bg/</w:t>
        </w:r>
      </w:hyperlink>
      <w:r w:rsidR="00BF5A6F" w:rsidRPr="008B657A">
        <w:rPr>
          <w:rFonts w:ascii="Times New Roman" w:eastAsia="Times New Roman" w:hAnsi="Times New Roman"/>
          <w:sz w:val="24"/>
          <w:szCs w:val="24"/>
        </w:rPr>
        <w:t xml:space="preserve"> </w:t>
      </w:r>
    </w:p>
    <w:p w:rsidR="00BF5A6F" w:rsidRPr="008B657A" w:rsidRDefault="00BF5A6F" w:rsidP="008351DA">
      <w:pPr>
        <w:numPr>
          <w:ilvl w:val="0"/>
          <w:numId w:val="5"/>
        </w:numPr>
        <w:spacing w:after="0" w:line="240" w:lineRule="auto"/>
        <w:ind w:left="0" w:firstLine="0"/>
        <w:jc w:val="both"/>
        <w:rPr>
          <w:rFonts w:ascii="Times New Roman" w:eastAsia="Times New Roman" w:hAnsi="Times New Roman"/>
          <w:b/>
          <w:i/>
          <w:color w:val="000000"/>
          <w:spacing w:val="-10"/>
          <w:sz w:val="24"/>
          <w:szCs w:val="24"/>
          <w:shd w:val="clear" w:color="auto" w:fill="FFFFFF"/>
        </w:rPr>
      </w:pPr>
      <w:r w:rsidRPr="008B657A">
        <w:rPr>
          <w:rFonts w:ascii="Times New Roman" w:eastAsia="Times New Roman" w:hAnsi="Times New Roman"/>
          <w:b/>
          <w:i/>
          <w:color w:val="000000"/>
          <w:spacing w:val="-10"/>
          <w:sz w:val="24"/>
          <w:szCs w:val="24"/>
          <w:shd w:val="clear" w:color="auto" w:fill="FFFFFF"/>
        </w:rPr>
        <w:t>Начин за подаване на проектни предложения:</w:t>
      </w:r>
    </w:p>
    <w:p w:rsidR="00BF5A6F" w:rsidRPr="008B657A" w:rsidRDefault="00BF5A6F" w:rsidP="00FF56A9">
      <w:pPr>
        <w:spacing w:after="0" w:line="240" w:lineRule="auto"/>
        <w:jc w:val="both"/>
        <w:rPr>
          <w:rFonts w:ascii="Times New Roman" w:eastAsia="Times New Roman" w:hAnsi="Times New Roman"/>
          <w:sz w:val="24"/>
          <w:szCs w:val="24"/>
        </w:rPr>
      </w:pPr>
      <w:r w:rsidRPr="008B657A">
        <w:rPr>
          <w:rFonts w:ascii="Times New Roman" w:hAnsi="Times New Roman"/>
          <w:sz w:val="24"/>
          <w:szCs w:val="24"/>
        </w:rPr>
        <w:t xml:space="preserve">Подаването на проектно предложение по настоящата процедура се извършва по изцяло електронен път чрез </w:t>
      </w:r>
      <w:r w:rsidRPr="008B657A">
        <w:rPr>
          <w:rFonts w:ascii="Times New Roman" w:hAnsi="Times New Roman"/>
          <w:b/>
          <w:bCs/>
          <w:sz w:val="24"/>
          <w:szCs w:val="24"/>
        </w:rPr>
        <w:t>Информационната система за управление и наблюдение на Структурните инструменти на ЕС в България (ИСУН 2020) </w:t>
      </w:r>
      <w:r w:rsidRPr="008B657A">
        <w:rPr>
          <w:rFonts w:ascii="Times New Roman" w:hAnsi="Times New Roman"/>
          <w:sz w:val="24"/>
          <w:szCs w:val="24"/>
        </w:rPr>
        <w:t xml:space="preserve">в модула за електронно кандидатстване: </w:t>
      </w:r>
      <w:hyperlink r:id="rId11" w:history="1">
        <w:r w:rsidRPr="008B657A">
          <w:rPr>
            <w:rFonts w:ascii="Times New Roman" w:hAnsi="Times New Roman"/>
            <w:color w:val="0563C1"/>
            <w:sz w:val="24"/>
            <w:szCs w:val="24"/>
            <w:u w:val="single"/>
          </w:rPr>
          <w:t>http://eumis2020.government.bg/</w:t>
        </w:r>
      </w:hyperlink>
    </w:p>
    <w:sectPr w:rsidR="00BF5A6F" w:rsidRPr="008B657A" w:rsidSect="00B269F5">
      <w:headerReference w:type="default" r:id="rId12"/>
      <w:footerReference w:type="default" r:id="rId13"/>
      <w:pgSz w:w="11906" w:h="16838"/>
      <w:pgMar w:top="1224" w:right="849" w:bottom="1440" w:left="1080" w:header="284"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A5" w:rsidRDefault="00494CA5" w:rsidP="00441F18">
      <w:pPr>
        <w:spacing w:after="0" w:line="240" w:lineRule="auto"/>
      </w:pPr>
      <w:r>
        <w:separator/>
      </w:r>
    </w:p>
  </w:endnote>
  <w:endnote w:type="continuationSeparator" w:id="0">
    <w:p w:rsidR="00494CA5" w:rsidRDefault="00494CA5" w:rsidP="0044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67956"/>
      <w:docPartObj>
        <w:docPartGallery w:val="Page Numbers (Bottom of Page)"/>
        <w:docPartUnique/>
      </w:docPartObj>
    </w:sdtPr>
    <w:sdtEndPr/>
    <w:sdtContent>
      <w:sdt>
        <w:sdtPr>
          <w:id w:val="7441091"/>
          <w:docPartObj>
            <w:docPartGallery w:val="Page Numbers (Top of Page)"/>
            <w:docPartUnique/>
          </w:docPartObj>
        </w:sdtPr>
        <w:sdtEndPr/>
        <w:sdtContent>
          <w:p w:rsidR="00226AB0" w:rsidRDefault="00226AB0">
            <w:pPr>
              <w:pStyle w:val="Footer"/>
              <w:jc w:val="right"/>
            </w:pPr>
            <w:r>
              <w:t xml:space="preserve">Страница </w:t>
            </w:r>
            <w:r w:rsidR="000F7FDF">
              <w:rPr>
                <w:b/>
                <w:sz w:val="24"/>
                <w:szCs w:val="24"/>
              </w:rPr>
              <w:fldChar w:fldCharType="begin"/>
            </w:r>
            <w:r>
              <w:rPr>
                <w:b/>
              </w:rPr>
              <w:instrText>PAGE</w:instrText>
            </w:r>
            <w:r w:rsidR="000F7FDF">
              <w:rPr>
                <w:b/>
                <w:sz w:val="24"/>
                <w:szCs w:val="24"/>
              </w:rPr>
              <w:fldChar w:fldCharType="separate"/>
            </w:r>
            <w:r w:rsidR="00403C42">
              <w:rPr>
                <w:b/>
                <w:noProof/>
              </w:rPr>
              <w:t>6</w:t>
            </w:r>
            <w:r w:rsidR="000F7FDF">
              <w:rPr>
                <w:b/>
                <w:sz w:val="24"/>
                <w:szCs w:val="24"/>
              </w:rPr>
              <w:fldChar w:fldCharType="end"/>
            </w:r>
            <w:r>
              <w:t xml:space="preserve"> от </w:t>
            </w:r>
            <w:r w:rsidR="000F7FDF">
              <w:rPr>
                <w:b/>
                <w:sz w:val="24"/>
                <w:szCs w:val="24"/>
              </w:rPr>
              <w:fldChar w:fldCharType="begin"/>
            </w:r>
            <w:r>
              <w:rPr>
                <w:b/>
              </w:rPr>
              <w:instrText>NUMPAGES</w:instrText>
            </w:r>
            <w:r w:rsidR="000F7FDF">
              <w:rPr>
                <w:b/>
                <w:sz w:val="24"/>
                <w:szCs w:val="24"/>
              </w:rPr>
              <w:fldChar w:fldCharType="separate"/>
            </w:r>
            <w:r w:rsidR="00403C42">
              <w:rPr>
                <w:b/>
                <w:noProof/>
              </w:rPr>
              <w:t>8</w:t>
            </w:r>
            <w:r w:rsidR="000F7FDF">
              <w:rPr>
                <w:b/>
                <w:sz w:val="24"/>
                <w:szCs w:val="24"/>
              </w:rPr>
              <w:fldChar w:fldCharType="end"/>
            </w:r>
          </w:p>
        </w:sdtContent>
      </w:sdt>
    </w:sdtContent>
  </w:sdt>
  <w:p w:rsidR="00D34696" w:rsidRDefault="00D34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A5" w:rsidRDefault="00494CA5" w:rsidP="00441F18">
      <w:pPr>
        <w:spacing w:after="0" w:line="240" w:lineRule="auto"/>
      </w:pPr>
      <w:r>
        <w:separator/>
      </w:r>
    </w:p>
  </w:footnote>
  <w:footnote w:type="continuationSeparator" w:id="0">
    <w:p w:rsidR="00494CA5" w:rsidRDefault="00494CA5" w:rsidP="0044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D1" w:rsidRDefault="007C4FA4">
    <w:pPr>
      <w:pStyle w:val="Header"/>
      <w:rPr>
        <w:noProof/>
        <w:lang w:eastAsia="bg-BG"/>
      </w:rPr>
    </w:pPr>
    <w:r>
      <w:rPr>
        <w:noProof/>
        <w:lang w:val="en-US"/>
      </w:rPr>
      <w:drawing>
        <wp:anchor distT="0" distB="0" distL="114300" distR="114300" simplePos="0" relativeHeight="251659776" behindDoc="0" locked="0" layoutInCell="1" allowOverlap="1">
          <wp:simplePos x="0" y="0"/>
          <wp:positionH relativeFrom="column">
            <wp:posOffset>1409700</wp:posOffset>
          </wp:positionH>
          <wp:positionV relativeFrom="paragraph">
            <wp:posOffset>114935</wp:posOffset>
          </wp:positionV>
          <wp:extent cx="628650" cy="590550"/>
          <wp:effectExtent l="19050" t="0" r="0" b="0"/>
          <wp:wrapNone/>
          <wp:docPr id="8"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1"/>
                  <a:srcRect/>
                  <a:stretch>
                    <a:fillRect/>
                  </a:stretch>
                </pic:blipFill>
                <pic:spPr bwMode="auto">
                  <a:xfrm>
                    <a:off x="0" y="0"/>
                    <a:ext cx="628650" cy="5905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800" behindDoc="0" locked="0" layoutInCell="1" allowOverlap="1">
          <wp:simplePos x="0" y="0"/>
          <wp:positionH relativeFrom="column">
            <wp:posOffset>228600</wp:posOffset>
          </wp:positionH>
          <wp:positionV relativeFrom="paragraph">
            <wp:posOffset>114935</wp:posOffset>
          </wp:positionV>
          <wp:extent cx="866775" cy="581025"/>
          <wp:effectExtent l="19050" t="0" r="9525" b="0"/>
          <wp:wrapNone/>
          <wp:docPr id="7"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162560</wp:posOffset>
          </wp:positionV>
          <wp:extent cx="809625" cy="542925"/>
          <wp:effectExtent l="19050" t="0" r="952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809625"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162560</wp:posOffset>
          </wp:positionV>
          <wp:extent cx="1400175" cy="590550"/>
          <wp:effectExtent l="19050" t="0" r="9525" b="0"/>
          <wp:wrapNone/>
          <wp:docPr id="5"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anchor>
      </w:drawing>
    </w:r>
    <w:r w:rsidR="00861CD1">
      <w:rPr>
        <w:noProof/>
        <w:lang w:eastAsia="bg-BG"/>
      </w:rPr>
      <w:t xml:space="preserve">   </w:t>
    </w:r>
    <w:r w:rsidR="0026581C">
      <w:rPr>
        <w:noProof/>
        <w:lang w:val="en-US" w:eastAsia="bg-BG"/>
      </w:rPr>
      <w:t xml:space="preserve">           </w:t>
    </w:r>
    <w:r w:rsidR="00F63511">
      <w:rPr>
        <w:noProof/>
        <w:lang w:val="en-US" w:eastAsia="bg-BG"/>
      </w:rPr>
      <w:t xml:space="preserve">   </w:t>
    </w:r>
    <w:r w:rsidR="00861CD1">
      <w:rPr>
        <w:noProof/>
        <w:lang w:eastAsia="bg-BG"/>
      </w:rPr>
      <w:t xml:space="preserve">                        </w:t>
    </w:r>
  </w:p>
  <w:p w:rsidR="007C4FA4" w:rsidRDefault="007C4FA4">
    <w:pPr>
      <w:pStyle w:val="Header"/>
      <w:rPr>
        <w:noProof/>
        <w:sz w:val="16"/>
        <w:szCs w:val="16"/>
        <w:lang w:eastAsia="bg-BG"/>
      </w:rPr>
    </w:pPr>
    <w:r>
      <w:rPr>
        <w:noProof/>
        <w:sz w:val="16"/>
        <w:szCs w:val="16"/>
        <w:lang w:val="en-US"/>
      </w:rPr>
      <w:drawing>
        <wp:anchor distT="0" distB="0" distL="114300" distR="114300" simplePos="0" relativeHeight="251656704" behindDoc="0" locked="0" layoutInCell="1" allowOverlap="1">
          <wp:simplePos x="0" y="0"/>
          <wp:positionH relativeFrom="column">
            <wp:posOffset>2247900</wp:posOffset>
          </wp:positionH>
          <wp:positionV relativeFrom="paragraph">
            <wp:posOffset>115570</wp:posOffset>
          </wp:positionV>
          <wp:extent cx="1543050" cy="409575"/>
          <wp:effectExtent l="19050" t="0" r="0" b="0"/>
          <wp:wrapNone/>
          <wp:docPr id="3" name="Картина 1" descr="http://www.mig-db.org/img/logom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www.mig-db.org/img/logomig2.png"/>
                  <pic:cNvPicPr>
                    <a:picLocks noChangeAspect="1" noChangeArrowheads="1"/>
                  </pic:cNvPicPr>
                </pic:nvPicPr>
                <pic:blipFill>
                  <a:blip r:embed="rId5"/>
                  <a:srcRect/>
                  <a:stretch>
                    <a:fillRect/>
                  </a:stretch>
                </pic:blipFill>
                <pic:spPr bwMode="auto">
                  <a:xfrm>
                    <a:off x="0" y="0"/>
                    <a:ext cx="1543050" cy="409575"/>
                  </a:xfrm>
                  <a:prstGeom prst="rect">
                    <a:avLst/>
                  </a:prstGeom>
                  <a:noFill/>
                  <a:ln w="9525">
                    <a:noFill/>
                    <a:miter lim="800000"/>
                    <a:headEnd/>
                    <a:tailEnd/>
                  </a:ln>
                </pic:spPr>
              </pic:pic>
            </a:graphicData>
          </a:graphic>
        </wp:anchor>
      </w:drawing>
    </w:r>
    <w:r w:rsidR="00861CD1">
      <w:rPr>
        <w:noProof/>
        <w:sz w:val="16"/>
        <w:szCs w:val="16"/>
        <w:lang w:eastAsia="bg-BG"/>
      </w:rPr>
      <w:t xml:space="preserve">   </w:t>
    </w:r>
    <w:r w:rsidR="0026581C">
      <w:rPr>
        <w:noProof/>
        <w:sz w:val="16"/>
        <w:szCs w:val="16"/>
        <w:lang w:val="en-US" w:eastAsia="bg-BG"/>
      </w:rPr>
      <w:t xml:space="preserve">                   </w:t>
    </w:r>
  </w:p>
  <w:p w:rsidR="007C4FA4" w:rsidRDefault="007C4FA4">
    <w:pPr>
      <w:pStyle w:val="Header"/>
      <w:rPr>
        <w:noProof/>
        <w:sz w:val="16"/>
        <w:szCs w:val="16"/>
        <w:lang w:eastAsia="bg-BG"/>
      </w:rPr>
    </w:pPr>
    <w:r>
      <w:rPr>
        <w:noProof/>
        <w:sz w:val="16"/>
        <w:szCs w:val="16"/>
        <w:lang w:eastAsia="bg-BG"/>
      </w:rPr>
      <w:t xml:space="preserve">           </w:t>
    </w: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7C4FA4" w:rsidRDefault="007C4FA4">
    <w:pPr>
      <w:pStyle w:val="Header"/>
      <w:rPr>
        <w:noProof/>
        <w:sz w:val="16"/>
        <w:szCs w:val="16"/>
        <w:lang w:eastAsia="bg-BG"/>
      </w:rPr>
    </w:pPr>
  </w:p>
  <w:p w:rsidR="00861CD1" w:rsidRDefault="007C4FA4">
    <w:pPr>
      <w:pStyle w:val="Header"/>
      <w:rPr>
        <w:noProof/>
        <w:sz w:val="16"/>
        <w:szCs w:val="16"/>
        <w:lang w:eastAsia="bg-BG"/>
      </w:rPr>
    </w:pPr>
    <w:r>
      <w:rPr>
        <w:noProof/>
        <w:sz w:val="16"/>
        <w:szCs w:val="16"/>
        <w:lang w:eastAsia="bg-BG"/>
      </w:rPr>
      <w:t xml:space="preserve">    </w:t>
    </w:r>
    <w:r w:rsidR="00861CD1" w:rsidRPr="00861CD1">
      <w:rPr>
        <w:noProof/>
        <w:sz w:val="16"/>
        <w:szCs w:val="16"/>
        <w:lang w:eastAsia="bg-BG"/>
      </w:rPr>
      <w:t>ЕВРОПЕЙСКИ СЪЮЗ</w:t>
    </w:r>
  </w:p>
  <w:p w:rsidR="00B96821" w:rsidRDefault="00B96821">
    <w:pPr>
      <w:pStyle w:val="Header"/>
      <w:rPr>
        <w:noProof/>
        <w:sz w:val="16"/>
        <w:szCs w:val="16"/>
        <w:lang w:eastAsia="bg-BG"/>
      </w:rPr>
    </w:pPr>
  </w:p>
  <w:p w:rsidR="00B96821" w:rsidRPr="007C4FA4" w:rsidRDefault="00B96821" w:rsidP="007C4FA4">
    <w:pPr>
      <w:suppressAutoHyphens/>
      <w:spacing w:beforeLines="20" w:before="48" w:afterLines="20" w:after="48"/>
      <w:ind w:right="-288"/>
      <w:jc w:val="center"/>
      <w:rPr>
        <w:rFonts w:ascii="Times New Roman" w:hAnsi="Times New Roman"/>
        <w:b/>
        <w:sz w:val="20"/>
        <w:szCs w:val="20"/>
        <w:lang w:val="ru-MD" w:eastAsia="ar-SA"/>
      </w:rPr>
    </w:pPr>
    <w:r>
      <w:rPr>
        <w:rFonts w:ascii="Arial" w:hAnsi="Arial" w:cs="Arial"/>
        <w:b/>
        <w:snapToGrid w:val="0"/>
        <w:sz w:val="16"/>
        <w:szCs w:val="16"/>
        <w:lang w:val="ru-RU"/>
      </w:rPr>
      <w:t xml:space="preserve">   </w:t>
    </w:r>
    <w:r w:rsidR="007C4FA4" w:rsidRPr="007C4FA4">
      <w:rPr>
        <w:rFonts w:ascii="Times New Roman" w:hAnsi="Times New Roman"/>
        <w:b/>
        <w:sz w:val="20"/>
        <w:szCs w:val="20"/>
        <w:lang w:val="ru-MD" w:eastAsia="ar-SA"/>
      </w:rPr>
      <w:t>ПРОГРАМА ЗА РАЗВИТИЕ НА СЕЛСКИТЕ РАЙОНИ (2014-2020 Г.)</w:t>
    </w:r>
  </w:p>
  <w:p w:rsid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 xml:space="preserve">ЕВРОПЕЙСКИ ЗЕМЕДЕЛСКИ ФОНД ЗА РАЗВИТИЕ НА СЕЛСКИТЕ РАЙОНИ: </w:t>
    </w:r>
  </w:p>
  <w:p w:rsidR="00B96821" w:rsidRPr="007C4FA4" w:rsidRDefault="007C4FA4" w:rsidP="007C4FA4">
    <w:pPr>
      <w:suppressAutoHyphens/>
      <w:spacing w:beforeLines="20" w:before="48" w:afterLines="20" w:after="48"/>
      <w:ind w:right="-288"/>
      <w:jc w:val="center"/>
      <w:rPr>
        <w:rFonts w:ascii="Times New Roman" w:hAnsi="Times New Roman"/>
        <w:b/>
        <w:sz w:val="20"/>
        <w:szCs w:val="20"/>
        <w:lang w:val="ru-MD" w:eastAsia="ar-SA"/>
      </w:rPr>
    </w:pPr>
    <w:r w:rsidRPr="007C4FA4">
      <w:rPr>
        <w:rFonts w:ascii="Times New Roman" w:hAnsi="Times New Roman"/>
        <w:b/>
        <w:sz w:val="20"/>
        <w:szCs w:val="20"/>
        <w:lang w:val="ru-MD" w:eastAsia="ar-SA"/>
      </w:rPr>
      <w:t>ЕВРОПА ИНВЕСТИРА В СЕЛСКИТЕ РАЙОНИ</w:t>
    </w:r>
  </w:p>
  <w:p w:rsidR="00B96821" w:rsidRPr="007C4FA4" w:rsidRDefault="00B96821">
    <w:pPr>
      <w:pStyle w:val="Header"/>
      <w:rPr>
        <w:rFonts w:ascii="Times New Roman" w:hAnsi="Times New Roman"/>
        <w:noProof/>
        <w:sz w:val="20"/>
        <w:szCs w:val="20"/>
        <w:lang w:eastAsia="bg-BG"/>
      </w:rPr>
    </w:pPr>
  </w:p>
  <w:p w:rsidR="00B96821" w:rsidRPr="007C4FA4" w:rsidRDefault="00B96821">
    <w:pPr>
      <w:pStyle w:val="Header"/>
      <w:rPr>
        <w:rFonts w:ascii="Times New Roman" w:hAnsi="Times New Roman"/>
        <w:noProof/>
        <w:sz w:val="20"/>
        <w:szCs w:val="20"/>
        <w:lang w:eastAsia="bg-BG"/>
      </w:rPr>
    </w:pPr>
  </w:p>
  <w:p w:rsidR="00B96821" w:rsidRDefault="00B96821">
    <w:pPr>
      <w:pStyle w:val="Header"/>
      <w:rPr>
        <w:noProof/>
        <w:sz w:val="16"/>
        <w:szCs w:val="16"/>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31279"/>
    <w:multiLevelType w:val="hybridMultilevel"/>
    <w:tmpl w:val="126D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813"/>
    <w:multiLevelType w:val="hybridMultilevel"/>
    <w:tmpl w:val="D13C817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772232D"/>
    <w:multiLevelType w:val="hybridMultilevel"/>
    <w:tmpl w:val="504623A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251A158C"/>
    <w:multiLevelType w:val="hybridMultilevel"/>
    <w:tmpl w:val="9DB017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38AD08DB"/>
    <w:multiLevelType w:val="hybridMultilevel"/>
    <w:tmpl w:val="3CB8E384"/>
    <w:lvl w:ilvl="0" w:tplc="3E9418F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50A6"/>
    <w:multiLevelType w:val="hybridMultilevel"/>
    <w:tmpl w:val="D83E4B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AE53362"/>
    <w:multiLevelType w:val="hybridMultilevel"/>
    <w:tmpl w:val="FA9275D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4F47A4B"/>
    <w:multiLevelType w:val="hybridMultilevel"/>
    <w:tmpl w:val="A48C3D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4FEE362A"/>
    <w:multiLevelType w:val="hybridMultilevel"/>
    <w:tmpl w:val="6206D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66D3FC8"/>
    <w:multiLevelType w:val="hybridMultilevel"/>
    <w:tmpl w:val="DC4A7D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83515C1"/>
    <w:multiLevelType w:val="hybridMultilevel"/>
    <w:tmpl w:val="DAC42E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7CFE6357"/>
    <w:multiLevelType w:val="hybridMultilevel"/>
    <w:tmpl w:val="7AC4270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11"/>
  </w:num>
  <w:num w:numId="3">
    <w:abstractNumId w:val="3"/>
  </w:num>
  <w:num w:numId="4">
    <w:abstractNumId w:val="10"/>
  </w:num>
  <w:num w:numId="5">
    <w:abstractNumId w:val="2"/>
  </w:num>
  <w:num w:numId="6">
    <w:abstractNumId w:val="9"/>
  </w:num>
  <w:num w:numId="7">
    <w:abstractNumId w:val="6"/>
  </w:num>
  <w:num w:numId="8">
    <w:abstractNumId w:val="5"/>
  </w:num>
  <w:num w:numId="9">
    <w:abstractNumId w:val="8"/>
  </w:num>
  <w:num w:numId="10">
    <w:abstractNumId w:val="0"/>
  </w:num>
  <w:num w:numId="11">
    <w:abstractNumId w:val="7"/>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18"/>
    <w:rsid w:val="00001D0F"/>
    <w:rsid w:val="0001236E"/>
    <w:rsid w:val="000201A8"/>
    <w:rsid w:val="00020646"/>
    <w:rsid w:val="00021C7A"/>
    <w:rsid w:val="00027C61"/>
    <w:rsid w:val="00033BC5"/>
    <w:rsid w:val="000451C7"/>
    <w:rsid w:val="000461B2"/>
    <w:rsid w:val="00046C25"/>
    <w:rsid w:val="00051DF5"/>
    <w:rsid w:val="00065E78"/>
    <w:rsid w:val="000677B4"/>
    <w:rsid w:val="00074B7C"/>
    <w:rsid w:val="0009638F"/>
    <w:rsid w:val="000A6093"/>
    <w:rsid w:val="000B539E"/>
    <w:rsid w:val="000C2DD7"/>
    <w:rsid w:val="000C32A7"/>
    <w:rsid w:val="000C4754"/>
    <w:rsid w:val="000C669D"/>
    <w:rsid w:val="000D1374"/>
    <w:rsid w:val="000D2A22"/>
    <w:rsid w:val="000D2DC8"/>
    <w:rsid w:val="000D3562"/>
    <w:rsid w:val="000D5BA8"/>
    <w:rsid w:val="000D650B"/>
    <w:rsid w:val="000E0B08"/>
    <w:rsid w:val="000E19D0"/>
    <w:rsid w:val="000E3E8B"/>
    <w:rsid w:val="000F7FDF"/>
    <w:rsid w:val="0010247F"/>
    <w:rsid w:val="00112DEB"/>
    <w:rsid w:val="0011779A"/>
    <w:rsid w:val="00121462"/>
    <w:rsid w:val="00121525"/>
    <w:rsid w:val="00121986"/>
    <w:rsid w:val="0013407B"/>
    <w:rsid w:val="0013683A"/>
    <w:rsid w:val="00141F06"/>
    <w:rsid w:val="00142100"/>
    <w:rsid w:val="0014555E"/>
    <w:rsid w:val="00152A77"/>
    <w:rsid w:val="00157B60"/>
    <w:rsid w:val="0016237F"/>
    <w:rsid w:val="001907EE"/>
    <w:rsid w:val="001A4190"/>
    <w:rsid w:val="001B3BA0"/>
    <w:rsid w:val="001B44FA"/>
    <w:rsid w:val="001C231E"/>
    <w:rsid w:val="001D1591"/>
    <w:rsid w:val="001D56D9"/>
    <w:rsid w:val="001D5C31"/>
    <w:rsid w:val="001D6645"/>
    <w:rsid w:val="001E34A2"/>
    <w:rsid w:val="001E581E"/>
    <w:rsid w:val="001F0C45"/>
    <w:rsid w:val="00200CD0"/>
    <w:rsid w:val="00206F5E"/>
    <w:rsid w:val="002120FE"/>
    <w:rsid w:val="002131F1"/>
    <w:rsid w:val="00226AB0"/>
    <w:rsid w:val="00234B5B"/>
    <w:rsid w:val="002361F6"/>
    <w:rsid w:val="002548ED"/>
    <w:rsid w:val="0026151A"/>
    <w:rsid w:val="002617F9"/>
    <w:rsid w:val="0026581C"/>
    <w:rsid w:val="00265D6D"/>
    <w:rsid w:val="00267EBF"/>
    <w:rsid w:val="00280032"/>
    <w:rsid w:val="00285869"/>
    <w:rsid w:val="002909AB"/>
    <w:rsid w:val="00291FD8"/>
    <w:rsid w:val="00292B88"/>
    <w:rsid w:val="0029577E"/>
    <w:rsid w:val="00296097"/>
    <w:rsid w:val="002A34E7"/>
    <w:rsid w:val="002A6358"/>
    <w:rsid w:val="002B082A"/>
    <w:rsid w:val="002C2C45"/>
    <w:rsid w:val="00300939"/>
    <w:rsid w:val="0030584C"/>
    <w:rsid w:val="0032220F"/>
    <w:rsid w:val="003240FC"/>
    <w:rsid w:val="00330632"/>
    <w:rsid w:val="003460E0"/>
    <w:rsid w:val="003503FD"/>
    <w:rsid w:val="003547A7"/>
    <w:rsid w:val="0036402F"/>
    <w:rsid w:val="0036635A"/>
    <w:rsid w:val="00376EC6"/>
    <w:rsid w:val="003B21EC"/>
    <w:rsid w:val="003B4A17"/>
    <w:rsid w:val="003B7C60"/>
    <w:rsid w:val="003D1BD8"/>
    <w:rsid w:val="003D4151"/>
    <w:rsid w:val="003E70A7"/>
    <w:rsid w:val="003F084D"/>
    <w:rsid w:val="003F149C"/>
    <w:rsid w:val="0040089E"/>
    <w:rsid w:val="00403C42"/>
    <w:rsid w:val="00404973"/>
    <w:rsid w:val="004160F4"/>
    <w:rsid w:val="00417415"/>
    <w:rsid w:val="00426ECD"/>
    <w:rsid w:val="00441F18"/>
    <w:rsid w:val="00445261"/>
    <w:rsid w:val="0044554E"/>
    <w:rsid w:val="00451B6D"/>
    <w:rsid w:val="004554D9"/>
    <w:rsid w:val="00470104"/>
    <w:rsid w:val="00473CBB"/>
    <w:rsid w:val="00474341"/>
    <w:rsid w:val="00475BC8"/>
    <w:rsid w:val="00475C6D"/>
    <w:rsid w:val="004827FB"/>
    <w:rsid w:val="00483728"/>
    <w:rsid w:val="00486847"/>
    <w:rsid w:val="00494CA5"/>
    <w:rsid w:val="00496445"/>
    <w:rsid w:val="004A0E76"/>
    <w:rsid w:val="004A3D1A"/>
    <w:rsid w:val="004A54F5"/>
    <w:rsid w:val="004B78BA"/>
    <w:rsid w:val="004C7124"/>
    <w:rsid w:val="004F6083"/>
    <w:rsid w:val="0051603F"/>
    <w:rsid w:val="00520AF3"/>
    <w:rsid w:val="00522CC9"/>
    <w:rsid w:val="0053118A"/>
    <w:rsid w:val="00544154"/>
    <w:rsid w:val="0055268A"/>
    <w:rsid w:val="00556C19"/>
    <w:rsid w:val="00582BBB"/>
    <w:rsid w:val="00587DF3"/>
    <w:rsid w:val="00591AE4"/>
    <w:rsid w:val="00592F30"/>
    <w:rsid w:val="0059453F"/>
    <w:rsid w:val="00597A3B"/>
    <w:rsid w:val="005A395B"/>
    <w:rsid w:val="005A6635"/>
    <w:rsid w:val="005B15A3"/>
    <w:rsid w:val="005B5014"/>
    <w:rsid w:val="005B5AB4"/>
    <w:rsid w:val="005B6B04"/>
    <w:rsid w:val="005B7485"/>
    <w:rsid w:val="005C04B4"/>
    <w:rsid w:val="005C1BF7"/>
    <w:rsid w:val="005D09D3"/>
    <w:rsid w:val="005E3A47"/>
    <w:rsid w:val="005E6770"/>
    <w:rsid w:val="005F20EC"/>
    <w:rsid w:val="005F2C01"/>
    <w:rsid w:val="0060465B"/>
    <w:rsid w:val="006068CD"/>
    <w:rsid w:val="0061384E"/>
    <w:rsid w:val="006175A3"/>
    <w:rsid w:val="00617A82"/>
    <w:rsid w:val="006214CB"/>
    <w:rsid w:val="00624F06"/>
    <w:rsid w:val="00627E56"/>
    <w:rsid w:val="006346F2"/>
    <w:rsid w:val="0063498C"/>
    <w:rsid w:val="00637E2B"/>
    <w:rsid w:val="00642CE2"/>
    <w:rsid w:val="00644124"/>
    <w:rsid w:val="00644322"/>
    <w:rsid w:val="00644F2D"/>
    <w:rsid w:val="00653001"/>
    <w:rsid w:val="00662B2B"/>
    <w:rsid w:val="00672CF4"/>
    <w:rsid w:val="00677CA0"/>
    <w:rsid w:val="00681C8B"/>
    <w:rsid w:val="00684A76"/>
    <w:rsid w:val="00685DF5"/>
    <w:rsid w:val="0069200F"/>
    <w:rsid w:val="00695898"/>
    <w:rsid w:val="006A05EE"/>
    <w:rsid w:val="006A3759"/>
    <w:rsid w:val="006A45F2"/>
    <w:rsid w:val="006B3D19"/>
    <w:rsid w:val="006C21F1"/>
    <w:rsid w:val="006C2995"/>
    <w:rsid w:val="006C5A4D"/>
    <w:rsid w:val="006D7448"/>
    <w:rsid w:val="006E6C32"/>
    <w:rsid w:val="006F51A8"/>
    <w:rsid w:val="006F55B6"/>
    <w:rsid w:val="0071289E"/>
    <w:rsid w:val="00716DE5"/>
    <w:rsid w:val="007207EB"/>
    <w:rsid w:val="0072190F"/>
    <w:rsid w:val="00721A83"/>
    <w:rsid w:val="0072735C"/>
    <w:rsid w:val="00730C80"/>
    <w:rsid w:val="00750D30"/>
    <w:rsid w:val="0075272F"/>
    <w:rsid w:val="0076778E"/>
    <w:rsid w:val="007701CA"/>
    <w:rsid w:val="00771C31"/>
    <w:rsid w:val="00780327"/>
    <w:rsid w:val="00781537"/>
    <w:rsid w:val="00786849"/>
    <w:rsid w:val="00793A9F"/>
    <w:rsid w:val="007A164A"/>
    <w:rsid w:val="007A187C"/>
    <w:rsid w:val="007A1B37"/>
    <w:rsid w:val="007A516D"/>
    <w:rsid w:val="007B2FF1"/>
    <w:rsid w:val="007C09DC"/>
    <w:rsid w:val="007C14A8"/>
    <w:rsid w:val="007C4FA4"/>
    <w:rsid w:val="007C59C5"/>
    <w:rsid w:val="007D062C"/>
    <w:rsid w:val="007E5AB7"/>
    <w:rsid w:val="007E6EA7"/>
    <w:rsid w:val="007F2F35"/>
    <w:rsid w:val="008063D5"/>
    <w:rsid w:val="00815519"/>
    <w:rsid w:val="008204EA"/>
    <w:rsid w:val="00821457"/>
    <w:rsid w:val="00831C23"/>
    <w:rsid w:val="008351DA"/>
    <w:rsid w:val="00840D8E"/>
    <w:rsid w:val="008602CC"/>
    <w:rsid w:val="008607CD"/>
    <w:rsid w:val="00861CD1"/>
    <w:rsid w:val="008628C6"/>
    <w:rsid w:val="008832B1"/>
    <w:rsid w:val="00895B8F"/>
    <w:rsid w:val="008B0495"/>
    <w:rsid w:val="008B2110"/>
    <w:rsid w:val="008B657A"/>
    <w:rsid w:val="008B744E"/>
    <w:rsid w:val="008C2F19"/>
    <w:rsid w:val="008D0A77"/>
    <w:rsid w:val="008D2925"/>
    <w:rsid w:val="008D2FF3"/>
    <w:rsid w:val="008E06C1"/>
    <w:rsid w:val="008E0BB0"/>
    <w:rsid w:val="008F3126"/>
    <w:rsid w:val="008F45EB"/>
    <w:rsid w:val="00912C0E"/>
    <w:rsid w:val="00912F41"/>
    <w:rsid w:val="00926E35"/>
    <w:rsid w:val="009321F5"/>
    <w:rsid w:val="00932E13"/>
    <w:rsid w:val="00935051"/>
    <w:rsid w:val="00935942"/>
    <w:rsid w:val="00950A70"/>
    <w:rsid w:val="00957AED"/>
    <w:rsid w:val="0096455C"/>
    <w:rsid w:val="00972C35"/>
    <w:rsid w:val="0097561C"/>
    <w:rsid w:val="00980836"/>
    <w:rsid w:val="00981034"/>
    <w:rsid w:val="0099141C"/>
    <w:rsid w:val="00991F9A"/>
    <w:rsid w:val="00994A13"/>
    <w:rsid w:val="00996E3A"/>
    <w:rsid w:val="009A4BCB"/>
    <w:rsid w:val="009A771B"/>
    <w:rsid w:val="009B0579"/>
    <w:rsid w:val="009B2F31"/>
    <w:rsid w:val="009B3271"/>
    <w:rsid w:val="009B7051"/>
    <w:rsid w:val="009C55EB"/>
    <w:rsid w:val="009C5D31"/>
    <w:rsid w:val="009D40F1"/>
    <w:rsid w:val="009D6290"/>
    <w:rsid w:val="009F7149"/>
    <w:rsid w:val="009F7FB8"/>
    <w:rsid w:val="00A12114"/>
    <w:rsid w:val="00A13844"/>
    <w:rsid w:val="00A21665"/>
    <w:rsid w:val="00A2685D"/>
    <w:rsid w:val="00A30040"/>
    <w:rsid w:val="00A322D8"/>
    <w:rsid w:val="00A36EE8"/>
    <w:rsid w:val="00A608C3"/>
    <w:rsid w:val="00A7309B"/>
    <w:rsid w:val="00A83E07"/>
    <w:rsid w:val="00A842E8"/>
    <w:rsid w:val="00AA4D3B"/>
    <w:rsid w:val="00AB16AF"/>
    <w:rsid w:val="00AB176E"/>
    <w:rsid w:val="00AB45F7"/>
    <w:rsid w:val="00AC31E4"/>
    <w:rsid w:val="00AD0D41"/>
    <w:rsid w:val="00AF5D75"/>
    <w:rsid w:val="00AF6BC1"/>
    <w:rsid w:val="00B0406F"/>
    <w:rsid w:val="00B045CF"/>
    <w:rsid w:val="00B05FD8"/>
    <w:rsid w:val="00B13A60"/>
    <w:rsid w:val="00B269F5"/>
    <w:rsid w:val="00B42A52"/>
    <w:rsid w:val="00B43D71"/>
    <w:rsid w:val="00B53024"/>
    <w:rsid w:val="00B5377D"/>
    <w:rsid w:val="00B56553"/>
    <w:rsid w:val="00B67BB3"/>
    <w:rsid w:val="00B70754"/>
    <w:rsid w:val="00B73375"/>
    <w:rsid w:val="00B81C50"/>
    <w:rsid w:val="00B842CB"/>
    <w:rsid w:val="00B87641"/>
    <w:rsid w:val="00B915FB"/>
    <w:rsid w:val="00B9214A"/>
    <w:rsid w:val="00B95E1D"/>
    <w:rsid w:val="00B96821"/>
    <w:rsid w:val="00B96B40"/>
    <w:rsid w:val="00BC6CCF"/>
    <w:rsid w:val="00BD1C48"/>
    <w:rsid w:val="00BD2D3B"/>
    <w:rsid w:val="00BD55D0"/>
    <w:rsid w:val="00BF49F4"/>
    <w:rsid w:val="00BF580C"/>
    <w:rsid w:val="00BF5A6F"/>
    <w:rsid w:val="00BF67F8"/>
    <w:rsid w:val="00C019BD"/>
    <w:rsid w:val="00C01E1D"/>
    <w:rsid w:val="00C10D46"/>
    <w:rsid w:val="00C10EA0"/>
    <w:rsid w:val="00C16D63"/>
    <w:rsid w:val="00C200D5"/>
    <w:rsid w:val="00C2438C"/>
    <w:rsid w:val="00C27E19"/>
    <w:rsid w:val="00C37A3E"/>
    <w:rsid w:val="00C541BC"/>
    <w:rsid w:val="00C57B77"/>
    <w:rsid w:val="00C67A6B"/>
    <w:rsid w:val="00C81F91"/>
    <w:rsid w:val="00C82006"/>
    <w:rsid w:val="00C84497"/>
    <w:rsid w:val="00C957F3"/>
    <w:rsid w:val="00CA359B"/>
    <w:rsid w:val="00CB15A7"/>
    <w:rsid w:val="00CB3653"/>
    <w:rsid w:val="00CC0926"/>
    <w:rsid w:val="00CC15F4"/>
    <w:rsid w:val="00CC3036"/>
    <w:rsid w:val="00CD25ED"/>
    <w:rsid w:val="00CF6472"/>
    <w:rsid w:val="00D04096"/>
    <w:rsid w:val="00D0639B"/>
    <w:rsid w:val="00D10348"/>
    <w:rsid w:val="00D13BCC"/>
    <w:rsid w:val="00D22505"/>
    <w:rsid w:val="00D34696"/>
    <w:rsid w:val="00D36542"/>
    <w:rsid w:val="00D366D1"/>
    <w:rsid w:val="00D43F5E"/>
    <w:rsid w:val="00D44667"/>
    <w:rsid w:val="00D57560"/>
    <w:rsid w:val="00D611F7"/>
    <w:rsid w:val="00D8055A"/>
    <w:rsid w:val="00D84EB8"/>
    <w:rsid w:val="00D864AE"/>
    <w:rsid w:val="00D874A0"/>
    <w:rsid w:val="00D9238C"/>
    <w:rsid w:val="00D9265F"/>
    <w:rsid w:val="00DA50C9"/>
    <w:rsid w:val="00DB20A6"/>
    <w:rsid w:val="00DB2963"/>
    <w:rsid w:val="00DC3108"/>
    <w:rsid w:val="00DD6862"/>
    <w:rsid w:val="00DD6945"/>
    <w:rsid w:val="00DE608B"/>
    <w:rsid w:val="00DE7BD0"/>
    <w:rsid w:val="00DF1C6D"/>
    <w:rsid w:val="00E03702"/>
    <w:rsid w:val="00E05E5E"/>
    <w:rsid w:val="00E063D2"/>
    <w:rsid w:val="00E07162"/>
    <w:rsid w:val="00E237A7"/>
    <w:rsid w:val="00E24984"/>
    <w:rsid w:val="00E31C7E"/>
    <w:rsid w:val="00E5540C"/>
    <w:rsid w:val="00E609BA"/>
    <w:rsid w:val="00E6168F"/>
    <w:rsid w:val="00E61B73"/>
    <w:rsid w:val="00E61D9F"/>
    <w:rsid w:val="00E769A8"/>
    <w:rsid w:val="00E8096A"/>
    <w:rsid w:val="00E8157B"/>
    <w:rsid w:val="00E817E8"/>
    <w:rsid w:val="00E86DB1"/>
    <w:rsid w:val="00E929C4"/>
    <w:rsid w:val="00E94FFD"/>
    <w:rsid w:val="00EA0C6C"/>
    <w:rsid w:val="00EA1EEB"/>
    <w:rsid w:val="00EA2FB9"/>
    <w:rsid w:val="00EA5717"/>
    <w:rsid w:val="00EA6F6D"/>
    <w:rsid w:val="00EA71B4"/>
    <w:rsid w:val="00EA7F1E"/>
    <w:rsid w:val="00EB60C1"/>
    <w:rsid w:val="00EC19B9"/>
    <w:rsid w:val="00EC3C19"/>
    <w:rsid w:val="00ED7543"/>
    <w:rsid w:val="00EE0C12"/>
    <w:rsid w:val="00EE29B8"/>
    <w:rsid w:val="00EE576F"/>
    <w:rsid w:val="00EE7A79"/>
    <w:rsid w:val="00EF7689"/>
    <w:rsid w:val="00F16847"/>
    <w:rsid w:val="00F2579F"/>
    <w:rsid w:val="00F412E4"/>
    <w:rsid w:val="00F517BC"/>
    <w:rsid w:val="00F527F1"/>
    <w:rsid w:val="00F53338"/>
    <w:rsid w:val="00F63511"/>
    <w:rsid w:val="00F869A0"/>
    <w:rsid w:val="00F916CA"/>
    <w:rsid w:val="00F91D27"/>
    <w:rsid w:val="00F93DB2"/>
    <w:rsid w:val="00F9500E"/>
    <w:rsid w:val="00F9629E"/>
    <w:rsid w:val="00FA2607"/>
    <w:rsid w:val="00FB39A5"/>
    <w:rsid w:val="00FB4E22"/>
    <w:rsid w:val="00FB756F"/>
    <w:rsid w:val="00FC036A"/>
    <w:rsid w:val="00FE3E89"/>
    <w:rsid w:val="00FE4760"/>
    <w:rsid w:val="00FE78B3"/>
    <w:rsid w:val="00FF05D1"/>
    <w:rsid w:val="00FF56A9"/>
    <w:rsid w:val="00FF611F"/>
    <w:rsid w:val="00FF66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9220"/>
  <w15:docId w15:val="{5DFC46ED-B2A9-4415-B6F4-BF20B14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6F"/>
    <w:pPr>
      <w:spacing w:after="200" w:line="276" w:lineRule="auto"/>
    </w:pPr>
    <w:rPr>
      <w:sz w:val="22"/>
      <w:szCs w:val="22"/>
      <w:lang w:eastAsia="en-US"/>
    </w:rPr>
  </w:style>
  <w:style w:type="paragraph" w:styleId="Heading1">
    <w:name w:val="heading 1"/>
    <w:basedOn w:val="Normal"/>
    <w:next w:val="Normal"/>
    <w:link w:val="Heading1Char"/>
    <w:uiPriority w:val="9"/>
    <w:qFormat/>
    <w:rsid w:val="007A187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A18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A187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A187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7A187C"/>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7A187C"/>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F18"/>
  </w:style>
  <w:style w:type="paragraph" w:styleId="Footer">
    <w:name w:val="footer"/>
    <w:basedOn w:val="Normal"/>
    <w:link w:val="FooterChar"/>
    <w:uiPriority w:val="99"/>
    <w:unhideWhenUsed/>
    <w:rsid w:val="00441F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F18"/>
  </w:style>
  <w:style w:type="paragraph" w:styleId="ListParagraph">
    <w:name w:val="List Paragraph"/>
    <w:basedOn w:val="Normal"/>
    <w:uiPriority w:val="34"/>
    <w:qFormat/>
    <w:rsid w:val="007C09DC"/>
    <w:pPr>
      <w:ind w:left="720"/>
      <w:contextualSpacing/>
    </w:pPr>
  </w:style>
  <w:style w:type="paragraph" w:styleId="BalloonText">
    <w:name w:val="Balloon Text"/>
    <w:basedOn w:val="Normal"/>
    <w:link w:val="BalloonTextChar"/>
    <w:uiPriority w:val="99"/>
    <w:semiHidden/>
    <w:unhideWhenUsed/>
    <w:rsid w:val="00AB17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176E"/>
    <w:rPr>
      <w:rFonts w:ascii="Tahoma" w:hAnsi="Tahoma" w:cs="Tahoma"/>
      <w:sz w:val="16"/>
      <w:szCs w:val="16"/>
    </w:rPr>
  </w:style>
  <w:style w:type="paragraph" w:styleId="NoSpacing">
    <w:name w:val="No Spacing"/>
    <w:uiPriority w:val="1"/>
    <w:qFormat/>
    <w:rsid w:val="007A187C"/>
    <w:rPr>
      <w:sz w:val="22"/>
      <w:szCs w:val="22"/>
      <w:lang w:eastAsia="en-US"/>
    </w:rPr>
  </w:style>
  <w:style w:type="character" w:customStyle="1" w:styleId="Heading1Char">
    <w:name w:val="Heading 1 Char"/>
    <w:link w:val="Heading1"/>
    <w:uiPriority w:val="9"/>
    <w:rsid w:val="007A187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187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A187C"/>
    <w:rPr>
      <w:rFonts w:ascii="Cambria" w:eastAsia="Times New Roman" w:hAnsi="Cambria" w:cs="Times New Roman"/>
      <w:b/>
      <w:bCs/>
      <w:color w:val="4F81BD"/>
    </w:rPr>
  </w:style>
  <w:style w:type="character" w:customStyle="1" w:styleId="Heading4Char">
    <w:name w:val="Heading 4 Char"/>
    <w:link w:val="Heading4"/>
    <w:uiPriority w:val="9"/>
    <w:rsid w:val="007A187C"/>
    <w:rPr>
      <w:rFonts w:ascii="Cambria" w:eastAsia="Times New Roman" w:hAnsi="Cambria" w:cs="Times New Roman"/>
      <w:b/>
      <w:bCs/>
      <w:i/>
      <w:iCs/>
      <w:color w:val="4F81BD"/>
    </w:rPr>
  </w:style>
  <w:style w:type="character" w:customStyle="1" w:styleId="Heading5Char">
    <w:name w:val="Heading 5 Char"/>
    <w:link w:val="Heading5"/>
    <w:uiPriority w:val="9"/>
    <w:rsid w:val="007A187C"/>
    <w:rPr>
      <w:rFonts w:ascii="Cambria" w:eastAsia="Times New Roman" w:hAnsi="Cambria" w:cs="Times New Roman"/>
      <w:color w:val="243F60"/>
    </w:rPr>
  </w:style>
  <w:style w:type="character" w:customStyle="1" w:styleId="Heading6Char">
    <w:name w:val="Heading 6 Char"/>
    <w:link w:val="Heading6"/>
    <w:uiPriority w:val="9"/>
    <w:rsid w:val="007A187C"/>
    <w:rPr>
      <w:rFonts w:ascii="Cambria" w:eastAsia="Times New Roman" w:hAnsi="Cambria" w:cs="Times New Roman"/>
      <w:i/>
      <w:iCs/>
      <w:color w:val="243F60"/>
    </w:rPr>
  </w:style>
  <w:style w:type="character" w:styleId="Hyperlink">
    <w:name w:val="Hyperlink"/>
    <w:uiPriority w:val="99"/>
    <w:unhideWhenUsed/>
    <w:rsid w:val="001F0C45"/>
    <w:rPr>
      <w:color w:val="0000FF"/>
      <w:u w:val="single"/>
    </w:rPr>
  </w:style>
  <w:style w:type="character" w:customStyle="1" w:styleId="legaldocreference">
    <w:name w:val="legaldocreference"/>
    <w:basedOn w:val="DefaultParagraphFont"/>
    <w:rsid w:val="0059453F"/>
  </w:style>
  <w:style w:type="character" w:customStyle="1" w:styleId="apple-converted-space">
    <w:name w:val="apple-converted-space"/>
    <w:basedOn w:val="DefaultParagraphFont"/>
    <w:rsid w:val="0059453F"/>
  </w:style>
  <w:style w:type="character" w:customStyle="1" w:styleId="newdocreference">
    <w:name w:val="newdocreference"/>
    <w:basedOn w:val="DefaultParagraphFont"/>
    <w:rsid w:val="0059453F"/>
  </w:style>
  <w:style w:type="paragraph" w:customStyle="1" w:styleId="Default">
    <w:name w:val="Default"/>
    <w:rsid w:val="008832B1"/>
    <w:pPr>
      <w:autoSpaceDE w:val="0"/>
      <w:autoSpaceDN w:val="0"/>
      <w:adjustRightInd w:val="0"/>
    </w:pPr>
    <w:rPr>
      <w:rFonts w:ascii="Courier New" w:eastAsia="Times New Roman" w:hAnsi="Courier New" w:cs="Courier New"/>
      <w:color w:val="000000"/>
      <w:sz w:val="24"/>
      <w:szCs w:val="24"/>
      <w:lang w:val="en-US" w:eastAsia="en-US"/>
    </w:rPr>
  </w:style>
  <w:style w:type="table" w:styleId="TableGrid">
    <w:name w:val="Table Grid"/>
    <w:basedOn w:val="TableNormal"/>
    <w:uiPriority w:val="59"/>
    <w:rsid w:val="009B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34">
      <w:bodyDiv w:val="1"/>
      <w:marLeft w:val="0"/>
      <w:marRight w:val="0"/>
      <w:marTop w:val="0"/>
      <w:marBottom w:val="0"/>
      <w:divBdr>
        <w:top w:val="none" w:sz="0" w:space="0" w:color="auto"/>
        <w:left w:val="none" w:sz="0" w:space="0" w:color="auto"/>
        <w:bottom w:val="none" w:sz="0" w:space="0" w:color="auto"/>
        <w:right w:val="none" w:sz="0" w:space="0" w:color="auto"/>
      </w:divBdr>
    </w:div>
    <w:div w:id="185873166">
      <w:bodyDiv w:val="1"/>
      <w:marLeft w:val="0"/>
      <w:marRight w:val="0"/>
      <w:marTop w:val="0"/>
      <w:marBottom w:val="0"/>
      <w:divBdr>
        <w:top w:val="none" w:sz="0" w:space="0" w:color="auto"/>
        <w:left w:val="none" w:sz="0" w:space="0" w:color="auto"/>
        <w:bottom w:val="none" w:sz="0" w:space="0" w:color="auto"/>
        <w:right w:val="none" w:sz="0" w:space="0" w:color="auto"/>
      </w:divBdr>
      <w:divsChild>
        <w:div w:id="757022541">
          <w:marLeft w:val="576"/>
          <w:marRight w:val="0"/>
          <w:marTop w:val="80"/>
          <w:marBottom w:val="0"/>
          <w:divBdr>
            <w:top w:val="none" w:sz="0" w:space="0" w:color="auto"/>
            <w:left w:val="none" w:sz="0" w:space="0" w:color="auto"/>
            <w:bottom w:val="none" w:sz="0" w:space="0" w:color="auto"/>
            <w:right w:val="none" w:sz="0" w:space="0" w:color="auto"/>
          </w:divBdr>
        </w:div>
      </w:divsChild>
    </w:div>
    <w:div w:id="495808795">
      <w:bodyDiv w:val="1"/>
      <w:marLeft w:val="0"/>
      <w:marRight w:val="0"/>
      <w:marTop w:val="0"/>
      <w:marBottom w:val="0"/>
      <w:divBdr>
        <w:top w:val="none" w:sz="0" w:space="0" w:color="auto"/>
        <w:left w:val="none" w:sz="0" w:space="0" w:color="auto"/>
        <w:bottom w:val="none" w:sz="0" w:space="0" w:color="auto"/>
        <w:right w:val="none" w:sz="0" w:space="0" w:color="auto"/>
      </w:divBdr>
    </w:div>
    <w:div w:id="13013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www.mig-d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AB6CF-4532-48BC-89F0-FAA2F3ED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2654</Words>
  <Characters>15130</Characters>
  <Application>Microsoft Office Word</Application>
  <DocSecurity>0</DocSecurity>
  <Lines>126</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МИГ”Долни Чифлик и Бяла”</Company>
  <LinksUpToDate>false</LinksUpToDate>
  <CharactersWithSpaces>17749</CharactersWithSpaces>
  <SharedDoc>false</SharedDoc>
  <HLinks>
    <vt:vector size="18" baseType="variant">
      <vt:variant>
        <vt:i4>7929900</vt:i4>
      </vt:variant>
      <vt:variant>
        <vt:i4>6</vt:i4>
      </vt:variant>
      <vt:variant>
        <vt:i4>0</vt:i4>
      </vt:variant>
      <vt:variant>
        <vt:i4>5</vt:i4>
      </vt:variant>
      <vt:variant>
        <vt:lpwstr>http://eumis2020.government.bg/</vt:lpwstr>
      </vt:variant>
      <vt:variant>
        <vt:lpwstr/>
      </vt:variant>
      <vt:variant>
        <vt:i4>7929900</vt:i4>
      </vt:variant>
      <vt:variant>
        <vt:i4>3</vt:i4>
      </vt:variant>
      <vt:variant>
        <vt:i4>0</vt:i4>
      </vt:variant>
      <vt:variant>
        <vt:i4>5</vt:i4>
      </vt:variant>
      <vt:variant>
        <vt:lpwstr>http://eumis2020.government.bg/</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Джамбазова</dc:creator>
  <cp:keywords/>
  <dc:description/>
  <cp:lastModifiedBy>Kosta Stoyanov</cp:lastModifiedBy>
  <cp:revision>3</cp:revision>
  <cp:lastPrinted>2020-03-24T12:33:00Z</cp:lastPrinted>
  <dcterms:created xsi:type="dcterms:W3CDTF">2020-10-27T06:59:00Z</dcterms:created>
  <dcterms:modified xsi:type="dcterms:W3CDTF">2020-10-27T07:01:00Z</dcterms:modified>
</cp:coreProperties>
</file>