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00152A77" w:rsidRPr="00152A77">
        <w:rPr>
          <w:rFonts w:ascii="Times New Roman" w:hAnsi="Times New Roman"/>
          <w:b/>
          <w:sz w:val="24"/>
          <w:szCs w:val="24"/>
        </w:rPr>
        <w:t>BG</w:t>
      </w:r>
      <w:r w:rsidR="00152A77" w:rsidRPr="00152A77">
        <w:rPr>
          <w:rFonts w:ascii="Times New Roman" w:hAnsi="Times New Roman"/>
          <w:b/>
          <w:sz w:val="24"/>
          <w:szCs w:val="24"/>
          <w:lang w:val="ru-RU"/>
        </w:rPr>
        <w:t>06</w:t>
      </w:r>
      <w:r w:rsidR="00152A77" w:rsidRPr="00152A77">
        <w:rPr>
          <w:rFonts w:ascii="Times New Roman" w:hAnsi="Times New Roman"/>
          <w:b/>
          <w:sz w:val="24"/>
          <w:szCs w:val="24"/>
          <w:lang w:val="en-US"/>
        </w:rPr>
        <w:t>RDNP</w:t>
      </w:r>
      <w:r w:rsidR="00152A77" w:rsidRPr="00152A77">
        <w:rPr>
          <w:rFonts w:ascii="Times New Roman" w:hAnsi="Times New Roman"/>
          <w:b/>
          <w:sz w:val="24"/>
          <w:szCs w:val="24"/>
          <w:lang w:val="ru-RU"/>
        </w:rPr>
        <w:t>001-19.39</w:t>
      </w:r>
      <w:r w:rsidR="002E5632">
        <w:rPr>
          <w:rFonts w:ascii="Times New Roman" w:hAnsi="Times New Roman"/>
          <w:b/>
          <w:sz w:val="24"/>
          <w:szCs w:val="24"/>
          <w:lang w:val="ru-RU"/>
        </w:rPr>
        <w:t>3</w:t>
      </w:r>
      <w:r w:rsidR="00CC15F4" w:rsidRPr="00CF6472">
        <w:rPr>
          <w:rFonts w:ascii="Times New Roman" w:hAnsi="Times New Roman"/>
          <w:b/>
          <w:sz w:val="24"/>
          <w:szCs w:val="24"/>
        </w:rPr>
        <w:t xml:space="preserve"> </w:t>
      </w:r>
      <w:r w:rsidRPr="00CF6472">
        <w:rPr>
          <w:rFonts w:ascii="Times New Roman" w:hAnsi="Times New Roman"/>
          <w:b/>
          <w:sz w:val="24"/>
          <w:szCs w:val="24"/>
        </w:rPr>
        <w:t xml:space="preserve">по Мярка </w:t>
      </w:r>
      <w:r w:rsidR="00152A77">
        <w:rPr>
          <w:rFonts w:ascii="Times New Roman" w:hAnsi="Times New Roman"/>
          <w:b/>
          <w:sz w:val="24"/>
          <w:szCs w:val="24"/>
        </w:rPr>
        <w:t>4</w:t>
      </w:r>
      <w:r w:rsidRPr="00CF6472">
        <w:rPr>
          <w:rFonts w:ascii="Times New Roman" w:hAnsi="Times New Roman"/>
          <w:b/>
          <w:sz w:val="24"/>
          <w:szCs w:val="24"/>
        </w:rPr>
        <w:t>.</w:t>
      </w:r>
      <w:r w:rsidR="002E5632">
        <w:rPr>
          <w:rFonts w:ascii="Times New Roman" w:hAnsi="Times New Roman"/>
          <w:b/>
          <w:sz w:val="24"/>
          <w:szCs w:val="24"/>
        </w:rPr>
        <w:t>2</w:t>
      </w:r>
      <w:r w:rsidRPr="00CF6472">
        <w:rPr>
          <w:rFonts w:ascii="Times New Roman" w:hAnsi="Times New Roman"/>
          <w:b/>
          <w:sz w:val="24"/>
          <w:szCs w:val="24"/>
        </w:rPr>
        <w:t>. „</w:t>
      </w:r>
      <w:r w:rsidR="002E5632" w:rsidRPr="002E5632">
        <w:rPr>
          <w:rFonts w:ascii="Times New Roman" w:hAnsi="Times New Roman"/>
          <w:b/>
          <w:sz w:val="24"/>
          <w:szCs w:val="24"/>
        </w:rPr>
        <w:t>Инвестиции в преработка/маркетинг на селскостопански продукти</w:t>
      </w:r>
      <w:r w:rsidRPr="00CF6472">
        <w:rPr>
          <w:rFonts w:ascii="Times New Roman" w:hAnsi="Times New Roman"/>
          <w:b/>
          <w:sz w:val="24"/>
          <w:szCs w:val="24"/>
        </w:rPr>
        <w:t>“</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F51A8" w:rsidRDefault="00E237A7" w:rsidP="00681C8B">
      <w:pPr>
        <w:pStyle w:val="Default"/>
        <w:jc w:val="both"/>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p>
    <w:p w:rsidR="002E5632" w:rsidRPr="002E5632" w:rsidRDefault="002E5632" w:rsidP="002E5632">
      <w:pPr>
        <w:pStyle w:val="Default"/>
        <w:jc w:val="both"/>
        <w:rPr>
          <w:rFonts w:ascii="Times New Roman" w:hAnsi="Times New Roman"/>
          <w:lang w:eastAsia="bg-BG"/>
        </w:rPr>
      </w:pPr>
      <w:proofErr w:type="spellStart"/>
      <w:r w:rsidRPr="002E5632">
        <w:rPr>
          <w:rFonts w:ascii="Times New Roman" w:hAnsi="Times New Roman"/>
          <w:lang w:eastAsia="bg-BG"/>
        </w:rPr>
        <w:t>Мярка</w:t>
      </w:r>
      <w:proofErr w:type="spellEnd"/>
      <w:r w:rsidRPr="002E5632">
        <w:rPr>
          <w:rFonts w:ascii="Times New Roman" w:hAnsi="Times New Roman"/>
          <w:lang w:eastAsia="bg-BG"/>
        </w:rPr>
        <w:t xml:space="preserve"> 4.2. “</w:t>
      </w:r>
      <w:proofErr w:type="spellStart"/>
      <w:r w:rsidRPr="002E5632">
        <w:rPr>
          <w:rFonts w:ascii="Times New Roman" w:hAnsi="Times New Roman"/>
          <w:lang w:eastAsia="bg-BG"/>
        </w:rPr>
        <w:t>Инвестиции</w:t>
      </w:r>
      <w:proofErr w:type="spellEnd"/>
      <w:r w:rsidRPr="002E5632">
        <w:rPr>
          <w:rFonts w:ascii="Times New Roman" w:hAnsi="Times New Roman"/>
          <w:lang w:eastAsia="bg-BG"/>
        </w:rPr>
        <w:t xml:space="preserve"> в </w:t>
      </w:r>
      <w:proofErr w:type="spellStart"/>
      <w:r w:rsidRPr="002E5632">
        <w:rPr>
          <w:rFonts w:ascii="Times New Roman" w:hAnsi="Times New Roman"/>
          <w:lang w:eastAsia="bg-BG"/>
        </w:rPr>
        <w:t>преработка</w:t>
      </w:r>
      <w:proofErr w:type="spellEnd"/>
      <w:r w:rsidRPr="002E5632">
        <w:rPr>
          <w:rFonts w:ascii="Times New Roman" w:hAnsi="Times New Roman"/>
          <w:lang w:eastAsia="bg-BG"/>
        </w:rPr>
        <w:t>/</w:t>
      </w:r>
      <w:proofErr w:type="spellStart"/>
      <w:r w:rsidRPr="002E5632">
        <w:rPr>
          <w:rFonts w:ascii="Times New Roman" w:hAnsi="Times New Roman"/>
          <w:lang w:eastAsia="bg-BG"/>
        </w:rPr>
        <w:t>маркетинг</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селскостопански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продукти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Стратегията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за</w:t>
      </w:r>
      <w:proofErr w:type="spellEnd"/>
      <w:r w:rsidRPr="002E5632">
        <w:rPr>
          <w:rFonts w:ascii="Times New Roman" w:hAnsi="Times New Roman"/>
          <w:lang w:eastAsia="bg-BG"/>
        </w:rPr>
        <w:t xml:space="preserve"> ВОМР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МИГ „</w:t>
      </w:r>
      <w:proofErr w:type="spellStart"/>
      <w:r w:rsidRPr="002E5632">
        <w:rPr>
          <w:rFonts w:ascii="Times New Roman" w:hAnsi="Times New Roman"/>
          <w:lang w:eastAsia="bg-BG"/>
        </w:rPr>
        <w:t>Долни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Чифлик</w:t>
      </w:r>
      <w:proofErr w:type="spellEnd"/>
      <w:r w:rsidRPr="002E5632">
        <w:rPr>
          <w:rFonts w:ascii="Times New Roman" w:hAnsi="Times New Roman"/>
          <w:lang w:eastAsia="bg-BG"/>
        </w:rPr>
        <w:t xml:space="preserve"> и </w:t>
      </w:r>
      <w:proofErr w:type="spellStart"/>
      <w:proofErr w:type="gramStart"/>
      <w:r w:rsidRPr="002E5632">
        <w:rPr>
          <w:rFonts w:ascii="Times New Roman" w:hAnsi="Times New Roman"/>
          <w:lang w:eastAsia="bg-BG"/>
        </w:rPr>
        <w:t>Бяла</w:t>
      </w:r>
      <w:proofErr w:type="spellEnd"/>
      <w:r w:rsidRPr="002E5632">
        <w:rPr>
          <w:rFonts w:ascii="Times New Roman" w:hAnsi="Times New Roman"/>
          <w:lang w:eastAsia="bg-BG"/>
        </w:rPr>
        <w:t xml:space="preserve">“ </w:t>
      </w:r>
      <w:proofErr w:type="spellStart"/>
      <w:r w:rsidRPr="002E5632">
        <w:rPr>
          <w:rFonts w:ascii="Times New Roman" w:hAnsi="Times New Roman"/>
          <w:b/>
          <w:lang w:eastAsia="bg-BG"/>
        </w:rPr>
        <w:t>има</w:t>
      </w:r>
      <w:proofErr w:type="spellEnd"/>
      <w:proofErr w:type="gramEnd"/>
      <w:r w:rsidRPr="002E5632">
        <w:rPr>
          <w:rFonts w:ascii="Times New Roman" w:hAnsi="Times New Roman"/>
          <w:b/>
          <w:lang w:eastAsia="bg-BG"/>
        </w:rPr>
        <w:t xml:space="preserve"> </w:t>
      </w:r>
      <w:proofErr w:type="spellStart"/>
      <w:r w:rsidRPr="002E5632">
        <w:rPr>
          <w:rFonts w:ascii="Times New Roman" w:hAnsi="Times New Roman"/>
          <w:b/>
          <w:lang w:eastAsia="bg-BG"/>
        </w:rPr>
        <w:t>за</w:t>
      </w:r>
      <w:proofErr w:type="spellEnd"/>
      <w:r w:rsidRPr="002E5632">
        <w:rPr>
          <w:rFonts w:ascii="Times New Roman" w:hAnsi="Times New Roman"/>
          <w:b/>
          <w:lang w:eastAsia="bg-BG"/>
        </w:rPr>
        <w:t xml:space="preserve"> </w:t>
      </w:r>
      <w:proofErr w:type="spellStart"/>
      <w:r w:rsidRPr="002E5632">
        <w:rPr>
          <w:rFonts w:ascii="Times New Roman" w:hAnsi="Times New Roman"/>
          <w:b/>
          <w:lang w:eastAsia="bg-BG"/>
        </w:rPr>
        <w:t>цел</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цялостната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дейност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икономическата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ефективност</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конкурентоспособността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предприятията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хранително-преработвателната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промишленост</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територията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МИГ „</w:t>
      </w:r>
      <w:proofErr w:type="spellStart"/>
      <w:r w:rsidRPr="002E5632">
        <w:rPr>
          <w:rFonts w:ascii="Times New Roman" w:hAnsi="Times New Roman"/>
          <w:lang w:eastAsia="bg-BG"/>
        </w:rPr>
        <w:t>Долни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Чифлик</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Бяла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чрез</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използване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факторите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за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производство</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въвеждане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нови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продукти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процеси</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технологии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включително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къси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вериги</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доставка</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качеството</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безопасността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храните</w:t>
      </w:r>
      <w:proofErr w:type="spellEnd"/>
      <w:r w:rsidRPr="002E5632">
        <w:rPr>
          <w:rFonts w:ascii="Times New Roman" w:hAnsi="Times New Roman"/>
          <w:lang w:eastAsia="bg-BG"/>
        </w:rPr>
        <w:t xml:space="preserve"> и </w:t>
      </w:r>
      <w:proofErr w:type="spellStart"/>
      <w:r w:rsidRPr="002E5632">
        <w:rPr>
          <w:rFonts w:ascii="Times New Roman" w:hAnsi="Times New Roman"/>
          <w:lang w:eastAsia="bg-BG"/>
        </w:rPr>
        <w:t>тяхната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проследяемост</w:t>
      </w:r>
      <w:proofErr w:type="spellEnd"/>
      <w:r w:rsidRPr="002E5632">
        <w:rPr>
          <w:rFonts w:ascii="Times New Roman" w:hAnsi="Times New Roman"/>
          <w:lang w:eastAsia="bg-BG"/>
        </w:rPr>
        <w:t>;</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постигане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съответствие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със</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стандартите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Европейския</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съюз</w:t>
      </w:r>
      <w:proofErr w:type="spellEnd"/>
      <w:r w:rsidRPr="002E5632">
        <w:rPr>
          <w:rFonts w:ascii="Times New Roman" w:hAnsi="Times New Roman"/>
          <w:lang w:eastAsia="bg-BG"/>
        </w:rPr>
        <w:t xml:space="preserve"> (ЕС);</w:t>
      </w:r>
    </w:p>
    <w:p w:rsidR="002E5632" w:rsidRPr="002E5632" w:rsidRDefault="002E5632" w:rsidP="002E5632">
      <w:pPr>
        <w:pStyle w:val="Default"/>
        <w:rPr>
          <w:rFonts w:ascii="Times New Roman" w:hAnsi="Times New Roman"/>
          <w:lang w:eastAsia="bg-BG"/>
        </w:rPr>
      </w:pPr>
      <w:r w:rsidRPr="002E5632">
        <w:rPr>
          <w:rFonts w:ascii="Times New Roman" w:hAnsi="Times New Roman"/>
          <w:lang w:eastAsia="bg-BG"/>
        </w:rPr>
        <w:t xml:space="preserve">•  </w:t>
      </w:r>
      <w:proofErr w:type="spellStart"/>
      <w:r w:rsidRPr="002E5632">
        <w:rPr>
          <w:rFonts w:ascii="Times New Roman" w:hAnsi="Times New Roman"/>
          <w:lang w:eastAsia="bg-BG"/>
        </w:rPr>
        <w:t>подобряване</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опазването</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на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околната</w:t>
      </w:r>
      <w:proofErr w:type="spellEnd"/>
      <w:r w:rsidRPr="002E5632">
        <w:rPr>
          <w:rFonts w:ascii="Times New Roman" w:hAnsi="Times New Roman"/>
          <w:lang w:eastAsia="bg-BG"/>
        </w:rPr>
        <w:t xml:space="preserve"> </w:t>
      </w:r>
      <w:proofErr w:type="spellStart"/>
      <w:r w:rsidRPr="002E5632">
        <w:rPr>
          <w:rFonts w:ascii="Times New Roman" w:hAnsi="Times New Roman"/>
          <w:lang w:eastAsia="bg-BG"/>
        </w:rPr>
        <w:t>среда</w:t>
      </w:r>
      <w:proofErr w:type="spellEnd"/>
      <w:r w:rsidRPr="002E5632">
        <w:rPr>
          <w:rFonts w:ascii="Times New Roman" w:hAnsi="Times New Roman"/>
          <w:lang w:eastAsia="bg-BG"/>
        </w:rPr>
        <w:t>.</w:t>
      </w:r>
    </w:p>
    <w:p w:rsidR="00681C8B" w:rsidRPr="008B657A" w:rsidRDefault="006F51A8" w:rsidP="00681C8B">
      <w:pPr>
        <w:pStyle w:val="Default"/>
        <w:jc w:val="both"/>
        <w:rPr>
          <w:rFonts w:ascii="Times New Roman" w:eastAsia="Calibri" w:hAnsi="Times New Roman" w:cs="Times New Roman"/>
          <w:color w:val="auto"/>
          <w:lang w:val="bg-BG" w:eastAsia="bg-BG"/>
        </w:rPr>
      </w:pPr>
      <w:r w:rsidRPr="006F51A8">
        <w:rPr>
          <w:rFonts w:ascii="Times New Roman" w:eastAsia="Calibri" w:hAnsi="Times New Roman" w:cs="Times New Roman"/>
          <w:color w:val="auto"/>
          <w:lang w:val="bg-BG" w:eastAsia="bg-BG"/>
        </w:rPr>
        <w:t>Проектите по процедурата се изпълняват на територията на общините Долни Чифлик и Бяла</w:t>
      </w:r>
      <w:r>
        <w:rPr>
          <w:rFonts w:ascii="Times New Roman" w:eastAsia="Calibri" w:hAnsi="Times New Roman" w:cs="Times New Roman"/>
          <w:color w:val="auto"/>
          <w:lang w:val="bg-BG" w:eastAsia="bg-BG"/>
        </w:rPr>
        <w:t>.</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152A77"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152A77">
        <w:rPr>
          <w:rFonts w:ascii="Times New Roman" w:eastAsia="Times New Roman" w:hAnsi="Times New Roman"/>
          <w:noProof/>
          <w:color w:val="000000"/>
          <w:sz w:val="24"/>
          <w:szCs w:val="24"/>
        </w:rPr>
        <w:t>4</w:t>
      </w:r>
      <w:r w:rsidR="00B269F5" w:rsidRPr="008B657A">
        <w:rPr>
          <w:rFonts w:ascii="Times New Roman" w:eastAsia="Times New Roman" w:hAnsi="Times New Roman"/>
          <w:noProof/>
          <w:color w:val="000000"/>
          <w:sz w:val="24"/>
          <w:szCs w:val="24"/>
          <w:lang w:val="fr-BE"/>
        </w:rPr>
        <w:t>.</w:t>
      </w:r>
      <w:r w:rsidR="002E5632">
        <w:rPr>
          <w:rFonts w:ascii="Times New Roman" w:eastAsia="Times New Roman" w:hAnsi="Times New Roman"/>
          <w:noProof/>
          <w:color w:val="000000"/>
          <w:sz w:val="24"/>
          <w:szCs w:val="24"/>
        </w:rPr>
        <w:t>2</w:t>
      </w:r>
      <w:r w:rsidR="00B269F5" w:rsidRPr="008B657A">
        <w:rPr>
          <w:rFonts w:ascii="Times New Roman" w:eastAsia="Times New Roman" w:hAnsi="Times New Roman"/>
          <w:noProof/>
          <w:color w:val="000000"/>
          <w:sz w:val="24"/>
          <w:szCs w:val="24"/>
          <w:lang w:val="fr-BE"/>
        </w:rPr>
        <w:t xml:space="preserve">. </w:t>
      </w:r>
      <w:r w:rsidR="002E5632" w:rsidRPr="002E5632">
        <w:rPr>
          <w:rFonts w:ascii="Times New Roman" w:eastAsia="Times New Roman" w:hAnsi="Times New Roman"/>
          <w:noProof/>
          <w:color w:val="000000"/>
          <w:sz w:val="24"/>
          <w:szCs w:val="24"/>
        </w:rPr>
        <w:t>Инвестиции в преработка/маркетинг на селскостопански продукти</w:t>
      </w:r>
      <w:r w:rsidR="00D147DA">
        <w:rPr>
          <w:rFonts w:ascii="Times New Roman" w:eastAsia="Times New Roman" w:hAnsi="Times New Roman"/>
          <w:noProof/>
          <w:color w:val="000000"/>
          <w:sz w:val="24"/>
          <w:szCs w:val="24"/>
        </w:rPr>
        <w:t>“.</w:t>
      </w:r>
    </w:p>
    <w:p w:rsidR="00B269F5" w:rsidRPr="008B657A" w:rsidRDefault="00B269F5" w:rsidP="00FF56A9">
      <w:pPr>
        <w:spacing w:after="0" w:line="240" w:lineRule="auto"/>
        <w:ind w:left="1560"/>
        <w:jc w:val="both"/>
        <w:rPr>
          <w:rFonts w:ascii="Times New Roman" w:eastAsia="Times New Roman" w:hAnsi="Times New Roman"/>
          <w:sz w:val="24"/>
          <w:szCs w:val="24"/>
        </w:rPr>
      </w:pPr>
    </w:p>
    <w:p w:rsidR="000D3562" w:rsidRPr="008B657A" w:rsidRDefault="000D3562" w:rsidP="00681C8B">
      <w:pPr>
        <w:spacing w:after="0" w:line="240" w:lineRule="auto"/>
        <w:ind w:firstLine="720"/>
        <w:jc w:val="both"/>
        <w:rPr>
          <w:rFonts w:ascii="Times New Roman" w:hAnsi="Times New Roman"/>
          <w:color w:val="000000"/>
          <w:sz w:val="24"/>
          <w:szCs w:val="24"/>
          <w:lang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За безвъзмездна финансова помощ по настоящата процедура могат да кандидатстват лица, които към датата на подаване на проектното предложение са: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a) земеделски стопани, регистрирани съгласно Закона за подпомагане на земеделските производители и притежаващи минимален стандартен производствен обем в размер 8 000 евро;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предприятия (еднолични търговци и юридически лица), различни от кандидатите по т. 1, буква „а“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2. Кандидатите по т.1, буква „а“ и буква „б“ трябва да имат постоянен адрес (за физическите лица) или седалище и адрес на управление (за едноличните търговци и юридическите лица) на територията на МИГ „Долни Чифлик и Бяла“.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 Кандидатите по т. 1, буква „б“ към датата на подаване на проектните предложения следва да отговарят на следните условия за допустимост:</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да са регистрирани по Търговския закон или Закона за кооперациите;</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б) да са </w:t>
      </w:r>
      <w:proofErr w:type="spellStart"/>
      <w:r w:rsidRPr="002E5632">
        <w:rPr>
          <w:rFonts w:ascii="Times New Roman" w:hAnsi="Times New Roman"/>
          <w:color w:val="000000"/>
          <w:sz w:val="24"/>
          <w:szCs w:val="24"/>
          <w:lang w:eastAsia="bg-BG"/>
        </w:rPr>
        <w:t>микро</w:t>
      </w:r>
      <w:proofErr w:type="spellEnd"/>
      <w:r w:rsidRPr="002E5632">
        <w:rPr>
          <w:rFonts w:ascii="Times New Roman" w:hAnsi="Times New Roman"/>
          <w:color w:val="000000"/>
          <w:sz w:val="24"/>
          <w:szCs w:val="24"/>
          <w:lang w:eastAsia="bg-BG"/>
        </w:rPr>
        <w:t>-, малки или средни предприятия съгласно Закона за малките и средни предприятия;</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4. Земеделските стопани по т. 1, буква „а“ към датата на подаване на проектното предложение трябва да отговарят на следните условия:</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да са регистрирани като земеделски стопани съгласно Наредба № 3 от 1999 г. за създаване и поддържане на регистър на земеделските стопани (ДВ, бр. 10 от 1999 г.);</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минималният стандартен производствен обем на земеделското им стопанство е не по-малко от левовата равностойност на 8000 евро.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 Минималният стандартен производствен обем на земеделското стопанство по т. 2, буква „б“ се доказва с декларация за изчисление на минималния стандартен производствен обем на стопанството през текущата стопанска година към момента на кандидатстване по образец съгласно приложение № 4 от документите за попълване към Условията за кандидатстване 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регистрация на обработваната от кандидата земя и отглежданите животни в Интегрираната система за администриране и контрол (ИСАК); или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в)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6. По отношение на обработваната от кандидата земя, която участва при изчисление на минималния стандартен производствен обем на земеделското стопанство, не трябва да са нарушени изискванията на разпоредбата на чл. 33б от Закона за подпомагане на земеделските производители.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7. За едноличните търговци, които не са регистрирани като земеделски стопани по реда на Наредба № 3 от 1999 г. за създаване и поддържане на регистър на земеделските стопани (ДВ, бр. 10 от 1999 г.) (Наредба № 3 от 1999 г.), се признават обстоятелствата по т. 1, буква „а“, т. 4 и т. 5 като физически лица.</w:t>
      </w:r>
    </w:p>
    <w:p w:rsidR="00152A77" w:rsidRPr="00152A77"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8. За едноличните дружества с ограничена отговорност, които не са регистрирани или са регистрирани през текущата или годината, предхождаща годината на кандидатстване, като земеделски стопани по реда на Наредба № 3 от 1999 г. за създаване и поддържане на регистър на земеделските стопани, се признават и обстоятелствата по т. 1, буква „а“, т. 4 и т. 5 на физическото лице, което е едноличен собственик на капитала.</w:t>
      </w:r>
    </w:p>
    <w:p w:rsidR="00B269F5" w:rsidRPr="008B657A" w:rsidRDefault="00B269F5" w:rsidP="00681C8B">
      <w:pPr>
        <w:spacing w:after="0" w:line="240" w:lineRule="auto"/>
        <w:ind w:firstLine="720"/>
        <w:jc w:val="both"/>
        <w:rPr>
          <w:rFonts w:ascii="Times New Roman" w:hAnsi="Times New Roman"/>
          <w:sz w:val="24"/>
          <w:szCs w:val="24"/>
          <w:lang w:eastAsia="bg-BG"/>
        </w:rPr>
      </w:pP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По настоящата процедура допустими за финансиране са следните дейности, които водят до подобряване на цялостната дейност на предприятието чрез:</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внедряване на нови и/или модернизиране на наличните мощности и подобряване на използването им,</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 и/или внедряване на нови продукти, процеси и технологии,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намаляване на себестойността на произвежданата продукция,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 и/или постигане на съответствие с </w:t>
      </w:r>
      <w:proofErr w:type="spellStart"/>
      <w:r w:rsidRPr="002E5632">
        <w:rPr>
          <w:rFonts w:ascii="Times New Roman" w:hAnsi="Times New Roman"/>
          <w:color w:val="000000"/>
          <w:sz w:val="24"/>
          <w:szCs w:val="24"/>
          <w:lang w:eastAsia="bg-BG"/>
        </w:rPr>
        <w:t>нововъведени</w:t>
      </w:r>
      <w:proofErr w:type="spellEnd"/>
      <w:r w:rsidRPr="002E5632">
        <w:rPr>
          <w:rFonts w:ascii="Times New Roman" w:hAnsi="Times New Roman"/>
          <w:color w:val="000000"/>
          <w:sz w:val="24"/>
          <w:szCs w:val="24"/>
          <w:lang w:eastAsia="bg-BG"/>
        </w:rPr>
        <w:t xml:space="preserve"> стандарти на ЕС,</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сътрудничеството с производителите на суровини,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опазване на околната среда, включително намаляване на вредните емисии и отпадъци,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енергийната ефективност в предприятията,</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безопасността и хигиенните условия на производство и труд,</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качеството и безопасността на храните и тяхната проследяемост,</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и/или подобряване на възможностите за производство на биологични храни чрез преработка на първични земеделски биологични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 Финансова помощ се предоставя за извършване на инвестиции в следните избрани производствени сектори, свързани с преработката/маркетинга на селскостопански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а) 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б) месо и месни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в) плодове и зеленчуци, включително гъби;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г) 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д) зърнени, мелничарски и нишестени продукти с изключение на производство, преработка и/или маркетинг на хляб и тестени изделия;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е) растителни и животински масла и мазнини с изключение на производство, преработка и/или маркетинг на маслиново масло;</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ж)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з) готови храни за селскостопански животни (фуражи);</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и) гроздова мъст, вино и оцет.</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 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продукти с изключение на биомаса от рибни продукти при спазване на изискванията по т. 22-30 от Раздел 13.2 „Условия за допустимост на дейностите“ и при условие, че енергията ще се използва за собствено потребление, свързано с дейностите, попадащи в някои от секторите по т. 2.</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4. Продуктите от допустимите за финансова помощ сектори, за чиято преработка и/или маркетинг се кандидатства, трябва да са описани в приложение № І по чл. 38 от ДФЕС, наричано по-нататък "приложение № І от ДФЕС", посочени в Приложение № 8 от документите за информация на кандидатите към Условията за кандидатстване. </w:t>
      </w:r>
    </w:p>
    <w:p w:rsidR="005E6770"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 Съответствието на проектите със секторите се определя въз основа на селскостопанските продукти, за чиято преработка и/или маркетинг се кандидатства, както и получените крайни продукти.</w:t>
      </w:r>
    </w:p>
    <w:p w:rsid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2E5632" w:rsidRPr="005E6770"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lastRenderedPageBreak/>
        <w:t>Допустими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Допустимите категории разходи по настоящата процедура са: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Разходи които имат характера на инвестиционни по смисъла на чл.45 от Регламент (ЕС) 1305/2013;</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Други допустими разходи, свързани с изпълнението на операции по Регламент (ЕС) 1305/2013 и приоритетите на Стратегията за ВОМР;</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-Съобразени с общите национални правила и детайлните правила за допустимост на разходите по програмите, съфинансирани от Европейските структурни и инвестиционни фондове (ЕСИФ), за програмен период 2014 - 2020 г и по-специално за разходите, съфинансирани от Европейския земеделски фонд за развитие на селските райони (ЕЗФРСР), определени в Постановление № 189 на Министерския съвет от 2016 година (</w:t>
      </w:r>
      <w:proofErr w:type="spellStart"/>
      <w:r w:rsidRPr="002E5632">
        <w:rPr>
          <w:rFonts w:ascii="Times New Roman" w:hAnsi="Times New Roman"/>
          <w:color w:val="000000"/>
          <w:sz w:val="24"/>
          <w:szCs w:val="24"/>
          <w:lang w:eastAsia="bg-BG"/>
        </w:rPr>
        <w:t>Обн.ДВ</w:t>
      </w:r>
      <w:proofErr w:type="spellEnd"/>
      <w:r w:rsidRPr="002E5632">
        <w:rPr>
          <w:rFonts w:ascii="Times New Roman" w:hAnsi="Times New Roman"/>
          <w:color w:val="000000"/>
          <w:sz w:val="24"/>
          <w:szCs w:val="24"/>
          <w:lang w:eastAsia="bg-BG"/>
        </w:rPr>
        <w:t xml:space="preserve"> бр.61/2016)</w:t>
      </w:r>
    </w:p>
    <w:p w:rsidR="002E5632" w:rsidRDefault="002E5632" w:rsidP="002E5632">
      <w:pPr>
        <w:spacing w:after="0" w:line="240" w:lineRule="auto"/>
        <w:jc w:val="both"/>
        <w:rPr>
          <w:rFonts w:ascii="Times New Roman" w:hAnsi="Times New Roman"/>
          <w:color w:val="000000"/>
          <w:sz w:val="24"/>
          <w:szCs w:val="24"/>
          <w:lang w:eastAsia="bg-BG"/>
        </w:rPr>
      </w:pP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По настоящата процедура са допустими за финансиране следните видове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14.1.1.Разходи за материални инвестиции: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w:t>
      </w:r>
      <w:r w:rsidRPr="002E5632">
        <w:rPr>
          <w:rFonts w:ascii="Times New Roman" w:hAnsi="Times New Roman"/>
          <w:color w:val="000000"/>
          <w:sz w:val="24"/>
          <w:szCs w:val="24"/>
          <w:lang w:eastAsia="bg-BG"/>
        </w:rPr>
        <w:tab/>
        <w:t>Разходи за изграждане, придобиване и модернизиране на сгради и други недвижими активи, свързани с производството и/или маркетинга;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w:t>
      </w:r>
      <w:r w:rsidRPr="002E5632">
        <w:rPr>
          <w:rFonts w:ascii="Times New Roman" w:hAnsi="Times New Roman"/>
          <w:color w:val="000000"/>
          <w:sz w:val="24"/>
          <w:szCs w:val="24"/>
          <w:lang w:eastAsia="bg-BG"/>
        </w:rPr>
        <w:tab/>
        <w:t>Разходи за закупуване, включително чрез финансов лизинг, и/или инсталиране на нови машини, съоръжения и оборудване, необходими за подобряване на производствения процес по преработка и маркетинга, в т.ч. за преработка, пакетиране, охлаждане, замразяване, сушене и съхраняване и др. на суровините или готовата продукция,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за собствените нужди на предприятието,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3.</w:t>
      </w:r>
      <w:r w:rsidRPr="002E5632">
        <w:rPr>
          <w:rFonts w:ascii="Times New Roman" w:hAnsi="Times New Roman"/>
          <w:color w:val="000000"/>
          <w:sz w:val="24"/>
          <w:szCs w:val="24"/>
          <w:lang w:eastAsia="bg-BG"/>
        </w:rPr>
        <w:tab/>
        <w:t>Разходи за закупуване, включително чрез финансов лизинг,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4.</w:t>
      </w:r>
      <w:r w:rsidRPr="002E5632">
        <w:rPr>
          <w:rFonts w:ascii="Times New Roman" w:hAnsi="Times New Roman"/>
          <w:color w:val="000000"/>
          <w:sz w:val="24"/>
          <w:szCs w:val="24"/>
          <w:lang w:eastAsia="bg-BG"/>
        </w:rPr>
        <w:tab/>
        <w:t>Разходи за изграждане и/или модернизиране на лаборатории за нуждите на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5.</w:t>
      </w:r>
      <w:r w:rsidRPr="002E5632">
        <w:rPr>
          <w:rFonts w:ascii="Times New Roman" w:hAnsi="Times New Roman"/>
          <w:color w:val="000000"/>
          <w:sz w:val="24"/>
          <w:szCs w:val="24"/>
          <w:lang w:eastAsia="bg-BG"/>
        </w:rPr>
        <w:tab/>
        <w:t>Разходи за закупуване на земя, необходима за изпълнение на проекта във връзка с изграждане и/или модернизиране на сгради, помещения други недвижими материални активи, предназначени за производствени дейности /до 10 % от общия размер на допустимите инвестиционни разходи/.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6. За материални инвестиции за постигане на съответствие с новоприети стандарти на Съюза съгласно приложение № 1 към Раздел 8.2 от ПРСР 2014-2020, включително чрез финансов лизинг – приложение № 3 от документите за информация към Условията за кандидатстване. </w:t>
      </w:r>
    </w:p>
    <w:p w:rsidR="002E5632" w:rsidRDefault="002E5632" w:rsidP="002E5632">
      <w:pPr>
        <w:spacing w:after="0" w:line="240" w:lineRule="auto"/>
        <w:jc w:val="both"/>
        <w:rPr>
          <w:rFonts w:ascii="Times New Roman" w:hAnsi="Times New Roman"/>
          <w:color w:val="000000"/>
          <w:sz w:val="24"/>
          <w:szCs w:val="24"/>
          <w:lang w:eastAsia="bg-BG"/>
        </w:rPr>
      </w:pP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14.1.2. Разходи за нематериални инвестиции:</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 Разходи за ноу-хау, придобиване на патентни права и лицензи, разходи за регистрация на търговски марки и процеси, необходими за изготвяне и изпълнение на проекта;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 Разходи за закупуване, включително чрез финансов лизинг, на софтуер, свързан с преработвателната дейност на кандидата;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lastRenderedPageBreak/>
        <w:t>3. Разходи за достигане на съответствие с международно признати стандарти, само когато тези разходи са част от общ проект на кандидата;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4. Разходи за въвеждане на добри производствени практики, системи за управление на </w:t>
      </w:r>
      <w:proofErr w:type="spellStart"/>
      <w:r w:rsidRPr="002E5632">
        <w:rPr>
          <w:rFonts w:ascii="Times New Roman" w:hAnsi="Times New Roman"/>
          <w:color w:val="000000"/>
          <w:sz w:val="24"/>
          <w:szCs w:val="24"/>
          <w:lang w:eastAsia="bg-BG"/>
        </w:rPr>
        <w:t>кчеството</w:t>
      </w:r>
      <w:proofErr w:type="spellEnd"/>
      <w:r w:rsidRPr="002E5632">
        <w:rPr>
          <w:rFonts w:ascii="Times New Roman" w:hAnsi="Times New Roman"/>
          <w:color w:val="000000"/>
          <w:sz w:val="24"/>
          <w:szCs w:val="24"/>
          <w:lang w:eastAsia="bg-BG"/>
        </w:rPr>
        <w:t xml:space="preserve"> и подготовка за сертификация в предприятията;</w:t>
      </w:r>
    </w:p>
    <w:p w:rsidR="00E13199" w:rsidRPr="00E13199" w:rsidRDefault="00E13199" w:rsidP="00E13199">
      <w:pPr>
        <w:spacing w:after="0" w:line="240" w:lineRule="auto"/>
        <w:jc w:val="both"/>
        <w:rPr>
          <w:rFonts w:ascii="Times New Roman" w:hAnsi="Times New Roman"/>
          <w:color w:val="000000"/>
          <w:sz w:val="24"/>
          <w:szCs w:val="24"/>
          <w:lang w:eastAsia="bg-BG"/>
        </w:rPr>
      </w:pPr>
      <w:r>
        <w:rPr>
          <w:rFonts w:ascii="Times New Roman" w:hAnsi="Times New Roman"/>
          <w:color w:val="000000"/>
          <w:sz w:val="24"/>
          <w:szCs w:val="24"/>
          <w:lang w:eastAsia="bg-BG"/>
        </w:rPr>
        <w:t xml:space="preserve">5. </w:t>
      </w:r>
      <w:r w:rsidRPr="00E13199">
        <w:rPr>
          <w:rFonts w:ascii="Times New Roman" w:hAnsi="Times New Roman"/>
          <w:color w:val="000000"/>
          <w:sz w:val="24"/>
          <w:szCs w:val="24"/>
          <w:lang w:eastAsia="bg-BG"/>
        </w:rPr>
        <w:t xml:space="preserve">Общи разходи, свързани с проекта, в т.ч. разходи за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проучвания, такси, хонорари за архитекти, инженери и консултанти, консултации за икономическа устойчивост на проекти,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w:t>
      </w:r>
    </w:p>
    <w:p w:rsidR="002E5632" w:rsidRPr="002E5632" w:rsidRDefault="00E13199" w:rsidP="00E13199">
      <w:pPr>
        <w:spacing w:after="0" w:line="240" w:lineRule="auto"/>
        <w:jc w:val="both"/>
        <w:rPr>
          <w:rFonts w:ascii="Times New Roman" w:hAnsi="Times New Roman"/>
          <w:color w:val="000000"/>
          <w:sz w:val="24"/>
          <w:szCs w:val="24"/>
          <w:lang w:eastAsia="bg-BG"/>
        </w:rPr>
      </w:pPr>
      <w:r w:rsidRPr="00E13199">
        <w:rPr>
          <w:rFonts w:ascii="Times New Roman" w:hAnsi="Times New Roman"/>
          <w:color w:val="000000"/>
          <w:sz w:val="24"/>
          <w:szCs w:val="24"/>
          <w:lang w:eastAsia="bg-BG"/>
        </w:rPr>
        <w:t xml:space="preserve">а) Разходите за консултантски услуги, свързани с подготовката и управлението на проекта (разработване на бизнес план, включващ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изследвания и маркетингови стратегии, извършване на </w:t>
      </w:r>
      <w:proofErr w:type="spellStart"/>
      <w:r w:rsidRPr="00E13199">
        <w:rPr>
          <w:rFonts w:ascii="Times New Roman" w:hAnsi="Times New Roman"/>
          <w:color w:val="000000"/>
          <w:sz w:val="24"/>
          <w:szCs w:val="24"/>
          <w:lang w:eastAsia="bg-BG"/>
        </w:rPr>
        <w:t>предпроектни</w:t>
      </w:r>
      <w:proofErr w:type="spellEnd"/>
      <w:r w:rsidRPr="00E13199">
        <w:rPr>
          <w:rFonts w:ascii="Times New Roman" w:hAnsi="Times New Roman"/>
          <w:color w:val="000000"/>
          <w:sz w:val="24"/>
          <w:szCs w:val="24"/>
          <w:lang w:eastAsia="bg-BG"/>
        </w:rPr>
        <w:t xml:space="preserve">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като част от ра</w:t>
      </w:r>
      <w:r>
        <w:rPr>
          <w:rFonts w:ascii="Times New Roman" w:hAnsi="Times New Roman"/>
          <w:color w:val="000000"/>
          <w:sz w:val="24"/>
          <w:szCs w:val="24"/>
          <w:lang w:eastAsia="bg-BG"/>
        </w:rPr>
        <w:t>зходите по т. 5</w:t>
      </w:r>
      <w:r w:rsidRPr="00E13199">
        <w:rPr>
          <w:rFonts w:ascii="Times New Roman" w:hAnsi="Times New Roman"/>
          <w:color w:val="000000"/>
          <w:sz w:val="24"/>
          <w:szCs w:val="24"/>
          <w:lang w:eastAsia="bg-BG"/>
        </w:rPr>
        <w:t xml:space="preserve"> не следва да надхвърлят 5 на сто от стойността на общия размер на допустимите разходи проекта;</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6. </w:t>
      </w:r>
      <w:r w:rsidR="00E13199" w:rsidRPr="00E13199">
        <w:rPr>
          <w:rFonts w:ascii="Times New Roman" w:hAnsi="Times New Roman"/>
          <w:color w:val="000000"/>
          <w:sz w:val="24"/>
          <w:szCs w:val="24"/>
          <w:lang w:eastAsia="bg-BG"/>
        </w:rPr>
        <w:t xml:space="preserve">Разходи за закупуване на земя, необходима за изграждане/модернизиране на сгради, помещения и други недвижими активи, предназначени за производствена </w:t>
      </w:r>
      <w:proofErr w:type="spellStart"/>
      <w:r w:rsidR="00E13199" w:rsidRPr="00E13199">
        <w:rPr>
          <w:rFonts w:ascii="Times New Roman" w:hAnsi="Times New Roman"/>
          <w:color w:val="000000"/>
          <w:sz w:val="24"/>
          <w:szCs w:val="24"/>
          <w:lang w:eastAsia="bg-BG"/>
        </w:rPr>
        <w:t>дейностне</w:t>
      </w:r>
      <w:proofErr w:type="spellEnd"/>
      <w:r w:rsidR="00E13199" w:rsidRPr="00E13199">
        <w:rPr>
          <w:rFonts w:ascii="Times New Roman" w:hAnsi="Times New Roman"/>
          <w:color w:val="000000"/>
          <w:sz w:val="24"/>
          <w:szCs w:val="24"/>
          <w:lang w:eastAsia="bg-BG"/>
        </w:rPr>
        <w:t>, не могат да надхвърлят 10 на сто от общия размер на допустимите разходи проекта</w:t>
      </w:r>
      <w:r w:rsidRPr="002E5632">
        <w:rPr>
          <w:rFonts w:ascii="Times New Roman" w:hAnsi="Times New Roman"/>
          <w:color w:val="000000"/>
          <w:sz w:val="24"/>
          <w:szCs w:val="24"/>
          <w:lang w:eastAsia="bg-BG"/>
        </w:rPr>
        <w:t>.</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Разходите за закупуване на земя са допустими за финансиране до размера на данъчната им оценка, валидна към датата на подаване на заявлението за подпомагане. В случай че към датата на придобиването данъчната оценка е с по-ниска стойност, допустими за финансиране са разходи до този размер.</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Няма да се предоставя финансова помощ за закупуването на превозно средство, с изключение на специализирани транспортни средства, включително превозни средства за целите на инвестицията, когато същите са допустими за финансиране съгласно </w:t>
      </w:r>
      <w:proofErr w:type="spellStart"/>
      <w:r w:rsidRPr="002E5632">
        <w:rPr>
          <w:rFonts w:ascii="Times New Roman" w:hAnsi="Times New Roman"/>
          <w:color w:val="000000"/>
          <w:sz w:val="24"/>
          <w:szCs w:val="24"/>
          <w:lang w:eastAsia="bg-BG"/>
        </w:rPr>
        <w:t>подмярка</w:t>
      </w:r>
      <w:proofErr w:type="spellEnd"/>
      <w:r w:rsidRPr="002E5632">
        <w:rPr>
          <w:rFonts w:ascii="Times New Roman" w:hAnsi="Times New Roman"/>
          <w:color w:val="000000"/>
          <w:sz w:val="24"/>
          <w:szCs w:val="24"/>
          <w:lang w:eastAsia="bg-BG"/>
        </w:rPr>
        <w:t xml:space="preserve"> 4.2. "Инвестиции в преработка/маркетинг на селскостопански продукти" от мярка 4. "Инвестиции в материални активи" от ПРСР за периода 2014 - 2020 г.</w:t>
      </w:r>
    </w:p>
    <w:p w:rsidR="002E5632" w:rsidRPr="002E5632"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 xml:space="preserve">Съгласно ПРСР 2014-2020 по </w:t>
      </w:r>
      <w:proofErr w:type="spellStart"/>
      <w:r w:rsidRPr="002E5632">
        <w:rPr>
          <w:rFonts w:ascii="Times New Roman" w:hAnsi="Times New Roman"/>
          <w:color w:val="000000"/>
          <w:sz w:val="24"/>
          <w:szCs w:val="24"/>
          <w:lang w:eastAsia="bg-BG"/>
        </w:rPr>
        <w:t>подмярка</w:t>
      </w:r>
      <w:proofErr w:type="spellEnd"/>
      <w:r w:rsidRPr="002E5632">
        <w:rPr>
          <w:rFonts w:ascii="Times New Roman" w:hAnsi="Times New Roman"/>
          <w:color w:val="000000"/>
          <w:sz w:val="24"/>
          <w:szCs w:val="24"/>
          <w:lang w:eastAsia="bg-BG"/>
        </w:rPr>
        <w:t xml:space="preserve"> 4.2 е допустимо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2E5632" w:rsidRPr="002E5632" w:rsidRDefault="002E5632" w:rsidP="002E5632">
      <w:pPr>
        <w:spacing w:after="0" w:line="240" w:lineRule="auto"/>
        <w:jc w:val="both"/>
        <w:rPr>
          <w:rFonts w:ascii="Times New Roman" w:hAnsi="Times New Roman"/>
          <w:color w:val="000000"/>
          <w:sz w:val="24"/>
          <w:szCs w:val="24"/>
          <w:lang w:eastAsia="bg-BG"/>
        </w:rPr>
      </w:pPr>
    </w:p>
    <w:p w:rsidR="005E6770" w:rsidRDefault="002E5632" w:rsidP="002E5632">
      <w:pPr>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rsidR="002E5632" w:rsidRPr="008B657A" w:rsidRDefault="002E5632" w:rsidP="002E5632">
      <w:pPr>
        <w:spacing w:after="0" w:line="240" w:lineRule="auto"/>
        <w:jc w:val="both"/>
        <w:rPr>
          <w:rFonts w:ascii="Times New Roman" w:eastAsia="Times New Roman" w:hAnsi="Times New Roman"/>
          <w:b/>
          <w:i/>
          <w:sz w:val="24"/>
          <w:szCs w:val="24"/>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3D1BD8" w:rsidRPr="008B657A" w:rsidRDefault="003D1BD8" w:rsidP="00FF56A9">
      <w:pPr>
        <w:spacing w:after="0" w:line="240" w:lineRule="auto"/>
        <w:jc w:val="both"/>
        <w:rPr>
          <w:rFonts w:ascii="Times New Roman" w:hAnsi="Times New Roman"/>
          <w:b/>
          <w:sz w:val="24"/>
          <w:szCs w:val="24"/>
          <w:lang w:eastAsia="bg-BG"/>
        </w:rPr>
      </w:pPr>
    </w:p>
    <w:p w:rsidR="007A1B37" w:rsidRDefault="007A1B37"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Cs/>
          <w:sz w:val="24"/>
          <w:szCs w:val="24"/>
          <w:lang w:eastAsia="bg-BG"/>
        </w:rPr>
      </w:pPr>
      <w:r w:rsidRPr="00781537">
        <w:rPr>
          <w:rFonts w:ascii="Times New Roman" w:eastAsia="Times New Roman" w:hAnsi="Times New Roman"/>
          <w:b/>
          <w:bCs/>
          <w:i/>
          <w:sz w:val="24"/>
          <w:szCs w:val="24"/>
          <w:u w:val="single"/>
          <w:lang w:eastAsia="bg-BG"/>
        </w:rPr>
        <w:t xml:space="preserve">Втори </w:t>
      </w:r>
      <w:r w:rsidR="00C82006">
        <w:rPr>
          <w:rFonts w:ascii="Times New Roman" w:eastAsia="Times New Roman" w:hAnsi="Times New Roman"/>
          <w:b/>
          <w:bCs/>
          <w:i/>
          <w:sz w:val="24"/>
          <w:szCs w:val="24"/>
          <w:u w:val="single"/>
          <w:lang w:eastAsia="bg-BG"/>
        </w:rPr>
        <w:t>прием</w:t>
      </w:r>
      <w:r w:rsidRPr="00781537">
        <w:rPr>
          <w:rFonts w:ascii="Times New Roman" w:eastAsia="Times New Roman" w:hAnsi="Times New Roman"/>
          <w:b/>
          <w:bCs/>
          <w:i/>
          <w:sz w:val="24"/>
          <w:szCs w:val="24"/>
          <w:u w:val="single"/>
          <w:lang w:eastAsia="bg-BG"/>
        </w:rPr>
        <w:t xml:space="preserve"> </w:t>
      </w:r>
      <w:r w:rsidR="00C82006">
        <w:rPr>
          <w:rFonts w:ascii="Times New Roman" w:eastAsia="Times New Roman" w:hAnsi="Times New Roman"/>
          <w:b/>
          <w:bCs/>
          <w:i/>
          <w:sz w:val="24"/>
          <w:szCs w:val="24"/>
          <w:u w:val="single"/>
          <w:lang w:eastAsia="bg-BG"/>
        </w:rPr>
        <w:t xml:space="preserve">: </w:t>
      </w:r>
    </w:p>
    <w:p w:rsidR="00C82006"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p>
    <w:p w:rsidR="00C82006" w:rsidRPr="008B657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w:t>
      </w:r>
      <w:r w:rsidR="004270BA">
        <w:rPr>
          <w:rFonts w:ascii="Times New Roman" w:eastAsia="Times New Roman" w:hAnsi="Times New Roman"/>
          <w:b/>
          <w:bCs/>
          <w:sz w:val="24"/>
          <w:szCs w:val="24"/>
          <w:lang w:eastAsia="bg-BG"/>
        </w:rPr>
        <w:t xml:space="preserve">втори </w:t>
      </w:r>
      <w:r w:rsidRPr="00BF580C">
        <w:rPr>
          <w:rFonts w:ascii="Times New Roman" w:eastAsia="Times New Roman" w:hAnsi="Times New Roman"/>
          <w:b/>
          <w:bCs/>
          <w:sz w:val="24"/>
          <w:szCs w:val="24"/>
          <w:lang w:eastAsia="bg-BG"/>
        </w:rPr>
        <w:t>прием на проектни предложения</w:t>
      </w:r>
      <w:r w:rsidR="004270BA">
        <w:rPr>
          <w:rFonts w:ascii="Times New Roman" w:eastAsia="Times New Roman" w:hAnsi="Times New Roman"/>
          <w:b/>
          <w:bCs/>
          <w:sz w:val="24"/>
          <w:szCs w:val="24"/>
          <w:lang w:eastAsia="bg-BG"/>
        </w:rPr>
        <w:t>:</w:t>
      </w:r>
      <w:r w:rsidRPr="00BF580C">
        <w:rPr>
          <w:rFonts w:ascii="Times New Roman" w:eastAsia="Times New Roman" w:hAnsi="Times New Roman"/>
          <w:b/>
          <w:bCs/>
          <w:sz w:val="24"/>
          <w:szCs w:val="24"/>
          <w:lang w:eastAsia="bg-BG"/>
        </w:rPr>
        <w:t xml:space="preserve"> </w:t>
      </w:r>
      <w:r w:rsidR="00152A77" w:rsidRPr="004270BA">
        <w:rPr>
          <w:rFonts w:ascii="Times New Roman" w:eastAsia="Times New Roman" w:hAnsi="Times New Roman"/>
          <w:b/>
          <w:bCs/>
          <w:sz w:val="24"/>
          <w:szCs w:val="24"/>
          <w:lang w:eastAsia="bg-BG"/>
        </w:rPr>
        <w:t>30</w:t>
      </w:r>
      <w:r w:rsidRPr="004270BA">
        <w:rPr>
          <w:rFonts w:ascii="Times New Roman" w:eastAsia="Times New Roman" w:hAnsi="Times New Roman"/>
          <w:b/>
          <w:bCs/>
          <w:sz w:val="24"/>
          <w:szCs w:val="24"/>
          <w:lang w:eastAsia="bg-BG"/>
        </w:rPr>
        <w:t>.10.20</w:t>
      </w:r>
      <w:r w:rsidR="00152A77" w:rsidRPr="004270BA">
        <w:rPr>
          <w:rFonts w:ascii="Times New Roman" w:eastAsia="Times New Roman" w:hAnsi="Times New Roman"/>
          <w:b/>
          <w:bCs/>
          <w:sz w:val="24"/>
          <w:szCs w:val="24"/>
          <w:lang w:eastAsia="bg-BG"/>
        </w:rPr>
        <w:t xml:space="preserve">20 </w:t>
      </w:r>
      <w:r w:rsidRPr="004270BA">
        <w:rPr>
          <w:rFonts w:ascii="Times New Roman" w:eastAsia="Times New Roman" w:hAnsi="Times New Roman"/>
          <w:b/>
          <w:bCs/>
          <w:sz w:val="24"/>
          <w:szCs w:val="24"/>
          <w:lang w:eastAsia="bg-BG"/>
        </w:rPr>
        <w:t>г.</w:t>
      </w:r>
      <w:r w:rsidRPr="008B657A">
        <w:rPr>
          <w:rFonts w:ascii="Times New Roman" w:eastAsia="Times New Roman" w:hAnsi="Times New Roman"/>
          <w:bCs/>
          <w:sz w:val="24"/>
          <w:szCs w:val="24"/>
          <w:lang w:eastAsia="bg-BG"/>
        </w:rPr>
        <w:t xml:space="preserve"> </w:t>
      </w:r>
    </w:p>
    <w:p w:rsidR="00C82006" w:rsidRPr="004270BA" w:rsidRDefault="00C82006" w:rsidP="00C82006">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
          <w:bCs/>
          <w:sz w:val="24"/>
          <w:szCs w:val="24"/>
          <w:lang w:eastAsia="bg-BG"/>
        </w:rPr>
      </w:pPr>
      <w:r w:rsidRPr="00BF580C">
        <w:rPr>
          <w:rFonts w:ascii="Times New Roman" w:eastAsia="Times New Roman" w:hAnsi="Times New Roman"/>
          <w:b/>
          <w:bCs/>
          <w:sz w:val="24"/>
          <w:szCs w:val="24"/>
          <w:lang w:eastAsia="bg-BG"/>
        </w:rPr>
        <w:lastRenderedPageBreak/>
        <w:t>Краен срок за представяне на предложенията</w:t>
      </w:r>
      <w:r w:rsidR="004270BA">
        <w:rPr>
          <w:rFonts w:ascii="Times New Roman" w:eastAsia="Times New Roman" w:hAnsi="Times New Roman"/>
          <w:b/>
          <w:bCs/>
          <w:sz w:val="24"/>
          <w:szCs w:val="24"/>
          <w:lang w:eastAsia="bg-BG"/>
        </w:rPr>
        <w:t>:</w:t>
      </w:r>
      <w:r w:rsidRPr="008B657A">
        <w:rPr>
          <w:rFonts w:ascii="Times New Roman" w:eastAsia="Times New Roman" w:hAnsi="Times New Roman"/>
          <w:bCs/>
          <w:sz w:val="24"/>
          <w:szCs w:val="24"/>
          <w:lang w:eastAsia="bg-BG"/>
        </w:rPr>
        <w:t xml:space="preserve"> </w:t>
      </w:r>
      <w:r w:rsidR="00152A77" w:rsidRPr="004270BA">
        <w:rPr>
          <w:rFonts w:ascii="Times New Roman" w:eastAsia="Times New Roman" w:hAnsi="Times New Roman"/>
          <w:b/>
          <w:bCs/>
          <w:sz w:val="24"/>
          <w:szCs w:val="24"/>
          <w:lang w:eastAsia="bg-BG"/>
        </w:rPr>
        <w:t>30</w:t>
      </w:r>
      <w:r w:rsidRPr="004270BA">
        <w:rPr>
          <w:rFonts w:ascii="Times New Roman" w:eastAsia="Times New Roman" w:hAnsi="Times New Roman"/>
          <w:b/>
          <w:bCs/>
          <w:sz w:val="24"/>
          <w:szCs w:val="24"/>
          <w:lang w:eastAsia="bg-BG"/>
        </w:rPr>
        <w:t>.11.20</w:t>
      </w:r>
      <w:r w:rsidR="00152A77" w:rsidRPr="004270BA">
        <w:rPr>
          <w:rFonts w:ascii="Times New Roman" w:eastAsia="Times New Roman" w:hAnsi="Times New Roman"/>
          <w:b/>
          <w:bCs/>
          <w:sz w:val="24"/>
          <w:szCs w:val="24"/>
          <w:lang w:eastAsia="bg-BG"/>
        </w:rPr>
        <w:t>20</w:t>
      </w:r>
      <w:r w:rsidRPr="004270BA">
        <w:rPr>
          <w:rFonts w:ascii="Times New Roman" w:eastAsia="Times New Roman" w:hAnsi="Times New Roman"/>
          <w:b/>
          <w:bCs/>
          <w:sz w:val="24"/>
          <w:szCs w:val="24"/>
          <w:lang w:eastAsia="bg-BG"/>
        </w:rPr>
        <w:t xml:space="preserve"> г., 17:</w:t>
      </w:r>
      <w:r w:rsidR="00152A77" w:rsidRPr="004270BA">
        <w:rPr>
          <w:rFonts w:ascii="Times New Roman" w:eastAsia="Times New Roman" w:hAnsi="Times New Roman"/>
          <w:b/>
          <w:bCs/>
          <w:sz w:val="24"/>
          <w:szCs w:val="24"/>
          <w:lang w:eastAsia="bg-BG"/>
        </w:rPr>
        <w:t>3</w:t>
      </w:r>
      <w:r w:rsidRPr="004270BA">
        <w:rPr>
          <w:rFonts w:ascii="Times New Roman" w:eastAsia="Times New Roman" w:hAnsi="Times New Roman"/>
          <w:b/>
          <w:bCs/>
          <w:sz w:val="24"/>
          <w:szCs w:val="24"/>
          <w:lang w:eastAsia="bg-BG"/>
        </w:rPr>
        <w:t>0 часа</w:t>
      </w:r>
      <w:r w:rsidR="004270BA">
        <w:rPr>
          <w:rFonts w:ascii="Times New Roman" w:eastAsia="Times New Roman" w:hAnsi="Times New Roman"/>
          <w:b/>
          <w:bCs/>
          <w:sz w:val="24"/>
          <w:szCs w:val="24"/>
          <w:lang w:eastAsia="bg-BG"/>
        </w:rPr>
        <w:t>.</w:t>
      </w:r>
    </w:p>
    <w:p w:rsidR="00840D8E"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522CC9" w:rsidRPr="00522CC9" w:rsidRDefault="00522CC9"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C2338F" w:rsidRPr="00C2338F">
        <w:rPr>
          <w:rFonts w:ascii="Times New Roman" w:hAnsi="Times New Roman"/>
          <w:b/>
          <w:color w:val="000000" w:themeColor="text1"/>
          <w:sz w:val="24"/>
          <w:szCs w:val="24"/>
          <w:shd w:val="clear" w:color="auto" w:fill="FEFEFE"/>
        </w:rPr>
        <w:t>150 389,85</w:t>
      </w:r>
      <w:r w:rsidR="00684A76" w:rsidRPr="00BC6CCF">
        <w:rPr>
          <w:rFonts w:ascii="Times New Roman" w:hAnsi="Times New Roman"/>
          <w:color w:val="000000" w:themeColor="text1"/>
          <w:sz w:val="24"/>
          <w:szCs w:val="24"/>
          <w:shd w:val="clear" w:color="auto" w:fill="FEFEFE"/>
        </w:rPr>
        <w:t xml:space="preserve"> лв.</w:t>
      </w:r>
      <w:r w:rsidR="00C2338F">
        <w:rPr>
          <w:rFonts w:ascii="Times New Roman" w:hAnsi="Times New Roman"/>
          <w:color w:val="000000" w:themeColor="text1"/>
          <w:sz w:val="24"/>
          <w:szCs w:val="24"/>
          <w:shd w:val="clear" w:color="auto" w:fill="FEFEFE"/>
        </w:rPr>
        <w:t>, остатък след първи прием.</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2E5632" w:rsidRPr="002E5632" w:rsidRDefault="002E5632" w:rsidP="002E5632">
      <w:pPr>
        <w:numPr>
          <w:ilvl w:val="0"/>
          <w:numId w:val="3"/>
        </w:numPr>
        <w:spacing w:after="0" w:line="240" w:lineRule="auto"/>
        <w:jc w:val="both"/>
        <w:rPr>
          <w:rFonts w:ascii="Times New Roman" w:eastAsia="Times New Roman" w:hAnsi="Times New Roman"/>
          <w:color w:val="000000"/>
          <w:spacing w:val="-10"/>
          <w:sz w:val="24"/>
          <w:szCs w:val="24"/>
          <w:shd w:val="clear" w:color="auto" w:fill="FFFFFF"/>
        </w:rPr>
      </w:pPr>
      <w:r w:rsidRPr="002E5632">
        <w:rPr>
          <w:rFonts w:ascii="Times New Roman" w:eastAsia="Times New Roman" w:hAnsi="Times New Roman"/>
          <w:color w:val="000000"/>
          <w:spacing w:val="-10"/>
          <w:sz w:val="24"/>
          <w:szCs w:val="24"/>
          <w:shd w:val="clear" w:color="auto" w:fill="FFFFFF"/>
        </w:rPr>
        <w:t>Минималният размер на общите допустими разходи за един проект е левовата равностойност на 20 000 евро – 39 116, 00 лева</w:t>
      </w:r>
      <w:r>
        <w:rPr>
          <w:rFonts w:ascii="Times New Roman" w:eastAsia="Times New Roman" w:hAnsi="Times New Roman"/>
          <w:color w:val="000000"/>
          <w:spacing w:val="-10"/>
          <w:sz w:val="24"/>
          <w:szCs w:val="24"/>
          <w:shd w:val="clear" w:color="auto" w:fill="FFFFFF"/>
        </w:rPr>
        <w:t>.</w:t>
      </w:r>
    </w:p>
    <w:p w:rsidR="002E5632" w:rsidRPr="002E5632" w:rsidRDefault="002E5632" w:rsidP="002E5632">
      <w:pPr>
        <w:numPr>
          <w:ilvl w:val="0"/>
          <w:numId w:val="3"/>
        </w:numPr>
        <w:spacing w:after="0" w:line="240" w:lineRule="auto"/>
        <w:jc w:val="both"/>
        <w:rPr>
          <w:rFonts w:ascii="Times New Roman" w:eastAsia="Times New Roman" w:hAnsi="Times New Roman"/>
          <w:color w:val="000000"/>
          <w:spacing w:val="-10"/>
          <w:sz w:val="24"/>
          <w:szCs w:val="24"/>
          <w:shd w:val="clear" w:color="auto" w:fill="FFFFFF"/>
        </w:rPr>
      </w:pPr>
      <w:r w:rsidRPr="002E5632">
        <w:rPr>
          <w:rFonts w:ascii="Times New Roman" w:eastAsia="Times New Roman" w:hAnsi="Times New Roman"/>
          <w:color w:val="000000"/>
          <w:spacing w:val="-10"/>
          <w:sz w:val="24"/>
          <w:szCs w:val="24"/>
          <w:shd w:val="clear" w:color="auto" w:fill="FFFFFF"/>
        </w:rPr>
        <w:t>Максималният размер на общите допустими разходи за един проект е левовата равностойност на е 200 000 евро - 195 580,00 лева.</w:t>
      </w:r>
    </w:p>
    <w:p w:rsidR="008B657A" w:rsidRPr="008B657A" w:rsidRDefault="006F51A8" w:rsidP="008351DA">
      <w:pPr>
        <w:numPr>
          <w:ilvl w:val="0"/>
          <w:numId w:val="3"/>
        </w:num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Минимален размер на безвъзмездната финансова помощ за проект – </w:t>
      </w:r>
      <w:r w:rsidR="002E5632" w:rsidRPr="002E5632">
        <w:rPr>
          <w:rFonts w:ascii="Times New Roman" w:hAnsi="Times New Roman"/>
          <w:bCs/>
          <w:color w:val="000000"/>
          <w:sz w:val="24"/>
          <w:szCs w:val="24"/>
          <w:lang w:val="ru-RU" w:eastAsia="bg-BG"/>
        </w:rPr>
        <w:t>19</w:t>
      </w:r>
      <w:r w:rsidR="002E5632" w:rsidRPr="002E5632">
        <w:rPr>
          <w:rFonts w:ascii="Times New Roman" w:hAnsi="Times New Roman"/>
          <w:bCs/>
          <w:color w:val="000000"/>
          <w:sz w:val="24"/>
          <w:szCs w:val="24"/>
          <w:lang w:eastAsia="bg-BG"/>
        </w:rPr>
        <w:t xml:space="preserve"> </w:t>
      </w:r>
      <w:r w:rsidR="002E5632" w:rsidRPr="002E5632">
        <w:rPr>
          <w:rFonts w:ascii="Times New Roman" w:hAnsi="Times New Roman"/>
          <w:bCs/>
          <w:color w:val="000000"/>
          <w:sz w:val="24"/>
          <w:szCs w:val="24"/>
          <w:lang w:val="ru-RU" w:eastAsia="bg-BG"/>
        </w:rPr>
        <w:t>558</w:t>
      </w:r>
      <w:r w:rsidR="002E5632">
        <w:rPr>
          <w:rFonts w:ascii="Times New Roman" w:hAnsi="Times New Roman"/>
          <w:bCs/>
          <w:color w:val="000000"/>
          <w:sz w:val="24"/>
          <w:szCs w:val="24"/>
          <w:lang w:val="ru-RU" w:eastAsia="bg-BG"/>
        </w:rPr>
        <w:t>,00</w:t>
      </w:r>
      <w:r w:rsidRPr="006F51A8">
        <w:rPr>
          <w:rFonts w:ascii="Times New Roman" w:hAnsi="Times New Roman"/>
          <w:color w:val="000000"/>
          <w:sz w:val="24"/>
          <w:szCs w:val="24"/>
          <w:lang w:eastAsia="bg-BG"/>
        </w:rPr>
        <w:t xml:space="preserve"> лева</w:t>
      </w:r>
      <w:r w:rsidR="008B657A" w:rsidRPr="008B657A">
        <w:rPr>
          <w:rFonts w:ascii="Times New Roman" w:hAnsi="Times New Roman"/>
          <w:color w:val="000000"/>
          <w:sz w:val="24"/>
          <w:szCs w:val="24"/>
          <w:lang w:eastAsia="bg-BG"/>
        </w:rPr>
        <w:t xml:space="preserve">. </w:t>
      </w:r>
    </w:p>
    <w:p w:rsidR="00B269F5" w:rsidRPr="008B657A" w:rsidRDefault="006F51A8" w:rsidP="006F51A8">
      <w:pPr>
        <w:numPr>
          <w:ilvl w:val="0"/>
          <w:numId w:val="3"/>
        </w:numPr>
        <w:spacing w:after="0" w:line="240" w:lineRule="auto"/>
        <w:jc w:val="both"/>
        <w:rPr>
          <w:rFonts w:ascii="Times New Roman" w:eastAsia="Times New Roman" w:hAnsi="Times New Roman"/>
          <w:b/>
          <w:sz w:val="24"/>
          <w:szCs w:val="24"/>
          <w:lang w:val="en-US"/>
        </w:rPr>
      </w:pPr>
      <w:r w:rsidRPr="006F51A8">
        <w:rPr>
          <w:rFonts w:ascii="Times New Roman" w:hAnsi="Times New Roman"/>
          <w:color w:val="000000"/>
          <w:sz w:val="24"/>
          <w:szCs w:val="24"/>
          <w:lang w:eastAsia="bg-BG"/>
        </w:rPr>
        <w:t xml:space="preserve">Максимален размер на безвъзмездната финансова помощ за проект – </w:t>
      </w:r>
      <w:r w:rsidR="002E5632" w:rsidRPr="002E5632">
        <w:rPr>
          <w:rFonts w:ascii="Times New Roman" w:hAnsi="Times New Roman"/>
          <w:bCs/>
          <w:color w:val="000000"/>
          <w:sz w:val="24"/>
          <w:szCs w:val="24"/>
          <w:lang w:eastAsia="bg-BG"/>
        </w:rPr>
        <w:t>195 580,00</w:t>
      </w:r>
      <w:r w:rsidRPr="006F51A8">
        <w:rPr>
          <w:rFonts w:ascii="Times New Roman" w:hAnsi="Times New Roman"/>
          <w:color w:val="000000"/>
          <w:sz w:val="24"/>
          <w:szCs w:val="24"/>
          <w:lang w:eastAsia="bg-BG"/>
        </w:rPr>
        <w:t xml:space="preserve"> лева</w:t>
      </w:r>
      <w:r>
        <w:rPr>
          <w:rFonts w:ascii="Times New Roman" w:hAnsi="Times New Roman"/>
          <w:color w:val="000000"/>
          <w:sz w:val="24"/>
          <w:szCs w:val="24"/>
          <w:lang w:eastAsia="bg-BG"/>
        </w:rPr>
        <w:t>.</w:t>
      </w:r>
      <w:r w:rsidR="008B657A" w:rsidRPr="008B657A">
        <w:rPr>
          <w:rFonts w:ascii="Times New Roman" w:hAnsi="Times New Roman"/>
          <w:color w:val="000000"/>
          <w:sz w:val="24"/>
          <w:szCs w:val="24"/>
          <w:lang w:eastAsia="bg-BG"/>
        </w:rPr>
        <w:t xml:space="preserve"> </w:t>
      </w:r>
    </w:p>
    <w:p w:rsidR="008B657A" w:rsidRDefault="008B657A" w:rsidP="009B2F31">
      <w:pPr>
        <w:spacing w:after="0" w:line="240" w:lineRule="auto"/>
        <w:ind w:left="1428"/>
        <w:jc w:val="both"/>
        <w:rPr>
          <w:rFonts w:ascii="Times New Roman" w:eastAsia="Times New Roman" w:hAnsi="Times New Roman"/>
          <w:b/>
          <w:sz w:val="24"/>
          <w:szCs w:val="24"/>
        </w:rPr>
      </w:pPr>
    </w:p>
    <w:p w:rsidR="009B2F31" w:rsidRPr="002E5632" w:rsidRDefault="009B2F31" w:rsidP="002E5632">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2E5632" w:rsidRPr="002E5632"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1.</w:t>
      </w:r>
      <w:r w:rsidRPr="002E5632">
        <w:rPr>
          <w:rFonts w:ascii="Times New Roman" w:hAnsi="Times New Roman"/>
          <w:color w:val="000000"/>
          <w:sz w:val="24"/>
          <w:szCs w:val="24"/>
          <w:lang w:eastAsia="bg-BG"/>
        </w:rPr>
        <w:tab/>
      </w:r>
      <w:r w:rsidR="00E13199" w:rsidRPr="00E13199">
        <w:rPr>
          <w:rFonts w:ascii="Times New Roman" w:hAnsi="Times New Roman"/>
          <w:color w:val="000000"/>
          <w:sz w:val="24"/>
          <w:szCs w:val="24"/>
          <w:lang w:eastAsia="bg-BG"/>
        </w:rPr>
        <w:t>Финансовата помощ за одобрени проекти по процедурата е в размер</w:t>
      </w:r>
      <w:r w:rsidR="00E13199">
        <w:rPr>
          <w:rFonts w:ascii="Times New Roman" w:hAnsi="Times New Roman"/>
          <w:color w:val="000000"/>
          <w:sz w:val="24"/>
          <w:szCs w:val="24"/>
          <w:lang w:eastAsia="bg-BG"/>
        </w:rPr>
        <w:t xml:space="preserve"> на</w:t>
      </w:r>
      <w:r w:rsidR="00E13199" w:rsidRPr="00E13199">
        <w:rPr>
          <w:rFonts w:ascii="Times New Roman" w:hAnsi="Times New Roman"/>
          <w:color w:val="000000"/>
          <w:sz w:val="24"/>
          <w:szCs w:val="24"/>
          <w:lang w:eastAsia="bg-BG"/>
        </w:rPr>
        <w:t xml:space="preserve"> </w:t>
      </w:r>
      <w:r w:rsidR="00E13199" w:rsidRPr="00E13199">
        <w:rPr>
          <w:rFonts w:ascii="Times New Roman" w:hAnsi="Times New Roman"/>
          <w:b/>
          <w:color w:val="000000"/>
          <w:sz w:val="24"/>
          <w:szCs w:val="24"/>
          <w:lang w:eastAsia="bg-BG"/>
        </w:rPr>
        <w:t>50 на сто</w:t>
      </w:r>
      <w:r w:rsidR="00E13199" w:rsidRPr="00E13199">
        <w:rPr>
          <w:rFonts w:ascii="Times New Roman" w:hAnsi="Times New Roman"/>
          <w:color w:val="000000"/>
          <w:sz w:val="24"/>
          <w:szCs w:val="24"/>
          <w:lang w:eastAsia="bg-BG"/>
        </w:rPr>
        <w:t xml:space="preserve"> от размера на общите допустими разходи</w:t>
      </w:r>
      <w:r w:rsidRPr="002E5632">
        <w:rPr>
          <w:rFonts w:ascii="Times New Roman" w:hAnsi="Times New Roman"/>
          <w:color w:val="000000"/>
          <w:sz w:val="24"/>
          <w:szCs w:val="24"/>
          <w:lang w:eastAsia="bg-BG"/>
        </w:rPr>
        <w:t>.</w:t>
      </w:r>
    </w:p>
    <w:p w:rsidR="009B2F31"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r w:rsidRPr="002E5632">
        <w:rPr>
          <w:rFonts w:ascii="Times New Roman" w:hAnsi="Times New Roman"/>
          <w:color w:val="000000"/>
          <w:sz w:val="24"/>
          <w:szCs w:val="24"/>
          <w:lang w:eastAsia="bg-BG"/>
        </w:rPr>
        <w:t>2.</w:t>
      </w:r>
      <w:r w:rsidRPr="002E5632">
        <w:rPr>
          <w:rFonts w:ascii="Times New Roman" w:hAnsi="Times New Roman"/>
          <w:color w:val="000000"/>
          <w:sz w:val="24"/>
          <w:szCs w:val="24"/>
          <w:lang w:eastAsia="bg-BG"/>
        </w:rPr>
        <w:tab/>
        <w:t>Разликата между пълния размер на допустимите за финансово подпомагане разходи и размера на финансовата помощ се осигурява от кандидата, като участието на кандидата може да бъде само в парична форма.</w:t>
      </w:r>
    </w:p>
    <w:p w:rsidR="002E5632" w:rsidRPr="009B2F31" w:rsidRDefault="002E5632" w:rsidP="002E5632">
      <w:pPr>
        <w:autoSpaceDE w:val="0"/>
        <w:autoSpaceDN w:val="0"/>
        <w:adjustRightInd w:val="0"/>
        <w:spacing w:after="0" w:line="240" w:lineRule="auto"/>
        <w:jc w:val="both"/>
        <w:rPr>
          <w:rFonts w:ascii="Times New Roman" w:hAnsi="Times New Roman"/>
          <w:color w:val="000000"/>
          <w:sz w:val="24"/>
          <w:szCs w:val="24"/>
          <w:lang w:eastAsia="bg-BG"/>
        </w:rPr>
      </w:pPr>
    </w:p>
    <w:p w:rsidR="00B269F5" w:rsidRPr="00B4089F" w:rsidRDefault="006F51A8"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6F51A8">
        <w:rPr>
          <w:rFonts w:ascii="Times New Roman" w:hAnsi="Times New Roman"/>
          <w:b/>
          <w:bCs/>
          <w:i/>
          <w:color w:val="000000"/>
          <w:sz w:val="23"/>
          <w:szCs w:val="23"/>
          <w:lang w:eastAsia="bg-BG"/>
        </w:rPr>
        <w:t>Критерии и методика за оценка на проектните предложения:</w:t>
      </w:r>
      <w:r w:rsidR="009B2F31" w:rsidRPr="009B2F31">
        <w:rPr>
          <w:rFonts w:ascii="Times New Roman" w:hAnsi="Times New Roman"/>
          <w:b/>
          <w:bCs/>
          <w:i/>
          <w:color w:val="000000"/>
          <w:sz w:val="23"/>
          <w:szCs w:val="23"/>
          <w:lang w:eastAsia="bg-BG"/>
        </w:rPr>
        <w:t xml:space="preserve"> </w:t>
      </w:r>
    </w:p>
    <w:p w:rsidR="00B4089F" w:rsidRDefault="00B4089F" w:rsidP="00B4089F">
      <w:pPr>
        <w:autoSpaceDE w:val="0"/>
        <w:autoSpaceDN w:val="0"/>
        <w:adjustRightInd w:val="0"/>
        <w:spacing w:after="0" w:line="240" w:lineRule="auto"/>
        <w:jc w:val="both"/>
        <w:rPr>
          <w:rFonts w:ascii="Times New Roman" w:hAnsi="Times New Roman"/>
          <w:b/>
          <w:bCs/>
          <w:i/>
          <w:color w:val="000000"/>
          <w:sz w:val="23"/>
          <w:szCs w:val="23"/>
          <w:lang w:eastAsia="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4253"/>
        <w:gridCol w:w="1701"/>
      </w:tblGrid>
      <w:tr w:rsidR="00B4089F" w:rsidRPr="00B4089F" w:rsidTr="00267AC2">
        <w:trPr>
          <w:trHeight w:val="664"/>
        </w:trPr>
        <w:tc>
          <w:tcPr>
            <w:tcW w:w="3539"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sz w:val="24"/>
                <w:szCs w:val="24"/>
                <w:lang w:eastAsia="bg-BG"/>
              </w:rPr>
            </w:pPr>
            <w:r w:rsidRPr="00B4089F">
              <w:rPr>
                <w:rFonts w:ascii="Times New Roman" w:hAnsi="Times New Roman"/>
                <w:b/>
                <w:color w:val="000000"/>
                <w:kern w:val="24"/>
                <w:sz w:val="24"/>
                <w:szCs w:val="24"/>
                <w:lang w:eastAsia="bg-BG"/>
              </w:rPr>
              <w:t>Критерии за подбор</w:t>
            </w:r>
          </w:p>
        </w:tc>
        <w:tc>
          <w:tcPr>
            <w:tcW w:w="4253"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sz w:val="24"/>
                <w:szCs w:val="24"/>
                <w:lang w:eastAsia="bg-BG"/>
              </w:rPr>
            </w:pPr>
            <w:r w:rsidRPr="00B4089F">
              <w:rPr>
                <w:rFonts w:ascii="Times New Roman" w:hAnsi="Times New Roman"/>
                <w:b/>
                <w:sz w:val="24"/>
                <w:szCs w:val="24"/>
                <w:lang w:eastAsia="bg-BG"/>
              </w:rPr>
              <w:t>Минимално изискване</w:t>
            </w:r>
          </w:p>
        </w:tc>
        <w:tc>
          <w:tcPr>
            <w:tcW w:w="1701" w:type="dxa"/>
            <w:tcBorders>
              <w:top w:val="single" w:sz="4" w:space="0" w:color="auto"/>
              <w:left w:val="single" w:sz="4" w:space="0" w:color="auto"/>
              <w:bottom w:val="single" w:sz="4" w:space="0" w:color="auto"/>
              <w:right w:val="single" w:sz="4" w:space="0" w:color="auto"/>
            </w:tcBorders>
            <w:shd w:val="clear" w:color="auto" w:fill="95B3D7"/>
          </w:tcPr>
          <w:p w:rsidR="00B4089F" w:rsidRPr="00B4089F" w:rsidRDefault="00B4089F" w:rsidP="00B4089F">
            <w:pPr>
              <w:widowControl w:val="0"/>
              <w:autoSpaceDE w:val="0"/>
              <w:autoSpaceDN w:val="0"/>
              <w:adjustRightInd w:val="0"/>
              <w:spacing w:after="0" w:line="360" w:lineRule="auto"/>
              <w:ind w:firstLine="30"/>
              <w:jc w:val="both"/>
              <w:textAlignment w:val="top"/>
              <w:rPr>
                <w:rFonts w:ascii="Times New Roman" w:hAnsi="Times New Roman"/>
                <w:b/>
                <w:sz w:val="24"/>
                <w:szCs w:val="24"/>
                <w:lang w:eastAsia="bg-BG"/>
              </w:rPr>
            </w:pPr>
            <w:r w:rsidRPr="00B4089F">
              <w:rPr>
                <w:rFonts w:ascii="Times New Roman" w:hAnsi="Times New Roman"/>
                <w:b/>
                <w:sz w:val="24"/>
                <w:szCs w:val="24"/>
                <w:lang w:eastAsia="bg-BG"/>
              </w:rPr>
              <w:t>Максимален брой точки</w:t>
            </w:r>
          </w:p>
        </w:tc>
      </w:tr>
      <w:tr w:rsidR="00B4089F" w:rsidRPr="00B4089F" w:rsidTr="00267AC2">
        <w:trPr>
          <w:trHeight w:val="850"/>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Проекти с инвестиции и дейности, насочени в чувствителни и приоритетни за територията сектори.</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Над 50 % от обема на преработваните суровини са от растителен или животински произход, попадащи в обхвата на чувствителните сектори „Плодове и зеленчуци“, „Животновъдство“ и „Етерично-</w:t>
            </w:r>
            <w:r w:rsidRPr="00B4089F">
              <w:rPr>
                <w:rFonts w:ascii="Times New Roman" w:hAnsi="Times New Roman"/>
                <w:color w:val="000000"/>
                <w:kern w:val="24"/>
                <w:sz w:val="24"/>
                <w:szCs w:val="24"/>
                <w:lang w:eastAsia="bg-BG"/>
              </w:rPr>
              <w:lastRenderedPageBreak/>
              <w:t>маслени култури“</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lastRenderedPageBreak/>
              <w:t>20 т.</w:t>
            </w:r>
          </w:p>
        </w:tc>
      </w:tr>
      <w:tr w:rsidR="00B4089F" w:rsidRPr="00B4089F" w:rsidTr="00267AC2">
        <w:trPr>
          <w:trHeight w:val="834"/>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lastRenderedPageBreak/>
              <w:t xml:space="preserve">Проекти, насърчаващи </w:t>
            </w:r>
            <w:proofErr w:type="spellStart"/>
            <w:r w:rsidRPr="00B4089F">
              <w:rPr>
                <w:rFonts w:ascii="Times New Roman" w:hAnsi="Times New Roman"/>
                <w:color w:val="000000"/>
                <w:kern w:val="24"/>
                <w:sz w:val="24"/>
                <w:szCs w:val="24"/>
                <w:lang w:eastAsia="bg-BG"/>
              </w:rPr>
              <w:t>праработката</w:t>
            </w:r>
            <w:proofErr w:type="spellEnd"/>
            <w:r w:rsidRPr="00B4089F">
              <w:rPr>
                <w:rFonts w:ascii="Times New Roman" w:hAnsi="Times New Roman"/>
                <w:color w:val="000000"/>
                <w:kern w:val="24"/>
                <w:sz w:val="24"/>
                <w:szCs w:val="24"/>
                <w:lang w:eastAsia="bg-BG"/>
              </w:rPr>
              <w:t xml:space="preserve"> на местни суровини от растителен или животински произход.</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Над 65 % от обема на преработваните суровини от растителен или животински произход, са произведени на територията на МИГ от земеделски производители, регистрирани на територията на МИГ „Долни Чифлик и Бяла“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78"/>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0"/>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Проекти с инвестиции за преработка и производство на сертифицирани биологични продукти.</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Над 65 % от обема на преработваната суровина и произведена продукция, посочена в бизнес плана ще бъде биологично сертифицирана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68"/>
        </w:trPr>
        <w:tc>
          <w:tcPr>
            <w:tcW w:w="3539" w:type="dxa"/>
            <w:vMerge w:val="restart"/>
            <w:tcBorders>
              <w:top w:val="single" w:sz="4" w:space="0" w:color="auto"/>
              <w:left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Проекти, които водят до осигуряване на устойчива заетост в предприятията.</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20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Проектът води до запазване на съществуващите работни места в предприятието</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5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до 2 нови работни места вкл.</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10 т.</w:t>
            </w:r>
          </w:p>
        </w:tc>
      </w:tr>
      <w:tr w:rsidR="00B4089F" w:rsidRPr="00B4089F" w:rsidTr="00267AC2">
        <w:trPr>
          <w:trHeight w:val="268"/>
        </w:trPr>
        <w:tc>
          <w:tcPr>
            <w:tcW w:w="3539" w:type="dxa"/>
            <w:vMerge/>
            <w:tcBorders>
              <w:left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над 2 до 5 нови работни места вкл.</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15 т.</w:t>
            </w:r>
          </w:p>
        </w:tc>
      </w:tr>
      <w:tr w:rsidR="00B4089F" w:rsidRPr="00B4089F" w:rsidTr="00267AC2">
        <w:trPr>
          <w:trHeight w:val="268"/>
        </w:trPr>
        <w:tc>
          <w:tcPr>
            <w:tcW w:w="3539" w:type="dxa"/>
            <w:vMerge/>
            <w:tcBorders>
              <w:left w:val="single" w:sz="4" w:space="0" w:color="auto"/>
              <w:bottom w:val="single" w:sz="4" w:space="0" w:color="auto"/>
              <w:right w:val="single" w:sz="4" w:space="0" w:color="auto"/>
            </w:tcBorders>
          </w:tcPr>
          <w:p w:rsidR="00B4089F" w:rsidRPr="00B4089F" w:rsidRDefault="00B4089F" w:rsidP="00B4089F">
            <w:pPr>
              <w:widowControl w:val="0"/>
              <w:tabs>
                <w:tab w:val="left" w:pos="313"/>
              </w:tabs>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Създаване на над 5 нови работни места</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20 т.</w:t>
            </w:r>
          </w:p>
        </w:tc>
      </w:tr>
      <w:tr w:rsidR="00B4089F" w:rsidRPr="00B4089F" w:rsidTr="00267AC2">
        <w:trPr>
          <w:trHeight w:val="556"/>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Проекти, при които изпълнението на проекта е свързано с внедряването на иновации в преработвателната промишленост.</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 xml:space="preserve">Над 30 % от допустимите инвестиционни разходи по проекта са свързани с иновации в предприятието. Иновация е разработването и внедряването в практиката на нов или значително подобрен продукт (стока </w:t>
            </w:r>
            <w:r w:rsidRPr="00B4089F">
              <w:rPr>
                <w:rFonts w:ascii="Times New Roman" w:hAnsi="Times New Roman"/>
                <w:color w:val="000000"/>
                <w:kern w:val="24"/>
                <w:sz w:val="24"/>
                <w:szCs w:val="24"/>
                <w:lang w:eastAsia="bg-BG"/>
              </w:rPr>
              <w:lastRenderedPageBreak/>
              <w:t>или услуга), нов процес, нов маркетингов метод, или нов организационен метод, организацията на работното място, или външни връзки, която води до повишаване на икономическа, социална и екологична ефективност.</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lastRenderedPageBreak/>
              <w:t>20 т.</w:t>
            </w:r>
          </w:p>
        </w:tc>
      </w:tr>
      <w:tr w:rsidR="00B4089F" w:rsidRPr="00B4089F" w:rsidTr="00267AC2">
        <w:trPr>
          <w:trHeight w:val="549"/>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color w:val="000000"/>
                <w:sz w:val="23"/>
                <w:szCs w:val="23"/>
                <w:lang w:eastAsia="en-GB"/>
              </w:rPr>
            </w:pPr>
            <w:r w:rsidRPr="00B4089F">
              <w:rPr>
                <w:rFonts w:ascii="Times New Roman" w:hAnsi="Times New Roman"/>
                <w:color w:val="000000"/>
                <w:kern w:val="24"/>
                <w:sz w:val="24"/>
                <w:szCs w:val="24"/>
                <w:lang w:eastAsia="bg-BG"/>
              </w:rPr>
              <w:lastRenderedPageBreak/>
              <w:t>Проекти с инвестиции, свързани с опазване на околната среда – инвестиции, водещи до намаляване на вредните емисии и/или проекти, водещи до постигане на стандартите на ЕС, свързани с минималните стандарти за защита и хуманно отношение към животните и намаляване до минимум на страданията им по време на клане</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Инвестициите следва да водят до изпълнение на изискванията на:</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 xml:space="preserve">1.Регламент </w:t>
            </w:r>
            <w:r w:rsidRPr="00B4089F">
              <w:rPr>
                <w:rFonts w:ascii="Times New Roman" w:hAnsi="Times New Roman"/>
                <w:sz w:val="20"/>
                <w:szCs w:val="20"/>
                <w:lang w:eastAsia="bg-BG"/>
              </w:rPr>
              <w:t xml:space="preserve"> </w:t>
            </w:r>
            <w:r w:rsidRPr="00B4089F">
              <w:rPr>
                <w:rFonts w:ascii="Times New Roman" w:hAnsi="Times New Roman"/>
                <w:color w:val="000000"/>
                <w:kern w:val="24"/>
                <w:sz w:val="24"/>
                <w:szCs w:val="24"/>
                <w:lang w:eastAsia="bg-BG"/>
              </w:rPr>
              <w:t xml:space="preserve">/ЕО/№ 853/2004/чл. 10, § 3, Приложение </w:t>
            </w:r>
            <w:r w:rsidRPr="00B4089F">
              <w:rPr>
                <w:rFonts w:ascii="Times New Roman" w:hAnsi="Times New Roman"/>
                <w:sz w:val="20"/>
                <w:szCs w:val="20"/>
                <w:lang w:eastAsia="bg-BG"/>
              </w:rPr>
              <w:t xml:space="preserve"> </w:t>
            </w:r>
            <w:r w:rsidRPr="00B4089F">
              <w:rPr>
                <w:rFonts w:ascii="Times New Roman" w:hAnsi="Times New Roman"/>
                <w:color w:val="000000"/>
                <w:kern w:val="24"/>
                <w:sz w:val="24"/>
                <w:szCs w:val="24"/>
                <w:lang w:eastAsia="bg-BG"/>
              </w:rPr>
              <w:t xml:space="preserve">III, Глава II и Директива 93/119/ЕС/22.12.1993 за защита на животните при клане и Наредба № 4 от 15 юли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 </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и/или</w:t>
            </w:r>
          </w:p>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2. Регламент за изпълнение на Директива 2009/125/ЕС/, които водят до намаляване на емисиите.</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240" w:lineRule="auto"/>
              <w:ind w:left="708" w:hanging="708"/>
              <w:jc w:val="both"/>
              <w:rPr>
                <w:rFonts w:ascii="Times New Roman" w:hAnsi="Times New Roman"/>
                <w:sz w:val="24"/>
                <w:szCs w:val="24"/>
                <w:lang w:eastAsia="bg-BG"/>
              </w:rPr>
            </w:pPr>
            <w:r w:rsidRPr="00B4089F">
              <w:rPr>
                <w:rFonts w:ascii="Times New Roman" w:hAnsi="Times New Roman"/>
                <w:sz w:val="24"/>
                <w:szCs w:val="24"/>
                <w:lang w:eastAsia="bg-BG"/>
              </w:rPr>
              <w:t>10 т.</w:t>
            </w:r>
          </w:p>
        </w:tc>
      </w:tr>
      <w:tr w:rsidR="00B4089F" w:rsidRPr="00B4089F" w:rsidTr="00267AC2">
        <w:trPr>
          <w:trHeight w:val="543"/>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numPr>
                <w:ilvl w:val="0"/>
                <w:numId w:val="12"/>
              </w:numPr>
              <w:tabs>
                <w:tab w:val="left" w:pos="313"/>
              </w:tabs>
              <w:autoSpaceDE w:val="0"/>
              <w:autoSpaceDN w:val="0"/>
              <w:adjustRightInd w:val="0"/>
              <w:spacing w:after="0" w:line="360" w:lineRule="auto"/>
              <w:ind w:left="0" w:firstLine="29"/>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Подпомагане на проекти за повишаване на енергийната ефективност в предприятията от преработвателната промишленост.</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tabs>
                <w:tab w:val="left" w:pos="601"/>
              </w:tabs>
              <w:autoSpaceDE w:val="0"/>
              <w:autoSpaceDN w:val="0"/>
              <w:adjustRightInd w:val="0"/>
              <w:spacing w:after="0" w:line="360" w:lineRule="auto"/>
              <w:ind w:left="34"/>
              <w:jc w:val="both"/>
              <w:textAlignment w:val="top"/>
              <w:rPr>
                <w:rFonts w:ascii="Times New Roman" w:hAnsi="Times New Roman"/>
                <w:color w:val="000000"/>
                <w:kern w:val="24"/>
                <w:sz w:val="24"/>
                <w:szCs w:val="24"/>
                <w:lang w:eastAsia="bg-BG"/>
              </w:rPr>
            </w:pPr>
            <w:r w:rsidRPr="00B4089F">
              <w:rPr>
                <w:rFonts w:ascii="Times New Roman" w:hAnsi="Times New Roman"/>
                <w:color w:val="000000"/>
                <w:kern w:val="24"/>
                <w:sz w:val="24"/>
                <w:szCs w:val="24"/>
                <w:lang w:eastAsia="bg-BG"/>
              </w:rPr>
              <w:t>Инвестициите по проекта водят до повишаване на енергийната ефективност с минимум 10 % за предприятието.</w:t>
            </w: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color w:val="000000"/>
                <w:kern w:val="24"/>
                <w:sz w:val="24"/>
                <w:szCs w:val="24"/>
                <w:lang w:eastAsia="bg-BG"/>
              </w:rPr>
              <w:t>10 т.</w:t>
            </w:r>
          </w:p>
        </w:tc>
      </w:tr>
      <w:tr w:rsidR="00B4089F" w:rsidRPr="00B4089F" w:rsidTr="00267AC2">
        <w:trPr>
          <w:trHeight w:val="495"/>
        </w:trPr>
        <w:tc>
          <w:tcPr>
            <w:tcW w:w="3539"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b/>
                <w:bCs/>
                <w:color w:val="000000"/>
                <w:kern w:val="24"/>
                <w:sz w:val="24"/>
                <w:szCs w:val="24"/>
                <w:lang w:eastAsia="bg-BG"/>
              </w:rPr>
              <w:lastRenderedPageBreak/>
              <w:t>Общо</w:t>
            </w:r>
          </w:p>
        </w:tc>
        <w:tc>
          <w:tcPr>
            <w:tcW w:w="4253"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b/>
                <w:bCs/>
                <w:color w:val="000000"/>
                <w:kern w:val="24"/>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B4089F" w:rsidRPr="00B4089F" w:rsidRDefault="00B4089F" w:rsidP="00B4089F">
            <w:pPr>
              <w:widowControl w:val="0"/>
              <w:autoSpaceDE w:val="0"/>
              <w:autoSpaceDN w:val="0"/>
              <w:adjustRightInd w:val="0"/>
              <w:spacing w:after="0" w:line="360" w:lineRule="auto"/>
              <w:ind w:left="708" w:hanging="708"/>
              <w:jc w:val="both"/>
              <w:textAlignment w:val="top"/>
              <w:rPr>
                <w:rFonts w:ascii="Times New Roman" w:hAnsi="Times New Roman"/>
                <w:sz w:val="24"/>
                <w:szCs w:val="24"/>
                <w:lang w:eastAsia="bg-BG"/>
              </w:rPr>
            </w:pPr>
            <w:r w:rsidRPr="00B4089F">
              <w:rPr>
                <w:rFonts w:ascii="Times New Roman" w:hAnsi="Times New Roman"/>
                <w:b/>
                <w:bCs/>
                <w:color w:val="000000"/>
                <w:kern w:val="24"/>
                <w:sz w:val="24"/>
                <w:szCs w:val="24"/>
                <w:lang w:eastAsia="bg-BG"/>
              </w:rPr>
              <w:t>110 т.</w:t>
            </w:r>
          </w:p>
        </w:tc>
      </w:tr>
    </w:tbl>
    <w:p w:rsidR="00B4089F" w:rsidRPr="009B2F31" w:rsidRDefault="00B4089F" w:rsidP="00B4089F">
      <w:pPr>
        <w:autoSpaceDE w:val="0"/>
        <w:autoSpaceDN w:val="0"/>
        <w:adjustRightInd w:val="0"/>
        <w:spacing w:after="0" w:line="240" w:lineRule="auto"/>
        <w:jc w:val="both"/>
        <w:rPr>
          <w:rFonts w:ascii="Times New Roman" w:hAnsi="Times New Roman"/>
          <w:i/>
          <w:color w:val="000000"/>
          <w:sz w:val="23"/>
          <w:szCs w:val="23"/>
          <w:lang w:eastAsia="bg-BG"/>
        </w:rPr>
      </w:pPr>
    </w:p>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B4089F">
        <w:rPr>
          <w:rFonts w:ascii="Times New Roman" w:eastAsia="Times New Roman" w:hAnsi="Times New Roman"/>
          <w:b/>
          <w:sz w:val="24"/>
          <w:szCs w:val="24"/>
        </w:rPr>
        <w:t>2</w:t>
      </w:r>
      <w:r>
        <w:rPr>
          <w:rFonts w:ascii="Times New Roman" w:eastAsia="Times New Roman" w:hAnsi="Times New Roman"/>
          <w:b/>
          <w:sz w:val="24"/>
          <w:szCs w:val="24"/>
        </w:rPr>
        <w:t xml:space="preserve">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B4089F">
        <w:rPr>
          <w:rFonts w:ascii="Times New Roman" w:eastAsia="Times New Roman" w:hAnsi="Times New Roman"/>
          <w:b/>
          <w:sz w:val="24"/>
          <w:szCs w:val="24"/>
        </w:rPr>
        <w:t>2</w:t>
      </w:r>
      <w:r>
        <w:rPr>
          <w:rFonts w:ascii="Times New Roman" w:eastAsia="Times New Roman" w:hAnsi="Times New Roman"/>
          <w:b/>
          <w:sz w:val="24"/>
          <w:szCs w:val="24"/>
        </w:rPr>
        <w:t xml:space="preserve">: </w:t>
      </w:r>
      <w:r w:rsidR="006F51A8">
        <w:rPr>
          <w:rFonts w:ascii="Times New Roman" w:eastAsia="Times New Roman" w:hAnsi="Times New Roman"/>
          <w:b/>
          <w:sz w:val="24"/>
          <w:szCs w:val="24"/>
        </w:rPr>
        <w:t>1</w:t>
      </w:r>
      <w:r w:rsidR="00B4089F">
        <w:rPr>
          <w:rFonts w:ascii="Times New Roman" w:eastAsia="Times New Roman" w:hAnsi="Times New Roman"/>
          <w:b/>
          <w:sz w:val="24"/>
          <w:szCs w:val="24"/>
        </w:rPr>
        <w:t>1</w:t>
      </w:r>
      <w:r>
        <w:rPr>
          <w:rFonts w:ascii="Times New Roman" w:eastAsia="Times New Roman" w:hAnsi="Times New Roman"/>
          <w:b/>
          <w:sz w:val="24"/>
          <w:szCs w:val="24"/>
        </w:rPr>
        <w:t xml:space="preserve">0 точки </w:t>
      </w:r>
    </w:p>
    <w:p w:rsidR="009B2F31"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proofErr w:type="spellStart"/>
      <w:r w:rsidRPr="008B657A">
        <w:rPr>
          <w:rFonts w:ascii="Times New Roman" w:eastAsia="Times New Roman" w:hAnsi="Times New Roman"/>
          <w:b/>
          <w:i/>
          <w:color w:val="000000"/>
          <w:spacing w:val="-10"/>
          <w:sz w:val="24"/>
          <w:szCs w:val="24"/>
          <w:shd w:val="clear" w:color="auto" w:fill="FFFFFF"/>
          <w:lang w:val="en-US"/>
        </w:rPr>
        <w:t>ице</w:t>
      </w:r>
      <w:proofErr w:type="spellEnd"/>
      <w:r w:rsidRPr="008B657A">
        <w:rPr>
          <w:rFonts w:ascii="Times New Roman" w:eastAsia="Times New Roman" w:hAnsi="Times New Roman"/>
          <w:b/>
          <w:i/>
          <w:color w:val="000000"/>
          <w:spacing w:val="-10"/>
          <w:sz w:val="24"/>
          <w:szCs w:val="24"/>
          <w:shd w:val="clear" w:color="auto" w:fill="FFFFFF"/>
          <w:lang w:val="en-US"/>
        </w:rPr>
        <w:t xml:space="preserve">/а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контакт</w:t>
      </w:r>
      <w:proofErr w:type="spellEnd"/>
      <w:r w:rsidRPr="008B657A">
        <w:rPr>
          <w:rFonts w:ascii="Times New Roman" w:eastAsia="Times New Roman" w:hAnsi="Times New Roman"/>
          <w:b/>
          <w:i/>
          <w:color w:val="000000"/>
          <w:spacing w:val="-10"/>
          <w:sz w:val="24"/>
          <w:szCs w:val="24"/>
          <w:shd w:val="clear" w:color="auto" w:fill="FFFFFF"/>
          <w:lang w:val="en-US"/>
        </w:rPr>
        <w:t xml:space="preserve"> и </w:t>
      </w:r>
      <w:proofErr w:type="spellStart"/>
      <w:r w:rsidRPr="008B657A">
        <w:rPr>
          <w:rFonts w:ascii="Times New Roman" w:eastAsia="Times New Roman" w:hAnsi="Times New Roman"/>
          <w:b/>
          <w:i/>
          <w:color w:val="000000"/>
          <w:spacing w:val="-10"/>
          <w:sz w:val="24"/>
          <w:szCs w:val="24"/>
          <w:shd w:val="clear" w:color="auto" w:fill="FFFFFF"/>
          <w:lang w:val="en-US"/>
        </w:rPr>
        <w:t>място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достъп</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подробна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информация</w:t>
      </w:r>
      <w:proofErr w:type="spellEnd"/>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Цветелина Минчева – тех</w:t>
      </w:r>
      <w:r w:rsidR="00D147DA">
        <w:rPr>
          <w:rFonts w:ascii="Times New Roman" w:eastAsia="Times New Roman" w:hAnsi="Times New Roman"/>
          <w:sz w:val="24"/>
          <w:szCs w:val="24"/>
        </w:rPr>
        <w:t>нически</w:t>
      </w:r>
      <w:bookmarkStart w:id="0" w:name="_GoBack"/>
      <w:bookmarkEnd w:id="0"/>
      <w:r w:rsidRPr="00DD6862">
        <w:rPr>
          <w:rFonts w:ascii="Times New Roman" w:eastAsia="Times New Roman" w:hAnsi="Times New Roman"/>
          <w:sz w:val="24"/>
          <w:szCs w:val="24"/>
        </w:rPr>
        <w:t xml:space="preserve">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r w:rsidR="008E06C1">
        <w:rPr>
          <w:rFonts w:ascii="Times New Roman" w:eastAsia="Times New Roman" w:hAnsi="Times New Roman"/>
          <w:sz w:val="24"/>
          <w:szCs w:val="24"/>
        </w:rPr>
        <w:t>гр.</w:t>
      </w:r>
      <w:r w:rsidR="00D147DA">
        <w:rPr>
          <w:rFonts w:ascii="Times New Roman" w:eastAsia="Times New Roman" w:hAnsi="Times New Roman"/>
          <w:sz w:val="24"/>
          <w:szCs w:val="24"/>
        </w:rPr>
        <w:t xml:space="preserve"> </w:t>
      </w:r>
      <w:r w:rsidR="008E06C1">
        <w:rPr>
          <w:rFonts w:ascii="Times New Roman" w:eastAsia="Times New Roman" w:hAnsi="Times New Roman"/>
          <w:sz w:val="24"/>
          <w:szCs w:val="24"/>
        </w:rPr>
        <w:t>Бяла,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тел</w:t>
      </w:r>
      <w:r w:rsidRPr="00E769A8">
        <w:rPr>
          <w:rFonts w:ascii="Times New Roman" w:eastAsia="Times New Roman" w:hAnsi="Times New Roman"/>
          <w:sz w:val="24"/>
          <w:szCs w:val="24"/>
        </w:rPr>
        <w:t xml:space="preserve">.: </w:t>
      </w:r>
      <w:r w:rsidR="00FE4760" w:rsidRPr="00E769A8">
        <w:rPr>
          <w:rFonts w:ascii="Times New Roman" w:hAnsi="Times New Roman"/>
          <w:sz w:val="24"/>
          <w:szCs w:val="24"/>
        </w:rPr>
        <w:t xml:space="preserve">0878 945154, </w:t>
      </w:r>
      <w:r w:rsidR="00DD6862" w:rsidRPr="00E769A8">
        <w:rPr>
          <w:rFonts w:ascii="Times New Roman" w:hAnsi="Times New Roman"/>
          <w:sz w:val="24"/>
          <w:szCs w:val="24"/>
        </w:rPr>
        <w:t>0889200102, 0886810024</w:t>
      </w:r>
      <w:r w:rsidR="00E769A8">
        <w:rPr>
          <w:rFonts w:ascii="Times New Roman" w:hAnsi="Times New Roman"/>
          <w:sz w:val="24"/>
          <w:szCs w:val="24"/>
        </w:rPr>
        <w:t>.</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E769A8">
        <w:rPr>
          <w:rFonts w:ascii="Times New Roman" w:hAnsi="Times New Roman"/>
          <w:b/>
          <w:sz w:val="24"/>
          <w:szCs w:val="24"/>
        </w:rPr>
        <w:t>migd4b@abv.bg</w:t>
      </w:r>
    </w:p>
    <w:p w:rsidR="003F5FD2" w:rsidRDefault="003F5FD2" w:rsidP="003D1BD8">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Разясненията </w:t>
      </w:r>
      <w:r w:rsidR="008C0E3A" w:rsidRPr="008C0E3A">
        <w:rPr>
          <w:rFonts w:ascii="Times New Roman" w:eastAsia="Times New Roman" w:hAnsi="Times New Roman"/>
          <w:sz w:val="24"/>
          <w:szCs w:val="24"/>
        </w:rPr>
        <w:t>се публикуват на електронната страница на МИГ „Долни Чифлик и Бяла“ и в ИСУН в 10-дневен срок от получаване на искането, но не по-късно от две седмици преди изтичането на срока за кандидатстване и са задължителни за всички кандидати</w:t>
      </w:r>
      <w:r>
        <w:rPr>
          <w:rFonts w:ascii="Times New Roman" w:eastAsia="Times New Roman" w:hAnsi="Times New Roman"/>
          <w:sz w:val="24"/>
          <w:szCs w:val="24"/>
        </w:rPr>
        <w:t>.</w:t>
      </w:r>
    </w:p>
    <w:p w:rsidR="00BF5A6F" w:rsidRPr="008B657A" w:rsidRDefault="00BF5A6F" w:rsidP="003D1BD8">
      <w:pPr>
        <w:spacing w:after="0" w:line="240" w:lineRule="auto"/>
        <w:jc w:val="both"/>
        <w:rPr>
          <w:rFonts w:ascii="Times New Roman" w:eastAsia="Times New Roman" w:hAnsi="Times New Roman"/>
          <w:sz w:val="24"/>
          <w:szCs w:val="24"/>
        </w:rPr>
      </w:pPr>
      <w:proofErr w:type="spellStart"/>
      <w:r w:rsidRPr="008B657A">
        <w:rPr>
          <w:rFonts w:ascii="Times New Roman" w:eastAsia="Times New Roman" w:hAnsi="Times New Roman"/>
          <w:sz w:val="24"/>
          <w:szCs w:val="24"/>
          <w:lang w:val="en-US"/>
        </w:rPr>
        <w:t>Пълният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пакет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документи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за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кандидатстване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публикувани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на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следните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интернет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адреси</w:t>
      </w:r>
      <w:proofErr w:type="spellEnd"/>
      <w:r w:rsidRPr="008B657A">
        <w:rPr>
          <w:rFonts w:ascii="Times New Roman" w:eastAsia="Times New Roman" w:hAnsi="Times New Roman"/>
          <w:sz w:val="24"/>
          <w:szCs w:val="24"/>
          <w:lang w:val="en-US"/>
        </w:rPr>
        <w:t xml:space="preserve">: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hyperlink r:id="rId9" w:history="1">
        <w:r w:rsidR="006F51A8" w:rsidRPr="00E72EBD">
          <w:rPr>
            <w:rStyle w:val="Hyperlink"/>
            <w:rFonts w:ascii="Times New Roman" w:eastAsia="Times New Roman" w:hAnsi="Times New Roman"/>
            <w:sz w:val="24"/>
            <w:szCs w:val="24"/>
          </w:rPr>
          <w:t>http://www.mig-db.org/</w:t>
        </w:r>
      </w:hyperlink>
      <w:r w:rsidR="006F51A8">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сайта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Информационната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система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управление</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наблюдение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средствата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от</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Европейските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структурни</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инвестиционни</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фондове</w:t>
      </w:r>
      <w:proofErr w:type="spellEnd"/>
      <w:r w:rsidR="00BF5A6F" w:rsidRPr="008B657A">
        <w:rPr>
          <w:rFonts w:ascii="Times New Roman" w:eastAsia="Times New Roman" w:hAnsi="Times New Roman"/>
          <w:sz w:val="24"/>
          <w:szCs w:val="24"/>
          <w:lang w:val="en-US"/>
        </w:rPr>
        <w:t xml:space="preserve"> (ИСУН 2020) в </w:t>
      </w:r>
      <w:proofErr w:type="spellStart"/>
      <w:r w:rsidR="00BF5A6F" w:rsidRPr="008B657A">
        <w:rPr>
          <w:rFonts w:ascii="Times New Roman" w:eastAsia="Times New Roman" w:hAnsi="Times New Roman"/>
          <w:sz w:val="24"/>
          <w:szCs w:val="24"/>
          <w:lang w:val="en-US"/>
        </w:rPr>
        <w:t>модула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електронно</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кандидатстване</w:t>
      </w:r>
      <w:proofErr w:type="spellEnd"/>
      <w:r w:rsidR="00BF5A6F" w:rsidRPr="008B657A">
        <w:rPr>
          <w:rFonts w:ascii="Times New Roman" w:eastAsia="Times New Roman" w:hAnsi="Times New Roman"/>
          <w:sz w:val="24"/>
          <w:szCs w:val="24"/>
          <w:lang w:val="en-US"/>
        </w:rPr>
        <w:t xml:space="preserve">: </w:t>
      </w:r>
      <w:hyperlink r:id="rId10"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FF56A9">
      <w:pPr>
        <w:spacing w:after="0" w:line="240" w:lineRule="auto"/>
        <w:jc w:val="both"/>
        <w:rPr>
          <w:rFonts w:ascii="Times New Roman" w:eastAsia="Times New Roman" w:hAnsi="Times New Roman"/>
          <w:sz w:val="24"/>
          <w:szCs w:val="24"/>
        </w:rPr>
      </w:pP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color w:val="000000"/>
          <w:spacing w:val="-10"/>
          <w:sz w:val="24"/>
          <w:szCs w:val="24"/>
          <w:shd w:val="clear" w:color="auto" w:fill="FFFFFF"/>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1" w:history="1">
        <w:r w:rsidRPr="008B657A">
          <w:rPr>
            <w:rFonts w:ascii="Times New Roman" w:hAnsi="Times New Roman"/>
            <w:color w:val="0563C1"/>
            <w:sz w:val="24"/>
            <w:szCs w:val="24"/>
            <w:u w:val="single"/>
          </w:rPr>
          <w:t>http://eumis2020.government.bg/</w:t>
        </w:r>
      </w:hyperlink>
    </w:p>
    <w:p w:rsidR="00BF5A6F" w:rsidRPr="008B657A" w:rsidRDefault="00BF5A6F" w:rsidP="00FF56A9">
      <w:pPr>
        <w:spacing w:after="0" w:line="240" w:lineRule="auto"/>
        <w:jc w:val="both"/>
        <w:rPr>
          <w:rFonts w:ascii="Times New Roman" w:eastAsia="Times New Roman" w:hAnsi="Times New Roman"/>
          <w:sz w:val="24"/>
          <w:szCs w:val="24"/>
        </w:rPr>
      </w:pPr>
    </w:p>
    <w:sectPr w:rsidR="00BF5A6F" w:rsidRPr="008B657A" w:rsidSect="00B269F5">
      <w:headerReference w:type="default" r:id="rId12"/>
      <w:footerReference w:type="default" r:id="rId13"/>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83" w:rsidRDefault="00C07983" w:rsidP="00441F18">
      <w:pPr>
        <w:spacing w:after="0" w:line="240" w:lineRule="auto"/>
      </w:pPr>
      <w:r>
        <w:separator/>
      </w:r>
    </w:p>
  </w:endnote>
  <w:endnote w:type="continuationSeparator" w:id="0">
    <w:p w:rsidR="00C07983" w:rsidRDefault="00C07983"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D147DA">
              <w:rPr>
                <w:b/>
                <w:noProof/>
              </w:rPr>
              <w:t>9</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D147DA">
              <w:rPr>
                <w:b/>
                <w:noProof/>
              </w:rPr>
              <w:t>9</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83" w:rsidRDefault="00C07983" w:rsidP="00441F18">
      <w:pPr>
        <w:spacing w:after="0" w:line="240" w:lineRule="auto"/>
      </w:pPr>
      <w:r>
        <w:separator/>
      </w:r>
    </w:p>
  </w:footnote>
  <w:footnote w:type="continuationSeparator" w:id="0">
    <w:p w:rsidR="00C07983" w:rsidRDefault="00C07983"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F457A62"/>
    <w:multiLevelType w:val="multilevel"/>
    <w:tmpl w:val="9F68E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1"/>
  </w:num>
  <w:num w:numId="3">
    <w:abstractNumId w:val="4"/>
  </w:num>
  <w:num w:numId="4">
    <w:abstractNumId w:val="10"/>
  </w:num>
  <w:num w:numId="5">
    <w:abstractNumId w:val="3"/>
  </w:num>
  <w:num w:numId="6">
    <w:abstractNumId w:val="9"/>
  </w:num>
  <w:num w:numId="7">
    <w:abstractNumId w:val="6"/>
  </w:num>
  <w:num w:numId="8">
    <w:abstractNumId w:val="5"/>
  </w:num>
  <w:num w:numId="9">
    <w:abstractNumId w:val="8"/>
  </w:num>
  <w:num w:numId="10">
    <w:abstractNumId w:val="0"/>
  </w:num>
  <w:num w:numId="11">
    <w:abstractNumId w:val="7"/>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33BC5"/>
    <w:rsid w:val="000451C7"/>
    <w:rsid w:val="000461B2"/>
    <w:rsid w:val="00046C25"/>
    <w:rsid w:val="00051DF5"/>
    <w:rsid w:val="00065E78"/>
    <w:rsid w:val="000677B4"/>
    <w:rsid w:val="00074B7C"/>
    <w:rsid w:val="0009638F"/>
    <w:rsid w:val="000A6093"/>
    <w:rsid w:val="000B539E"/>
    <w:rsid w:val="000C2DD7"/>
    <w:rsid w:val="000C4754"/>
    <w:rsid w:val="000C669D"/>
    <w:rsid w:val="000D1374"/>
    <w:rsid w:val="000D2A22"/>
    <w:rsid w:val="000D2DC8"/>
    <w:rsid w:val="000D3562"/>
    <w:rsid w:val="000D5BA8"/>
    <w:rsid w:val="000D650B"/>
    <w:rsid w:val="000E0B08"/>
    <w:rsid w:val="000E19D0"/>
    <w:rsid w:val="000E3E8B"/>
    <w:rsid w:val="000F7FDF"/>
    <w:rsid w:val="0010247F"/>
    <w:rsid w:val="0011779A"/>
    <w:rsid w:val="00121525"/>
    <w:rsid w:val="00121986"/>
    <w:rsid w:val="0013407B"/>
    <w:rsid w:val="0013683A"/>
    <w:rsid w:val="00141F06"/>
    <w:rsid w:val="00142100"/>
    <w:rsid w:val="0014555E"/>
    <w:rsid w:val="00152A77"/>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6F5E"/>
    <w:rsid w:val="002120FE"/>
    <w:rsid w:val="002131F1"/>
    <w:rsid w:val="00226AB0"/>
    <w:rsid w:val="00234B5B"/>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2E5632"/>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3F5FD2"/>
    <w:rsid w:val="0040089E"/>
    <w:rsid w:val="00404973"/>
    <w:rsid w:val="004160F4"/>
    <w:rsid w:val="00426ECD"/>
    <w:rsid w:val="004270BA"/>
    <w:rsid w:val="00441F18"/>
    <w:rsid w:val="00445261"/>
    <w:rsid w:val="0044554E"/>
    <w:rsid w:val="00451B6D"/>
    <w:rsid w:val="004554D9"/>
    <w:rsid w:val="00470104"/>
    <w:rsid w:val="00473CBB"/>
    <w:rsid w:val="00474341"/>
    <w:rsid w:val="00475BC8"/>
    <w:rsid w:val="00475C6D"/>
    <w:rsid w:val="004827FB"/>
    <w:rsid w:val="00483728"/>
    <w:rsid w:val="00486847"/>
    <w:rsid w:val="00496445"/>
    <w:rsid w:val="004A0E76"/>
    <w:rsid w:val="004A54F5"/>
    <w:rsid w:val="004B78BA"/>
    <w:rsid w:val="004C7124"/>
    <w:rsid w:val="004F6083"/>
    <w:rsid w:val="004F7ADE"/>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1A8"/>
    <w:rsid w:val="006F55B6"/>
    <w:rsid w:val="0071289E"/>
    <w:rsid w:val="00716DE5"/>
    <w:rsid w:val="007207EB"/>
    <w:rsid w:val="0072190F"/>
    <w:rsid w:val="00721A83"/>
    <w:rsid w:val="0072735C"/>
    <w:rsid w:val="00730C80"/>
    <w:rsid w:val="00750D30"/>
    <w:rsid w:val="0075272F"/>
    <w:rsid w:val="0076778E"/>
    <w:rsid w:val="007701CA"/>
    <w:rsid w:val="00771C31"/>
    <w:rsid w:val="00780327"/>
    <w:rsid w:val="00781537"/>
    <w:rsid w:val="00793A9F"/>
    <w:rsid w:val="007A164A"/>
    <w:rsid w:val="007A187C"/>
    <w:rsid w:val="007A1B37"/>
    <w:rsid w:val="007A516D"/>
    <w:rsid w:val="007C09DC"/>
    <w:rsid w:val="007C14A8"/>
    <w:rsid w:val="007C4FA4"/>
    <w:rsid w:val="007C59C5"/>
    <w:rsid w:val="007D062C"/>
    <w:rsid w:val="007E5AB7"/>
    <w:rsid w:val="007E6EA7"/>
    <w:rsid w:val="007F2F35"/>
    <w:rsid w:val="008063D5"/>
    <w:rsid w:val="00815519"/>
    <w:rsid w:val="008204EA"/>
    <w:rsid w:val="00821457"/>
    <w:rsid w:val="00831C23"/>
    <w:rsid w:val="008351DA"/>
    <w:rsid w:val="00840D8E"/>
    <w:rsid w:val="008602CC"/>
    <w:rsid w:val="008607CD"/>
    <w:rsid w:val="00861CD1"/>
    <w:rsid w:val="008628C6"/>
    <w:rsid w:val="008832B1"/>
    <w:rsid w:val="00895B8F"/>
    <w:rsid w:val="008B0495"/>
    <w:rsid w:val="008B2110"/>
    <w:rsid w:val="008B657A"/>
    <w:rsid w:val="008B744E"/>
    <w:rsid w:val="008C0E3A"/>
    <w:rsid w:val="008C2F19"/>
    <w:rsid w:val="008D0A77"/>
    <w:rsid w:val="008D2925"/>
    <w:rsid w:val="008D2FF3"/>
    <w:rsid w:val="008E06C1"/>
    <w:rsid w:val="008E0BB0"/>
    <w:rsid w:val="008F3126"/>
    <w:rsid w:val="008F45EB"/>
    <w:rsid w:val="00912C0E"/>
    <w:rsid w:val="00926E35"/>
    <w:rsid w:val="009321F5"/>
    <w:rsid w:val="00932E13"/>
    <w:rsid w:val="00935051"/>
    <w:rsid w:val="00935942"/>
    <w:rsid w:val="00950A70"/>
    <w:rsid w:val="00957AED"/>
    <w:rsid w:val="0096455C"/>
    <w:rsid w:val="00972C35"/>
    <w:rsid w:val="0097561C"/>
    <w:rsid w:val="00980836"/>
    <w:rsid w:val="00981034"/>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14F01"/>
    <w:rsid w:val="00A21665"/>
    <w:rsid w:val="00A2685D"/>
    <w:rsid w:val="00A30040"/>
    <w:rsid w:val="00A322D8"/>
    <w:rsid w:val="00A36EE8"/>
    <w:rsid w:val="00A608C3"/>
    <w:rsid w:val="00A7309B"/>
    <w:rsid w:val="00A83E07"/>
    <w:rsid w:val="00AA4D3B"/>
    <w:rsid w:val="00AB16AF"/>
    <w:rsid w:val="00AB176E"/>
    <w:rsid w:val="00AB45F7"/>
    <w:rsid w:val="00AC31E4"/>
    <w:rsid w:val="00AD0D41"/>
    <w:rsid w:val="00AF5D75"/>
    <w:rsid w:val="00AF6BC1"/>
    <w:rsid w:val="00B0406F"/>
    <w:rsid w:val="00B045CF"/>
    <w:rsid w:val="00B05FD8"/>
    <w:rsid w:val="00B13A60"/>
    <w:rsid w:val="00B269F5"/>
    <w:rsid w:val="00B4089F"/>
    <w:rsid w:val="00B42A52"/>
    <w:rsid w:val="00B43D71"/>
    <w:rsid w:val="00B53024"/>
    <w:rsid w:val="00B5377D"/>
    <w:rsid w:val="00B56553"/>
    <w:rsid w:val="00B67BB3"/>
    <w:rsid w:val="00B70754"/>
    <w:rsid w:val="00B73375"/>
    <w:rsid w:val="00B73C47"/>
    <w:rsid w:val="00B81C50"/>
    <w:rsid w:val="00B842CB"/>
    <w:rsid w:val="00B87641"/>
    <w:rsid w:val="00B915FB"/>
    <w:rsid w:val="00B9214A"/>
    <w:rsid w:val="00B95E1D"/>
    <w:rsid w:val="00B96821"/>
    <w:rsid w:val="00B96B40"/>
    <w:rsid w:val="00BC6CCF"/>
    <w:rsid w:val="00BD1C48"/>
    <w:rsid w:val="00BD2D3B"/>
    <w:rsid w:val="00BD55D0"/>
    <w:rsid w:val="00BF49F4"/>
    <w:rsid w:val="00BF580C"/>
    <w:rsid w:val="00BF5A6F"/>
    <w:rsid w:val="00BF67F8"/>
    <w:rsid w:val="00C019BD"/>
    <w:rsid w:val="00C01E1D"/>
    <w:rsid w:val="00C07983"/>
    <w:rsid w:val="00C10D46"/>
    <w:rsid w:val="00C10EA0"/>
    <w:rsid w:val="00C16D63"/>
    <w:rsid w:val="00C200D5"/>
    <w:rsid w:val="00C2338F"/>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4096"/>
    <w:rsid w:val="00D0639B"/>
    <w:rsid w:val="00D10348"/>
    <w:rsid w:val="00D13BCC"/>
    <w:rsid w:val="00D147DA"/>
    <w:rsid w:val="00D22505"/>
    <w:rsid w:val="00D33CC1"/>
    <w:rsid w:val="00D34696"/>
    <w:rsid w:val="00D34B6D"/>
    <w:rsid w:val="00D36542"/>
    <w:rsid w:val="00D366D1"/>
    <w:rsid w:val="00D43F5E"/>
    <w:rsid w:val="00D44667"/>
    <w:rsid w:val="00D57560"/>
    <w:rsid w:val="00D8055A"/>
    <w:rsid w:val="00D84EB8"/>
    <w:rsid w:val="00D864AE"/>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13199"/>
    <w:rsid w:val="00E237A7"/>
    <w:rsid w:val="00E24984"/>
    <w:rsid w:val="00E31C7E"/>
    <w:rsid w:val="00E337BA"/>
    <w:rsid w:val="00E5540C"/>
    <w:rsid w:val="00E609BA"/>
    <w:rsid w:val="00E6168F"/>
    <w:rsid w:val="00E61B73"/>
    <w:rsid w:val="00E61D9F"/>
    <w:rsid w:val="00E769A8"/>
    <w:rsid w:val="00E8096A"/>
    <w:rsid w:val="00E8157B"/>
    <w:rsid w:val="00E817E8"/>
    <w:rsid w:val="00E86DB1"/>
    <w:rsid w:val="00E929C4"/>
    <w:rsid w:val="00E94FFD"/>
    <w:rsid w:val="00EA0C6C"/>
    <w:rsid w:val="00EA1EEB"/>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F1109"/>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www.mig-d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D8F85-9E8A-49E5-ABB5-247DEA1C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2970</Words>
  <Characters>16935</Characters>
  <Application>Microsoft Office Word</Application>
  <DocSecurity>0</DocSecurity>
  <Lines>141</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19866</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3</cp:revision>
  <cp:lastPrinted>2017-06-28T07:19:00Z</cp:lastPrinted>
  <dcterms:created xsi:type="dcterms:W3CDTF">2020-10-27T08:24:00Z</dcterms:created>
  <dcterms:modified xsi:type="dcterms:W3CDTF">2020-10-27T08:25:00Z</dcterms:modified>
</cp:coreProperties>
</file>