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029E0" w14:textId="77777777" w:rsidR="00482003" w:rsidRPr="00482003" w:rsidRDefault="00482003" w:rsidP="00482003">
      <w:pPr>
        <w:tabs>
          <w:tab w:val="left" w:pos="2265"/>
          <w:tab w:val="left" w:pos="7305"/>
        </w:tabs>
        <w:spacing w:before="120" w:after="0"/>
        <w:ind w:right="-7"/>
        <w:jc w:val="both"/>
        <w:rPr>
          <w:rFonts w:ascii="Times New Roman" w:eastAsia="Times New Roman" w:hAnsi="Times New Roman" w:cs="Times New Roman"/>
          <w:sz w:val="24"/>
          <w:szCs w:val="24"/>
          <w:lang w:eastAsia="en-US"/>
        </w:rPr>
      </w:pPr>
      <w:r w:rsidRPr="00482003">
        <w:rPr>
          <w:rFonts w:ascii="Times New Roman" w:eastAsia="Times New Roman" w:hAnsi="Times New Roman" w:cs="Times New Roman"/>
          <w:noProof/>
          <w:sz w:val="24"/>
          <w:szCs w:val="24"/>
          <w:lang w:val="en-US" w:eastAsia="en-US"/>
        </w:rPr>
        <w:drawing>
          <wp:anchor distT="0" distB="0" distL="114300" distR="114300" simplePos="0" relativeHeight="251659264" behindDoc="0" locked="0" layoutInCell="1" allowOverlap="1" wp14:anchorId="022815DD" wp14:editId="56DB675F">
            <wp:simplePos x="0" y="0"/>
            <wp:positionH relativeFrom="column">
              <wp:posOffset>304800</wp:posOffset>
            </wp:positionH>
            <wp:positionV relativeFrom="paragraph">
              <wp:posOffset>0</wp:posOffset>
            </wp:positionV>
            <wp:extent cx="1143000" cy="8001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Pr="00482003">
        <w:rPr>
          <w:rFonts w:ascii="Times New Roman" w:eastAsia="Times New Roman" w:hAnsi="Times New Roman" w:cs="Times New Roman"/>
          <w:noProof/>
          <w:sz w:val="24"/>
          <w:szCs w:val="24"/>
          <w:lang w:val="en-US" w:eastAsia="en-US"/>
        </w:rPr>
        <w:drawing>
          <wp:anchor distT="0" distB="0" distL="114300" distR="114300" simplePos="0" relativeHeight="251660288" behindDoc="0" locked="0" layoutInCell="1" allowOverlap="1" wp14:anchorId="3A19882C" wp14:editId="0089D69B">
            <wp:simplePos x="0" y="0"/>
            <wp:positionH relativeFrom="column">
              <wp:posOffset>3343275</wp:posOffset>
            </wp:positionH>
            <wp:positionV relativeFrom="paragraph">
              <wp:posOffset>-80010</wp:posOffset>
            </wp:positionV>
            <wp:extent cx="1143000" cy="8001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Pr="00482003">
        <w:rPr>
          <w:rFonts w:ascii="Times New Roman" w:eastAsia="Times New Roman" w:hAnsi="Times New Roman" w:cs="Times New Roman"/>
          <w:noProof/>
          <w:sz w:val="24"/>
          <w:szCs w:val="24"/>
          <w:lang w:val="en-US" w:eastAsia="en-US"/>
        </w:rPr>
        <w:drawing>
          <wp:inline distT="0" distB="0" distL="0" distR="0" wp14:anchorId="42FAAAE3" wp14:editId="257A913F">
            <wp:extent cx="10572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685800"/>
                    </a:xfrm>
                    <a:prstGeom prst="rect">
                      <a:avLst/>
                    </a:prstGeom>
                    <a:noFill/>
                    <a:ln>
                      <a:noFill/>
                    </a:ln>
                  </pic:spPr>
                </pic:pic>
              </a:graphicData>
            </a:graphic>
          </wp:inline>
        </w:drawing>
      </w:r>
      <w:r w:rsidRPr="00482003">
        <w:rPr>
          <w:rFonts w:ascii="Times New Roman" w:eastAsia="Times New Roman" w:hAnsi="Times New Roman" w:cs="Times New Roman"/>
          <w:noProof/>
          <w:sz w:val="24"/>
          <w:szCs w:val="24"/>
        </w:rPr>
        <w:tab/>
      </w:r>
      <w:r w:rsidRPr="00482003">
        <w:rPr>
          <w:rFonts w:ascii="Times New Roman" w:eastAsia="Times New Roman" w:hAnsi="Times New Roman" w:cs="Times New Roman"/>
          <w:noProof/>
          <w:sz w:val="24"/>
          <w:szCs w:val="24"/>
          <w:lang w:val="en-US" w:eastAsia="en-US"/>
        </w:rPr>
        <w:drawing>
          <wp:inline distT="0" distB="0" distL="0" distR="0" wp14:anchorId="6A22E777" wp14:editId="5816A84E">
            <wp:extent cx="1085850" cy="8096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pic:spPr>
                </pic:pic>
              </a:graphicData>
            </a:graphic>
          </wp:inline>
        </w:drawing>
      </w:r>
    </w:p>
    <w:p w14:paraId="24B333E5" w14:textId="77777777" w:rsidR="00482003" w:rsidRPr="00482003" w:rsidRDefault="00482003" w:rsidP="00482003">
      <w:pPr>
        <w:widowControl w:val="0"/>
        <w:autoSpaceDE w:val="0"/>
        <w:autoSpaceDN w:val="0"/>
        <w:adjustRightInd w:val="0"/>
        <w:spacing w:after="0" w:line="240" w:lineRule="auto"/>
        <w:ind w:left="5652" w:firstLine="720"/>
        <w:jc w:val="center"/>
        <w:rPr>
          <w:rFonts w:ascii="Times New Roman" w:eastAsia="Times New Roman" w:hAnsi="Times New Roman" w:cs="Times New Roman"/>
          <w:sz w:val="24"/>
          <w:szCs w:val="24"/>
          <w:shd w:val="clear" w:color="auto" w:fill="FEFEFE"/>
        </w:rPr>
      </w:pPr>
    </w:p>
    <w:p w14:paraId="09DA908B" w14:textId="77777777" w:rsidR="00482003" w:rsidRPr="00482003" w:rsidRDefault="00482003" w:rsidP="00482003">
      <w:pPr>
        <w:widowControl w:val="0"/>
        <w:autoSpaceDE w:val="0"/>
        <w:autoSpaceDN w:val="0"/>
        <w:adjustRightInd w:val="0"/>
        <w:spacing w:after="0" w:line="240" w:lineRule="auto"/>
        <w:ind w:left="5652" w:firstLine="720"/>
        <w:jc w:val="center"/>
        <w:rPr>
          <w:rFonts w:ascii="Times New Roman" w:eastAsia="Times New Roman" w:hAnsi="Times New Roman" w:cs="Times New Roman"/>
          <w:sz w:val="24"/>
          <w:szCs w:val="24"/>
          <w:shd w:val="clear" w:color="auto" w:fill="FEFEFE"/>
        </w:rPr>
      </w:pPr>
    </w:p>
    <w:p w14:paraId="20E7C864" w14:textId="77777777" w:rsidR="00C56AA1" w:rsidRPr="004A5570" w:rsidRDefault="00C56AA1" w:rsidP="00C56AA1">
      <w:pPr>
        <w:tabs>
          <w:tab w:val="left" w:pos="2265"/>
          <w:tab w:val="left" w:pos="7305"/>
        </w:tabs>
        <w:spacing w:before="120" w:after="0"/>
        <w:ind w:right="-7"/>
        <w:jc w:val="both"/>
        <w:rPr>
          <w:rFonts w:ascii="Times New Roman" w:eastAsia="Times New Roman" w:hAnsi="Times New Roman" w:cs="Times New Roman"/>
          <w:sz w:val="24"/>
          <w:szCs w:val="24"/>
        </w:rPr>
      </w:pPr>
    </w:p>
    <w:p w14:paraId="76FF5807" w14:textId="77777777" w:rsidR="00C56AA1" w:rsidRPr="004A5570" w:rsidRDefault="00C56AA1" w:rsidP="00705561">
      <w:pPr>
        <w:spacing w:before="120" w:after="0"/>
        <w:rPr>
          <w:rFonts w:ascii="Times New Roman" w:hAnsi="Times New Roman" w:cs="Times New Roman"/>
          <w:b/>
          <w:sz w:val="24"/>
          <w:szCs w:val="24"/>
          <w:shd w:val="clear" w:color="auto" w:fill="FEFEFE"/>
        </w:rPr>
      </w:pPr>
    </w:p>
    <w:p w14:paraId="3CE0EB1F" w14:textId="6D258214" w:rsidR="00705561" w:rsidRPr="004A5570" w:rsidRDefault="00156EAC" w:rsidP="00156EAC">
      <w:pPr>
        <w:spacing w:before="120" w:after="0"/>
        <w:jc w:val="right"/>
        <w:rPr>
          <w:rFonts w:ascii="Times New Roman" w:hAnsi="Times New Roman" w:cs="Times New Roman"/>
          <w:b/>
          <w:sz w:val="24"/>
          <w:szCs w:val="24"/>
          <w:shd w:val="clear" w:color="auto" w:fill="FEFEFE"/>
        </w:rPr>
      </w:pPr>
      <w:r w:rsidRPr="004A5570">
        <w:rPr>
          <w:rFonts w:ascii="Times New Roman" w:hAnsi="Times New Roman" w:cs="Times New Roman"/>
          <w:b/>
          <w:sz w:val="24"/>
          <w:szCs w:val="24"/>
          <w:shd w:val="clear" w:color="auto" w:fill="FEFEFE"/>
        </w:rPr>
        <w:t xml:space="preserve">Приложение </w:t>
      </w:r>
      <w:r w:rsidR="00705561" w:rsidRPr="004A5570">
        <w:rPr>
          <w:rFonts w:ascii="Times New Roman" w:hAnsi="Times New Roman" w:cs="Times New Roman"/>
          <w:b/>
          <w:sz w:val="24"/>
          <w:szCs w:val="24"/>
          <w:shd w:val="clear" w:color="auto" w:fill="FEFEFE"/>
        </w:rPr>
        <w:t xml:space="preserve">№ </w:t>
      </w:r>
      <w:r w:rsidR="006662EA" w:rsidRPr="004A5570">
        <w:rPr>
          <w:rFonts w:ascii="Times New Roman" w:hAnsi="Times New Roman" w:cs="Times New Roman"/>
          <w:b/>
          <w:sz w:val="24"/>
          <w:szCs w:val="24"/>
          <w:shd w:val="clear" w:color="auto" w:fill="FEFEFE"/>
        </w:rPr>
        <w:t>4</w:t>
      </w:r>
      <w:r>
        <w:rPr>
          <w:rFonts w:ascii="Times New Roman" w:hAnsi="Times New Roman" w:cs="Times New Roman"/>
          <w:b/>
          <w:sz w:val="24"/>
          <w:szCs w:val="24"/>
          <w:shd w:val="clear" w:color="auto" w:fill="FEFEFE"/>
        </w:rPr>
        <w:t xml:space="preserve"> към условията за кандидатстване</w:t>
      </w:r>
    </w:p>
    <w:p w14:paraId="1BA8D15E" w14:textId="77777777" w:rsidR="00705561" w:rsidRPr="004A5570" w:rsidRDefault="00705561" w:rsidP="00156EAC">
      <w:pPr>
        <w:spacing w:before="120" w:after="0"/>
        <w:jc w:val="right"/>
        <w:rPr>
          <w:rFonts w:ascii="Times New Roman" w:hAnsi="Times New Roman" w:cs="Times New Roman"/>
          <w:b/>
          <w:sz w:val="24"/>
          <w:szCs w:val="24"/>
          <w:shd w:val="clear" w:color="auto" w:fill="FEFEFE"/>
        </w:rPr>
      </w:pPr>
      <w:r w:rsidRPr="004A5570">
        <w:rPr>
          <w:rFonts w:ascii="Times New Roman" w:hAnsi="Times New Roman" w:cs="Times New Roman"/>
          <w:b/>
          <w:sz w:val="24"/>
          <w:szCs w:val="24"/>
          <w:shd w:val="clear" w:color="auto" w:fill="FEFEFE"/>
        </w:rPr>
        <w:t>Критерии за административно съответствие и допустимост</w:t>
      </w:r>
    </w:p>
    <w:p w14:paraId="3674B31A" w14:textId="77777777" w:rsidR="00705561" w:rsidRPr="004A5570" w:rsidRDefault="00705561" w:rsidP="00705561">
      <w:pPr>
        <w:spacing w:before="120" w:after="0"/>
        <w:rPr>
          <w:rFonts w:ascii="Times New Roman" w:hAnsi="Times New Roman" w:cs="Times New Roman"/>
          <w:sz w:val="24"/>
          <w:szCs w:val="24"/>
          <w:shd w:val="clear" w:color="auto" w:fill="FEFEFE"/>
        </w:rPr>
      </w:pPr>
    </w:p>
    <w:tbl>
      <w:tblPr>
        <w:tblW w:w="989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5981"/>
        <w:gridCol w:w="709"/>
        <w:gridCol w:w="736"/>
        <w:gridCol w:w="1788"/>
      </w:tblGrid>
      <w:tr w:rsidR="00705561" w:rsidRPr="004A5570" w14:paraId="64BE9FA3" w14:textId="77777777" w:rsidTr="00C3347F">
        <w:tc>
          <w:tcPr>
            <w:tcW w:w="9894" w:type="dxa"/>
            <w:gridSpan w:val="5"/>
            <w:tcBorders>
              <w:left w:val="single" w:sz="4" w:space="0" w:color="auto"/>
            </w:tcBorders>
            <w:shd w:val="clear" w:color="auto" w:fill="CCCCCC"/>
          </w:tcPr>
          <w:p w14:paraId="3607CFE0"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color w:val="000000"/>
                <w:sz w:val="24"/>
                <w:szCs w:val="24"/>
              </w:rPr>
              <w:t>КРИТЕРИИ ЗА АДМИНИСТРАТИВНО СЪОТВЕТСТВИЕ</w:t>
            </w:r>
          </w:p>
        </w:tc>
      </w:tr>
      <w:tr w:rsidR="00705561" w:rsidRPr="004A5570" w14:paraId="7A63B84F" w14:textId="77777777" w:rsidTr="00C3347F">
        <w:tc>
          <w:tcPr>
            <w:tcW w:w="680" w:type="dxa"/>
            <w:tcBorders>
              <w:left w:val="single" w:sz="4" w:space="0" w:color="auto"/>
            </w:tcBorders>
            <w:shd w:val="clear" w:color="auto" w:fill="CCCCCC"/>
          </w:tcPr>
          <w:p w14:paraId="7FFF1331" w14:textId="77777777" w:rsidR="00705561" w:rsidRPr="004A5570" w:rsidRDefault="00705561" w:rsidP="004D1CA3">
            <w:pPr>
              <w:spacing w:before="120" w:after="0"/>
              <w:jc w:val="center"/>
              <w:rPr>
                <w:rFonts w:ascii="Times New Roman" w:hAnsi="Times New Roman" w:cs="Times New Roman"/>
                <w:b/>
                <w:sz w:val="24"/>
                <w:szCs w:val="24"/>
              </w:rPr>
            </w:pPr>
            <w:r w:rsidRPr="004A5570">
              <w:rPr>
                <w:rFonts w:ascii="Times New Roman" w:hAnsi="Times New Roman" w:cs="Times New Roman"/>
                <w:b/>
                <w:sz w:val="24"/>
                <w:szCs w:val="24"/>
              </w:rPr>
              <w:t>№</w:t>
            </w:r>
          </w:p>
        </w:tc>
        <w:tc>
          <w:tcPr>
            <w:tcW w:w="5981" w:type="dxa"/>
            <w:shd w:val="clear" w:color="auto" w:fill="CCCCCC"/>
          </w:tcPr>
          <w:p w14:paraId="77903CFA"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Изискване</w:t>
            </w:r>
          </w:p>
        </w:tc>
        <w:tc>
          <w:tcPr>
            <w:tcW w:w="709" w:type="dxa"/>
            <w:shd w:val="clear" w:color="auto" w:fill="CCCCCC"/>
          </w:tcPr>
          <w:p w14:paraId="73803E86"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ДА</w:t>
            </w:r>
          </w:p>
        </w:tc>
        <w:tc>
          <w:tcPr>
            <w:tcW w:w="736" w:type="dxa"/>
            <w:shd w:val="clear" w:color="auto" w:fill="CCCCCC"/>
          </w:tcPr>
          <w:p w14:paraId="19EB96B0"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НЕ</w:t>
            </w:r>
          </w:p>
        </w:tc>
        <w:tc>
          <w:tcPr>
            <w:tcW w:w="1788" w:type="dxa"/>
            <w:shd w:val="clear" w:color="auto" w:fill="CCCCCC"/>
          </w:tcPr>
          <w:p w14:paraId="7E00A916"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Неприложимо</w:t>
            </w:r>
          </w:p>
        </w:tc>
      </w:tr>
      <w:tr w:rsidR="00705561" w:rsidRPr="00FE73D2" w14:paraId="4AA2A1FC" w14:textId="77777777" w:rsidTr="00C3347F">
        <w:tc>
          <w:tcPr>
            <w:tcW w:w="680" w:type="dxa"/>
            <w:tcBorders>
              <w:left w:val="single" w:sz="4" w:space="0" w:color="auto"/>
            </w:tcBorders>
            <w:vAlign w:val="center"/>
          </w:tcPr>
          <w:p w14:paraId="5EA2B0B3" w14:textId="77777777" w:rsidR="00705561" w:rsidRPr="004A5570"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261A290" w14:textId="77777777" w:rsidR="00705561" w:rsidRPr="0013383B"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 xml:space="preserve">Формулярът за </w:t>
            </w:r>
            <w:r w:rsidR="0013383B" w:rsidRPr="00FE73D2">
              <w:rPr>
                <w:rFonts w:ascii="Times New Roman" w:hAnsi="Times New Roman" w:cs="Times New Roman"/>
                <w:sz w:val="24"/>
                <w:szCs w:val="24"/>
              </w:rPr>
              <w:t>кандидатстване</w:t>
            </w:r>
            <w:r w:rsidR="00236C42" w:rsidRPr="00FE73D2">
              <w:rPr>
                <w:rFonts w:ascii="Times New Roman" w:hAnsi="Times New Roman" w:cs="Times New Roman"/>
                <w:sz w:val="24"/>
                <w:szCs w:val="24"/>
              </w:rPr>
              <w:t xml:space="preserve"> е подаден</w:t>
            </w:r>
            <w:r w:rsidR="00705561" w:rsidRPr="00FE73D2">
              <w:rPr>
                <w:rFonts w:ascii="Times New Roman" w:hAnsi="Times New Roman" w:cs="Times New Roman"/>
                <w:sz w:val="24"/>
                <w:szCs w:val="24"/>
              </w:rPr>
              <w:t xml:space="preserve"> в И</w:t>
            </w:r>
            <w:r w:rsidRPr="00FE73D2">
              <w:rPr>
                <w:rFonts w:ascii="Times New Roman" w:hAnsi="Times New Roman" w:cs="Times New Roman"/>
                <w:sz w:val="24"/>
                <w:szCs w:val="24"/>
              </w:rPr>
              <w:t xml:space="preserve">СУН 2020 в срока, определен в обявата за </w:t>
            </w:r>
            <w:r w:rsidR="0013383B" w:rsidRPr="00FE73D2">
              <w:rPr>
                <w:rFonts w:ascii="Times New Roman" w:hAnsi="Times New Roman" w:cs="Times New Roman"/>
                <w:sz w:val="24"/>
                <w:szCs w:val="24"/>
              </w:rPr>
              <w:t>кандидатстване</w:t>
            </w:r>
            <w:r w:rsidRPr="00FE73D2">
              <w:rPr>
                <w:rFonts w:ascii="Times New Roman" w:hAnsi="Times New Roman" w:cs="Times New Roman"/>
                <w:sz w:val="24"/>
                <w:szCs w:val="24"/>
              </w:rPr>
              <w:t>.</w:t>
            </w:r>
          </w:p>
        </w:tc>
        <w:tc>
          <w:tcPr>
            <w:tcW w:w="709" w:type="dxa"/>
          </w:tcPr>
          <w:p w14:paraId="16A6387F"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1D20CDF"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2448B58"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FE73D2" w14:paraId="4E72ACF7" w14:textId="77777777" w:rsidTr="00C3347F">
        <w:tc>
          <w:tcPr>
            <w:tcW w:w="680" w:type="dxa"/>
            <w:tcBorders>
              <w:left w:val="single" w:sz="4" w:space="0" w:color="auto"/>
            </w:tcBorders>
            <w:vAlign w:val="center"/>
          </w:tcPr>
          <w:p w14:paraId="5C2D2A6B" w14:textId="77777777" w:rsidR="00705561" w:rsidRPr="00FE73D2"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4BC13DF6" w14:textId="77777777" w:rsidR="00705561" w:rsidRPr="00FE73D2"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 xml:space="preserve">Формулярът за кандидатстване е подаден с Квалифициран електронен подпис (КЕП) от законния представител на МИГ. </w:t>
            </w:r>
          </w:p>
          <w:p w14:paraId="4F72E035" w14:textId="77777777" w:rsidR="00483803" w:rsidRPr="0013383B" w:rsidRDefault="007C32B5"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В случаите, когато МИГ се представлява заедно от няколко физически лица, формулярът за кандидатстване е подписан от всяко от тях</w:t>
            </w:r>
          </w:p>
        </w:tc>
        <w:tc>
          <w:tcPr>
            <w:tcW w:w="709" w:type="dxa"/>
          </w:tcPr>
          <w:p w14:paraId="051022EE"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718B77C"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A4404A2"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568FDA03" w14:textId="77777777" w:rsidTr="00C3347F">
        <w:tc>
          <w:tcPr>
            <w:tcW w:w="680" w:type="dxa"/>
            <w:tcBorders>
              <w:left w:val="single" w:sz="4" w:space="0" w:color="auto"/>
            </w:tcBorders>
            <w:vAlign w:val="center"/>
          </w:tcPr>
          <w:p w14:paraId="20627213" w14:textId="77777777" w:rsidR="00705561" w:rsidRPr="00FE73D2"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BBEFD6B" w14:textId="77777777" w:rsidR="00690140" w:rsidRPr="00FE73D2" w:rsidRDefault="0069014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Когато формулярът за кандидатстване не е подписан с КЕП от законния представител/и на МИГ е прикачено нотариално/и заверено/и изрично/и пълномощно/и във формат „</w:t>
            </w:r>
            <w:proofErr w:type="spellStart"/>
            <w:r w:rsidRPr="00FE73D2">
              <w:rPr>
                <w:rFonts w:ascii="Times New Roman" w:hAnsi="Times New Roman" w:cs="Times New Roman"/>
                <w:sz w:val="24"/>
                <w:szCs w:val="24"/>
              </w:rPr>
              <w:t>рdf</w:t>
            </w:r>
            <w:proofErr w:type="spellEnd"/>
            <w:r w:rsidRPr="00FE73D2">
              <w:rPr>
                <w:rFonts w:ascii="Times New Roman" w:hAnsi="Times New Roman" w:cs="Times New Roman"/>
                <w:sz w:val="24"/>
                <w:szCs w:val="24"/>
              </w:rPr>
              <w:t>“ или друг формат, подписано с КЕП на упълномощеното/</w:t>
            </w:r>
            <w:proofErr w:type="spellStart"/>
            <w:r w:rsidRPr="00FE73D2">
              <w:rPr>
                <w:rFonts w:ascii="Times New Roman" w:hAnsi="Times New Roman" w:cs="Times New Roman"/>
                <w:sz w:val="24"/>
                <w:szCs w:val="24"/>
              </w:rPr>
              <w:t>ите</w:t>
            </w:r>
            <w:proofErr w:type="spellEnd"/>
            <w:r w:rsidRPr="00FE73D2">
              <w:rPr>
                <w:rFonts w:ascii="Times New Roman" w:hAnsi="Times New Roman" w:cs="Times New Roman"/>
                <w:sz w:val="24"/>
                <w:szCs w:val="24"/>
              </w:rPr>
              <w:t xml:space="preserve"> лице/а. </w:t>
            </w:r>
          </w:p>
          <w:p w14:paraId="690CECC0" w14:textId="77777777" w:rsidR="00705561" w:rsidRPr="004A5570" w:rsidRDefault="00483803"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От текста на пълномощното/</w:t>
            </w:r>
            <w:proofErr w:type="spellStart"/>
            <w:r w:rsidRPr="00FE73D2">
              <w:rPr>
                <w:rFonts w:ascii="Times New Roman" w:hAnsi="Times New Roman" w:cs="Times New Roman"/>
                <w:sz w:val="24"/>
                <w:szCs w:val="24"/>
              </w:rPr>
              <w:t>ите</w:t>
            </w:r>
            <w:proofErr w:type="spellEnd"/>
            <w:r w:rsidRPr="00FE73D2">
              <w:rPr>
                <w:rFonts w:ascii="Times New Roman" w:hAnsi="Times New Roman" w:cs="Times New Roman"/>
                <w:sz w:val="24"/>
                <w:szCs w:val="24"/>
              </w:rPr>
              <w:t xml:space="preserve"> следва да става ясно, че лицето/лицата с право да представляват МИГ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tc>
        <w:tc>
          <w:tcPr>
            <w:tcW w:w="709" w:type="dxa"/>
          </w:tcPr>
          <w:p w14:paraId="2FE37DC2"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55C468E"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00B8F94"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FE74C7" w:rsidRPr="00FE73D2" w14:paraId="641E0B59" w14:textId="77777777" w:rsidTr="00C3347F">
        <w:tc>
          <w:tcPr>
            <w:tcW w:w="680" w:type="dxa"/>
            <w:tcBorders>
              <w:left w:val="single" w:sz="4" w:space="0" w:color="auto"/>
            </w:tcBorders>
            <w:vAlign w:val="center"/>
          </w:tcPr>
          <w:p w14:paraId="67AB763D" w14:textId="77777777" w:rsidR="00FE74C7" w:rsidRPr="004A5570" w:rsidRDefault="00FE74C7"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7E3DEC6"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Формулярът за кандидатстване е попълнен съгласно инструкциите от Ръководството за потребителя за модул “Е-кандидатстване” в ИСУН 2020</w:t>
            </w:r>
            <w:r w:rsidR="00664D91" w:rsidRPr="00FE73D2">
              <w:rPr>
                <w:rFonts w:ascii="Times New Roman" w:hAnsi="Times New Roman" w:cs="Times New Roman"/>
                <w:sz w:val="24"/>
                <w:szCs w:val="24"/>
              </w:rPr>
              <w:t>.</w:t>
            </w:r>
          </w:p>
        </w:tc>
        <w:tc>
          <w:tcPr>
            <w:tcW w:w="709" w:type="dxa"/>
          </w:tcPr>
          <w:p w14:paraId="3BE618E3" w14:textId="77777777" w:rsidR="00FE74C7" w:rsidRPr="0013383B"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55596D5" w14:textId="77777777" w:rsidR="00FE74C7" w:rsidRPr="00FE73D2"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F881F1A" w14:textId="77777777" w:rsidR="00FE74C7" w:rsidRPr="00FE73D2"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664D91" w:rsidRPr="00FE73D2" w14:paraId="63F10478" w14:textId="77777777" w:rsidTr="00C3347F">
        <w:tc>
          <w:tcPr>
            <w:tcW w:w="680" w:type="dxa"/>
            <w:tcBorders>
              <w:left w:val="single" w:sz="4" w:space="0" w:color="auto"/>
            </w:tcBorders>
            <w:vAlign w:val="center"/>
          </w:tcPr>
          <w:p w14:paraId="6FA64C8A" w14:textId="77777777" w:rsidR="00664D91" w:rsidRPr="00FE73D2" w:rsidRDefault="00664D9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59D349F6" w14:textId="77777777" w:rsidR="00664D91" w:rsidRPr="00FE73D2" w:rsidRDefault="00664D9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Във ф</w:t>
            </w:r>
            <w:r w:rsidRPr="00FE73D2">
              <w:rPr>
                <w:rFonts w:ascii="Times New Roman" w:hAnsi="Times New Roman" w:cs="Times New Roman"/>
                <w:sz w:val="24"/>
                <w:szCs w:val="24"/>
                <w:shd w:val="clear" w:color="auto" w:fill="FEFEFE"/>
              </w:rPr>
              <w:t>ормуляра за кандидатстване са попълнени всички приложими раздели.</w:t>
            </w:r>
          </w:p>
        </w:tc>
        <w:tc>
          <w:tcPr>
            <w:tcW w:w="709" w:type="dxa"/>
          </w:tcPr>
          <w:p w14:paraId="19C937B7" w14:textId="77777777" w:rsidR="00664D91" w:rsidRPr="0013383B" w:rsidRDefault="00664D9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76B16AF" w14:textId="77777777" w:rsidR="00664D91" w:rsidRPr="00FE73D2" w:rsidRDefault="00664D9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4252220C" w14:textId="77777777" w:rsidR="00664D91" w:rsidRPr="00FE73D2" w:rsidRDefault="00664D9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FE74C7" w:rsidRPr="004A5570" w14:paraId="4B276996" w14:textId="77777777" w:rsidTr="00C3347F">
        <w:tc>
          <w:tcPr>
            <w:tcW w:w="680" w:type="dxa"/>
            <w:tcBorders>
              <w:left w:val="single" w:sz="4" w:space="0" w:color="auto"/>
            </w:tcBorders>
            <w:vAlign w:val="center"/>
          </w:tcPr>
          <w:p w14:paraId="30454ED4" w14:textId="77777777" w:rsidR="00FE74C7" w:rsidRPr="00FE73D2" w:rsidRDefault="00FE74C7"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6DEDEFAF"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 xml:space="preserve">В точка „Основни данни“ на формуляра за </w:t>
            </w:r>
            <w:r w:rsidR="006E43D9" w:rsidRPr="00FE73D2">
              <w:rPr>
                <w:rFonts w:ascii="Times New Roman" w:hAnsi="Times New Roman" w:cs="Times New Roman"/>
                <w:sz w:val="24"/>
                <w:szCs w:val="24"/>
              </w:rPr>
              <w:t>кандидатстване</w:t>
            </w:r>
            <w:r w:rsidRPr="00FE73D2">
              <w:rPr>
                <w:rFonts w:ascii="Times New Roman" w:hAnsi="Times New Roman" w:cs="Times New Roman"/>
                <w:sz w:val="24"/>
                <w:szCs w:val="24"/>
              </w:rPr>
              <w:t xml:space="preserve"> кандидатът е попълнил:</w:t>
            </w:r>
          </w:p>
          <w:p w14:paraId="5C10F027"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1.</w:t>
            </w:r>
            <w:r w:rsidRPr="00FE73D2">
              <w:rPr>
                <w:rFonts w:ascii="Times New Roman" w:hAnsi="Times New Roman" w:cs="Times New Roman"/>
                <w:sz w:val="24"/>
                <w:szCs w:val="24"/>
              </w:rPr>
              <w:tab/>
              <w:t>Кратко описание на проекта, включително цели, дейности и планирани резултати;</w:t>
            </w:r>
          </w:p>
          <w:p w14:paraId="10D9F172"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2.</w:t>
            </w:r>
            <w:r w:rsidRPr="00FE73D2">
              <w:rPr>
                <w:rFonts w:ascii="Times New Roman" w:hAnsi="Times New Roman" w:cs="Times New Roman"/>
                <w:sz w:val="24"/>
                <w:szCs w:val="24"/>
              </w:rPr>
              <w:tab/>
              <w:t>Съответствие на проекта с целите на ПРСР 2014 – 2020 и с приоритетите на стратегията за Водено от общностите местно развитие на МИГ (как проектът допринася за постигане на посочените цели);</w:t>
            </w:r>
          </w:p>
          <w:p w14:paraId="14105DC3"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3.</w:t>
            </w:r>
            <w:r w:rsidRPr="00FE73D2">
              <w:rPr>
                <w:rFonts w:ascii="Times New Roman" w:hAnsi="Times New Roman" w:cs="Times New Roman"/>
                <w:sz w:val="24"/>
                <w:szCs w:val="24"/>
              </w:rPr>
              <w:tab/>
              <w:t>Съгласуваност на проекта с местната общност (процеса на съгласуваност на проекта);</w:t>
            </w:r>
          </w:p>
          <w:p w14:paraId="52E9AFEB"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4.</w:t>
            </w:r>
            <w:r w:rsidRPr="00FE73D2">
              <w:rPr>
                <w:rFonts w:ascii="Times New Roman" w:hAnsi="Times New Roman" w:cs="Times New Roman"/>
                <w:sz w:val="24"/>
                <w:szCs w:val="24"/>
              </w:rPr>
              <w:tab/>
              <w:t>Доброволно участие в проекта (дейностите по проекта, свързани с доброволно участие под формата на труд и/или финансиране на представители на местната общност, степента на ангажираност на общността за тези дейности, начина на реализирането им и др.);</w:t>
            </w:r>
          </w:p>
          <w:p w14:paraId="6A0EBF68"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5.</w:t>
            </w:r>
            <w:r w:rsidRPr="00FE73D2">
              <w:rPr>
                <w:rFonts w:ascii="Times New Roman" w:hAnsi="Times New Roman" w:cs="Times New Roman"/>
                <w:sz w:val="24"/>
                <w:szCs w:val="24"/>
              </w:rPr>
              <w:tab/>
              <w:t>Обществена полза на проекта (ползата от изпълнението на проекта за местната общност);</w:t>
            </w:r>
          </w:p>
          <w:p w14:paraId="52D1EE58" w14:textId="77777777" w:rsidR="00FE74C7" w:rsidRPr="00FE73D2"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6.</w:t>
            </w:r>
            <w:r w:rsidRPr="00FE73D2">
              <w:rPr>
                <w:rFonts w:ascii="Times New Roman" w:hAnsi="Times New Roman" w:cs="Times New Roman"/>
                <w:sz w:val="24"/>
                <w:szCs w:val="24"/>
              </w:rPr>
              <w:tab/>
              <w:t>Територия, обхваната от дейностите по проекта (къде ще се извършват дейностите по проекта – населено място, община, област);</w:t>
            </w:r>
          </w:p>
          <w:p w14:paraId="5AB17F95" w14:textId="77777777" w:rsidR="00FE74C7" w:rsidRPr="004A5570" w:rsidRDefault="00FE74C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7.</w:t>
            </w:r>
            <w:r w:rsidRPr="00FE73D2">
              <w:rPr>
                <w:rFonts w:ascii="Times New Roman" w:hAnsi="Times New Roman" w:cs="Times New Roman"/>
                <w:sz w:val="24"/>
                <w:szCs w:val="24"/>
              </w:rPr>
              <w:tab/>
              <w:t>Общ брой на населението в обхванатото от проекта населено място.</w:t>
            </w:r>
          </w:p>
        </w:tc>
        <w:tc>
          <w:tcPr>
            <w:tcW w:w="709" w:type="dxa"/>
          </w:tcPr>
          <w:p w14:paraId="66785A42"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322B7BBB"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49368209"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FE74C7" w:rsidRPr="004A5570" w14:paraId="27517F1C" w14:textId="77777777" w:rsidTr="00C3347F">
        <w:tc>
          <w:tcPr>
            <w:tcW w:w="680" w:type="dxa"/>
            <w:tcBorders>
              <w:left w:val="single" w:sz="4" w:space="0" w:color="auto"/>
            </w:tcBorders>
            <w:vAlign w:val="center"/>
          </w:tcPr>
          <w:p w14:paraId="420A82EC" w14:textId="77777777" w:rsidR="00FE74C7" w:rsidRPr="004A5570" w:rsidRDefault="00FE74C7"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84D7300" w14:textId="77777777" w:rsidR="00FE74C7" w:rsidRPr="00FE73D2" w:rsidRDefault="00FE74C7" w:rsidP="00933246">
            <w:pPr>
              <w:tabs>
                <w:tab w:val="left" w:pos="0"/>
                <w:tab w:val="left" w:pos="360"/>
              </w:tabs>
              <w:spacing w:before="120" w:after="0"/>
              <w:jc w:val="both"/>
              <w:rPr>
                <w:rFonts w:ascii="Times New Roman" w:hAnsi="Times New Roman" w:cs="Times New Roman"/>
                <w:sz w:val="24"/>
                <w:szCs w:val="24"/>
              </w:rPr>
            </w:pPr>
            <w:r w:rsidRPr="00FE73D2">
              <w:rPr>
                <w:rFonts w:ascii="Times New Roman" w:hAnsi="Times New Roman" w:cs="Times New Roman"/>
                <w:sz w:val="24"/>
                <w:szCs w:val="24"/>
              </w:rPr>
              <w:t>В точка „Допълнителна информация необходима за оценка на проектното предложение“ от формуляра за кандидатстване кандидатът е попълнил следните полета:</w:t>
            </w:r>
          </w:p>
          <w:p w14:paraId="3E41839E"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Съответствие с хоризонталните политики на ЕС;</w:t>
            </w:r>
          </w:p>
          <w:p w14:paraId="72631C36"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Обосновка за съответствието на проекта с целите на ПРСР 2014 – 2020 г. и приоритетите на стратегията за ВОМР на МИГ;</w:t>
            </w:r>
          </w:p>
          <w:p w14:paraId="5F3E3F52"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Обосновка, че проекта се осъществява в полза на местната общност и в полза на кои възрастови групи;</w:t>
            </w:r>
          </w:p>
          <w:p w14:paraId="721028CB"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Обосновка за предвидено въвеждане на иновативна за територията дейност - ако е приложимо;</w:t>
            </w:r>
          </w:p>
          <w:p w14:paraId="70F9E52F"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Планирани действия за гарантиране устойчивост на резултатите от проекта и за какъв период – ако е приложимо;</w:t>
            </w:r>
          </w:p>
          <w:p w14:paraId="3DDA3C94" w14:textId="77777777" w:rsidR="00FE74C7" w:rsidRPr="00FE73D2" w:rsidRDefault="00FE74C7" w:rsidP="00933246">
            <w:pPr>
              <w:pStyle w:val="ListParagraph"/>
              <w:numPr>
                <w:ilvl w:val="0"/>
                <w:numId w:val="6"/>
              </w:numPr>
              <w:tabs>
                <w:tab w:val="left" w:pos="0"/>
                <w:tab w:val="left" w:pos="360"/>
              </w:tabs>
              <w:spacing w:before="120" w:after="0"/>
              <w:ind w:left="340"/>
              <w:jc w:val="both"/>
              <w:rPr>
                <w:rFonts w:ascii="Times New Roman" w:hAnsi="Times New Roman" w:cs="Times New Roman"/>
                <w:sz w:val="24"/>
                <w:szCs w:val="24"/>
              </w:rPr>
            </w:pPr>
            <w:r w:rsidRPr="00FE73D2">
              <w:rPr>
                <w:rFonts w:ascii="Times New Roman" w:hAnsi="Times New Roman" w:cs="Times New Roman"/>
                <w:sz w:val="24"/>
                <w:szCs w:val="24"/>
              </w:rPr>
              <w:t>Декларации:</w:t>
            </w:r>
          </w:p>
          <w:p w14:paraId="7852C105" w14:textId="77777777" w:rsidR="00FE74C7" w:rsidRPr="00FE73D2" w:rsidRDefault="00FE74C7" w:rsidP="00933246">
            <w:pPr>
              <w:tabs>
                <w:tab w:val="left" w:pos="0"/>
                <w:tab w:val="left" w:pos="360"/>
              </w:tabs>
              <w:spacing w:before="120" w:after="0"/>
              <w:ind w:left="-20"/>
              <w:jc w:val="both"/>
              <w:rPr>
                <w:rFonts w:ascii="Times New Roman" w:hAnsi="Times New Roman" w:cs="Times New Roman"/>
                <w:sz w:val="24"/>
                <w:szCs w:val="24"/>
              </w:rPr>
            </w:pPr>
            <w:r w:rsidRPr="00FE73D2">
              <w:rPr>
                <w:rFonts w:ascii="Times New Roman" w:hAnsi="Times New Roman" w:cs="Times New Roman"/>
                <w:sz w:val="24"/>
                <w:szCs w:val="24"/>
              </w:rPr>
              <w:lastRenderedPageBreak/>
              <w:t xml:space="preserve">„Декларирам, че: Съм запознат с правилата за отпускане на финансова помощ по </w:t>
            </w:r>
            <w:proofErr w:type="spellStart"/>
            <w:r w:rsidRPr="00FE73D2">
              <w:rPr>
                <w:rFonts w:ascii="Times New Roman" w:hAnsi="Times New Roman" w:cs="Times New Roman"/>
                <w:sz w:val="24"/>
                <w:szCs w:val="24"/>
              </w:rPr>
              <w:t>подмярка</w:t>
            </w:r>
            <w:proofErr w:type="spellEnd"/>
            <w:r w:rsidRPr="00FE73D2">
              <w:rPr>
                <w:rFonts w:ascii="Times New Roman" w:hAnsi="Times New Roman" w:cs="Times New Roman"/>
                <w:sz w:val="24"/>
                <w:szCs w:val="24"/>
              </w:rPr>
              <w:t xml:space="preserve"> 19.1 „Помощ за подготвителни дейности малки пилотни проекти“ от Програма за развитие на селските райони за периода 2014 - 2020 г. Посочените от мен факти и обстоятелства са верни и съм съгласен да бъдат проверени на място от служители на Управляващия орган на ПРСР 2014 - 2020 г., ДФ „Земеделие“, и от упълномощени представители на Европейската комисия. Дейностите и разходите, включени в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ЕС или друга донорска програма. Прикачените документи в т. 12 са сканирани оригинали и представляват истински документи. Известна ми е наказателната отговорност по чл. 313 и чл. 248а, ал. 2 от НК за предоставени от мен неверни данни и документи.</w:t>
            </w:r>
          </w:p>
          <w:p w14:paraId="19C3D30E" w14:textId="68FEE9ED" w:rsidR="00FE74C7" w:rsidRPr="004A5570" w:rsidRDefault="00FE74C7" w:rsidP="00792D94">
            <w:pPr>
              <w:tabs>
                <w:tab w:val="left" w:pos="0"/>
                <w:tab w:val="left" w:pos="360"/>
              </w:tabs>
              <w:spacing w:before="120" w:after="0"/>
              <w:jc w:val="both"/>
              <w:rPr>
                <w:rFonts w:ascii="Times New Roman" w:hAnsi="Times New Roman" w:cs="Times New Roman"/>
                <w:sz w:val="24"/>
                <w:szCs w:val="24"/>
              </w:rPr>
            </w:pPr>
            <w:r w:rsidRPr="00FE73D2">
              <w:rPr>
                <w:rFonts w:ascii="Times New Roman" w:hAnsi="Times New Roman" w:cs="Times New Roman"/>
                <w:sz w:val="24"/>
                <w:szCs w:val="24"/>
              </w:rPr>
              <w:t>Декларирам, че проекта допринася за постигане на целите на ПРСР 2014 – 2020 г. и на приоритетите на стратегията за ВОМР</w:t>
            </w:r>
            <w:r w:rsidR="00792D94">
              <w:rPr>
                <w:rFonts w:ascii="Times New Roman" w:hAnsi="Times New Roman" w:cs="Times New Roman"/>
                <w:sz w:val="24"/>
                <w:szCs w:val="24"/>
              </w:rPr>
              <w:t>.</w:t>
            </w:r>
            <w:r w:rsidRPr="00FE73D2">
              <w:rPr>
                <w:rFonts w:ascii="Times New Roman" w:hAnsi="Times New Roman" w:cs="Times New Roman"/>
                <w:sz w:val="24"/>
                <w:szCs w:val="24"/>
              </w:rPr>
              <w:t>“</w:t>
            </w:r>
          </w:p>
        </w:tc>
        <w:tc>
          <w:tcPr>
            <w:tcW w:w="709" w:type="dxa"/>
          </w:tcPr>
          <w:p w14:paraId="08848BD8"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FF58315"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8B29D82" w14:textId="77777777" w:rsidR="00FE74C7" w:rsidRPr="004A5570" w:rsidRDefault="00FE74C7"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14619B" w:rsidRPr="00FE73D2" w14:paraId="175FAC6E" w14:textId="77777777" w:rsidTr="00C3347F">
        <w:tc>
          <w:tcPr>
            <w:tcW w:w="680" w:type="dxa"/>
            <w:tcBorders>
              <w:left w:val="single" w:sz="4" w:space="0" w:color="auto"/>
            </w:tcBorders>
            <w:vAlign w:val="center"/>
          </w:tcPr>
          <w:p w14:paraId="7C862AD0" w14:textId="77777777" w:rsidR="0014619B" w:rsidRPr="004A5570" w:rsidRDefault="0014619B"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42255F01" w14:textId="77777777" w:rsidR="0014619B" w:rsidRPr="00FE73D2" w:rsidRDefault="004531AC"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 xml:space="preserve">Документите качени в ИСУН 2020 са представени на български език. В случаите, когато оригиналният документ е 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w:t>
            </w:r>
            <w:proofErr w:type="spellStart"/>
            <w:r w:rsidRPr="00FE73D2">
              <w:rPr>
                <w:rFonts w:ascii="Times New Roman" w:hAnsi="Times New Roman" w:cs="Times New Roman"/>
                <w:sz w:val="24"/>
                <w:szCs w:val="24"/>
              </w:rPr>
              <w:t>апостил</w:t>
            </w:r>
            <w:proofErr w:type="spellEnd"/>
            <w:r w:rsidRPr="00FE73D2">
              <w:rPr>
                <w:rFonts w:ascii="Times New Roman" w:hAnsi="Times New Roman" w:cs="Times New Roman"/>
                <w:sz w:val="24"/>
                <w:szCs w:val="24"/>
              </w:rPr>
              <w:t>.</w:t>
            </w:r>
          </w:p>
        </w:tc>
        <w:tc>
          <w:tcPr>
            <w:tcW w:w="709" w:type="dxa"/>
          </w:tcPr>
          <w:p w14:paraId="2EBA8381" w14:textId="77777777" w:rsidR="0014619B" w:rsidRPr="0013383B" w:rsidRDefault="0014619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453B30C" w14:textId="77777777" w:rsidR="0014619B" w:rsidRPr="00FE73D2" w:rsidRDefault="0014619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A089C43" w14:textId="77777777" w:rsidR="0014619B" w:rsidRPr="00FE73D2" w:rsidRDefault="0014619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FE73D2" w14:paraId="6AC276F7" w14:textId="77777777" w:rsidTr="00C3347F">
        <w:tc>
          <w:tcPr>
            <w:tcW w:w="680" w:type="dxa"/>
            <w:tcBorders>
              <w:left w:val="single" w:sz="4" w:space="0" w:color="auto"/>
            </w:tcBorders>
            <w:vAlign w:val="center"/>
          </w:tcPr>
          <w:p w14:paraId="4C66B5A0" w14:textId="77777777" w:rsidR="00705561" w:rsidRPr="00FE73D2"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B52A7C6" w14:textId="77777777" w:rsidR="00705561" w:rsidRPr="0013383B"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Документите към формуляра за кандидатстване са прикачени във формат „</w:t>
            </w:r>
            <w:proofErr w:type="spellStart"/>
            <w:r w:rsidRPr="00FE73D2">
              <w:rPr>
                <w:rFonts w:ascii="Times New Roman" w:hAnsi="Times New Roman" w:cs="Times New Roman"/>
                <w:sz w:val="24"/>
                <w:szCs w:val="24"/>
              </w:rPr>
              <w:t>рdf</w:t>
            </w:r>
            <w:proofErr w:type="spellEnd"/>
            <w:r w:rsidRPr="00FE73D2">
              <w:rPr>
                <w:rFonts w:ascii="Times New Roman" w:hAnsi="Times New Roman" w:cs="Times New Roman"/>
                <w:sz w:val="24"/>
                <w:szCs w:val="24"/>
              </w:rPr>
              <w:t>“</w:t>
            </w:r>
            <w:r w:rsidR="00B06B95" w:rsidRPr="00FE73D2">
              <w:rPr>
                <w:rFonts w:ascii="Times New Roman" w:hAnsi="Times New Roman" w:cs="Times New Roman"/>
                <w:sz w:val="24"/>
                <w:szCs w:val="24"/>
              </w:rPr>
              <w:t xml:space="preserve"> или друг формат</w:t>
            </w:r>
            <w:r w:rsidR="002B3953">
              <w:rPr>
                <w:rFonts w:ascii="Times New Roman" w:hAnsi="Times New Roman" w:cs="Times New Roman"/>
                <w:sz w:val="24"/>
                <w:szCs w:val="24"/>
              </w:rPr>
              <w:t xml:space="preserve">, </w:t>
            </w:r>
            <w:r w:rsidR="00483803" w:rsidRPr="00FE73D2">
              <w:rPr>
                <w:rFonts w:ascii="Times New Roman" w:hAnsi="Times New Roman" w:cs="Times New Roman"/>
                <w:sz w:val="24"/>
                <w:szCs w:val="24"/>
              </w:rPr>
              <w:t>когато това е указано в т. 4 „Списък на документите, които се подават на етап кандидатстване“.</w:t>
            </w:r>
          </w:p>
        </w:tc>
        <w:tc>
          <w:tcPr>
            <w:tcW w:w="709" w:type="dxa"/>
          </w:tcPr>
          <w:p w14:paraId="4CFB18F1"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7F8B05D"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A92BF51"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FE73D2" w14:paraId="78B5A37F" w14:textId="77777777" w:rsidTr="00C3347F">
        <w:tc>
          <w:tcPr>
            <w:tcW w:w="680" w:type="dxa"/>
            <w:tcBorders>
              <w:left w:val="single" w:sz="4" w:space="0" w:color="auto"/>
            </w:tcBorders>
            <w:vAlign w:val="center"/>
          </w:tcPr>
          <w:p w14:paraId="415ADB57" w14:textId="77777777" w:rsidR="00705561" w:rsidRPr="00FE73D2"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559D6AE0" w14:textId="77777777" w:rsidR="00705561" w:rsidRPr="0013383B"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Представен</w:t>
            </w:r>
            <w:r w:rsidR="007E42BC" w:rsidRPr="00FE73D2">
              <w:rPr>
                <w:rFonts w:ascii="Times New Roman" w:hAnsi="Times New Roman" w:cs="Times New Roman"/>
                <w:sz w:val="24"/>
                <w:szCs w:val="24"/>
              </w:rPr>
              <w:t xml:space="preserve">о е </w:t>
            </w:r>
            <w:r w:rsidR="00FC44A4" w:rsidRPr="00FE73D2">
              <w:rPr>
                <w:rFonts w:ascii="Times New Roman" w:hAnsi="Times New Roman" w:cs="Times New Roman"/>
                <w:sz w:val="24"/>
                <w:szCs w:val="24"/>
              </w:rPr>
              <w:t>р</w:t>
            </w:r>
            <w:r w:rsidR="007E42BC" w:rsidRPr="00FE73D2">
              <w:rPr>
                <w:rFonts w:ascii="Times New Roman" w:hAnsi="Times New Roman" w:cs="Times New Roman"/>
                <w:sz w:val="24"/>
                <w:szCs w:val="24"/>
              </w:rPr>
              <w:t>ешение на колективния върховен орган на МИГ, с което дава съгл</w:t>
            </w:r>
            <w:r w:rsidR="00FC44A4" w:rsidRPr="00FE73D2">
              <w:rPr>
                <w:rFonts w:ascii="Times New Roman" w:hAnsi="Times New Roman" w:cs="Times New Roman"/>
                <w:sz w:val="24"/>
                <w:szCs w:val="24"/>
              </w:rPr>
              <w:t>асие за реализиране на проекта;</w:t>
            </w:r>
          </w:p>
        </w:tc>
        <w:tc>
          <w:tcPr>
            <w:tcW w:w="709" w:type="dxa"/>
          </w:tcPr>
          <w:p w14:paraId="1319FE27"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737CB6C"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283E358" w14:textId="77777777" w:rsidR="00705561" w:rsidRPr="00FE73D2"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E42BC" w:rsidRPr="004A5570" w14:paraId="72347B8B" w14:textId="77777777" w:rsidTr="00C3347F">
        <w:tc>
          <w:tcPr>
            <w:tcW w:w="680" w:type="dxa"/>
            <w:tcBorders>
              <w:left w:val="single" w:sz="4" w:space="0" w:color="auto"/>
            </w:tcBorders>
            <w:vAlign w:val="center"/>
          </w:tcPr>
          <w:p w14:paraId="6B4E3AFE" w14:textId="77777777" w:rsidR="007E42BC" w:rsidRPr="00FE73D2" w:rsidRDefault="007E42BC" w:rsidP="007C32B5">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33A05DB" w14:textId="77777777" w:rsidR="007E42BC" w:rsidRPr="004A5570" w:rsidRDefault="007E42BC"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Представен</w:t>
            </w:r>
            <w:r w:rsidR="00730EEA" w:rsidRPr="00FE73D2">
              <w:rPr>
                <w:rFonts w:ascii="Times New Roman" w:hAnsi="Times New Roman" w:cs="Times New Roman"/>
                <w:sz w:val="24"/>
                <w:szCs w:val="24"/>
              </w:rPr>
              <w:t xml:space="preserve">и са </w:t>
            </w:r>
            <w:r w:rsidR="00705487" w:rsidRPr="00FE73D2">
              <w:rPr>
                <w:rFonts w:ascii="Times New Roman" w:hAnsi="Times New Roman" w:cs="Times New Roman"/>
                <w:sz w:val="24"/>
                <w:szCs w:val="24"/>
              </w:rPr>
              <w:t xml:space="preserve">датирани и подписани </w:t>
            </w:r>
            <w:r w:rsidR="00730EEA" w:rsidRPr="00FE73D2">
              <w:rPr>
                <w:rFonts w:ascii="Times New Roman" w:hAnsi="Times New Roman" w:cs="Times New Roman"/>
                <w:sz w:val="24"/>
                <w:szCs w:val="24"/>
              </w:rPr>
              <w:t xml:space="preserve">декларации от законния представител на МИГ, от членовете на колективния управителен орган, контролния орган, ако такъв е предвиден в устава на МИГ и от представляващите по закон и пълномощие членове на </w:t>
            </w:r>
            <w:r w:rsidR="00730EEA" w:rsidRPr="00FE73D2">
              <w:rPr>
                <w:rFonts w:ascii="Times New Roman" w:hAnsi="Times New Roman" w:cs="Times New Roman"/>
                <w:sz w:val="24"/>
                <w:szCs w:val="24"/>
              </w:rPr>
              <w:lastRenderedPageBreak/>
              <w:t>колективния управителен орган и контролен орган на МИГ, ако такъв е предвиден в устава на МИГ, когато същите са юридически лица, относно липсата на обстоятелства съгласно приложение № 2</w:t>
            </w:r>
            <w:r w:rsidR="00ED6EA6" w:rsidRPr="0013383B">
              <w:rPr>
                <w:rFonts w:ascii="Times New Roman" w:hAnsi="Times New Roman" w:cs="Times New Roman"/>
                <w:sz w:val="24"/>
                <w:szCs w:val="24"/>
              </w:rPr>
              <w:t>.</w:t>
            </w:r>
          </w:p>
        </w:tc>
        <w:tc>
          <w:tcPr>
            <w:tcW w:w="709" w:type="dxa"/>
          </w:tcPr>
          <w:p w14:paraId="53FF6578" w14:textId="77777777" w:rsidR="007E42BC" w:rsidRPr="004A5570" w:rsidRDefault="007E42BC" w:rsidP="007C32B5">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7E48E4E" w14:textId="77777777" w:rsidR="007E42BC" w:rsidRPr="004A5570" w:rsidRDefault="007E42BC" w:rsidP="007C32B5">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633F46A" w14:textId="77777777" w:rsidR="007E42BC" w:rsidRPr="004A5570" w:rsidRDefault="007E42BC" w:rsidP="007C32B5">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209FB32E" w14:textId="77777777" w:rsidTr="00C3347F">
        <w:tc>
          <w:tcPr>
            <w:tcW w:w="680" w:type="dxa"/>
            <w:tcBorders>
              <w:left w:val="single" w:sz="4" w:space="0" w:color="auto"/>
            </w:tcBorders>
            <w:vAlign w:val="center"/>
          </w:tcPr>
          <w:p w14:paraId="6274790F" w14:textId="77777777" w:rsidR="00705561" w:rsidRPr="004A5570"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9550E24" w14:textId="77777777" w:rsidR="00ED6EA6" w:rsidRPr="00FE73D2" w:rsidRDefault="007E42BC"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 xml:space="preserve">Представена </w:t>
            </w:r>
            <w:r w:rsidR="00705561" w:rsidRPr="00FE73D2">
              <w:rPr>
                <w:rFonts w:ascii="Times New Roman" w:hAnsi="Times New Roman" w:cs="Times New Roman"/>
                <w:sz w:val="24"/>
                <w:szCs w:val="24"/>
              </w:rPr>
              <w:t xml:space="preserve">е </w:t>
            </w:r>
            <w:r w:rsidR="00705487" w:rsidRPr="00FE73D2">
              <w:rPr>
                <w:rFonts w:ascii="Times New Roman" w:hAnsi="Times New Roman" w:cs="Times New Roman"/>
                <w:sz w:val="24"/>
                <w:szCs w:val="24"/>
              </w:rPr>
              <w:t xml:space="preserve">датирана и подписана </w:t>
            </w:r>
            <w:r w:rsidR="00086EA8" w:rsidRPr="00FE73D2">
              <w:rPr>
                <w:rFonts w:ascii="Times New Roman" w:hAnsi="Times New Roman" w:cs="Times New Roman"/>
                <w:sz w:val="24"/>
                <w:szCs w:val="24"/>
              </w:rPr>
              <w:t>декларация за определяне на дейностите на МИГ по проекта като неикономически в свободен текст</w:t>
            </w:r>
            <w:r w:rsidR="00ED6EA6" w:rsidRPr="00FE73D2">
              <w:rPr>
                <w:rFonts w:ascii="Times New Roman" w:hAnsi="Times New Roman" w:cs="Times New Roman"/>
                <w:sz w:val="24"/>
                <w:szCs w:val="24"/>
              </w:rPr>
              <w:t>,</w:t>
            </w:r>
            <w:r w:rsidR="002B3953">
              <w:rPr>
                <w:rFonts w:ascii="Times New Roman" w:hAnsi="Times New Roman" w:cs="Times New Roman"/>
                <w:sz w:val="24"/>
                <w:szCs w:val="24"/>
              </w:rPr>
              <w:t xml:space="preserve"> </w:t>
            </w:r>
            <w:r w:rsidR="00ED6EA6" w:rsidRPr="00FE73D2">
              <w:rPr>
                <w:rFonts w:ascii="Times New Roman" w:hAnsi="Times New Roman" w:cs="Times New Roman"/>
                <w:sz w:val="24"/>
                <w:szCs w:val="24"/>
              </w:rPr>
              <w:t>която включ</w:t>
            </w:r>
            <w:r w:rsidR="002B3953">
              <w:rPr>
                <w:rFonts w:ascii="Times New Roman" w:hAnsi="Times New Roman" w:cs="Times New Roman"/>
                <w:sz w:val="24"/>
                <w:szCs w:val="24"/>
              </w:rPr>
              <w:t>в</w:t>
            </w:r>
            <w:r w:rsidR="00ED6EA6" w:rsidRPr="00FE73D2">
              <w:rPr>
                <w:rFonts w:ascii="Times New Roman" w:hAnsi="Times New Roman" w:cs="Times New Roman"/>
                <w:sz w:val="24"/>
                <w:szCs w:val="24"/>
              </w:rPr>
              <w:t>а съответствието на дейностите със следните шест хипотези:</w:t>
            </w:r>
          </w:p>
          <w:p w14:paraId="3F0C3ED0" w14:textId="77777777" w:rsidR="00ED6EA6" w:rsidRPr="00FE73D2"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1.</w:t>
            </w:r>
            <w:r w:rsidRPr="00FE73D2">
              <w:rPr>
                <w:rFonts w:ascii="Times New Roman" w:hAnsi="Times New Roman" w:cs="Times New Roman"/>
                <w:sz w:val="24"/>
                <w:szCs w:val="24"/>
              </w:rPr>
              <w:tab/>
              <w:t>са със свободен обществен достъп и с неикономически характер;</w:t>
            </w:r>
          </w:p>
          <w:p w14:paraId="53D29331" w14:textId="77777777" w:rsidR="00ED6EA6" w:rsidRPr="00FE73D2"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2.</w:t>
            </w:r>
            <w:r w:rsidRPr="00FE73D2">
              <w:rPr>
                <w:rFonts w:ascii="Times New Roman" w:hAnsi="Times New Roman" w:cs="Times New Roman"/>
                <w:sz w:val="24"/>
                <w:szCs w:val="24"/>
              </w:rPr>
              <w:tab/>
              <w:t>са организирани по нетърговски начин и са от нестопанско естество;</w:t>
            </w:r>
          </w:p>
          <w:p w14:paraId="5065B2A4" w14:textId="77777777" w:rsidR="00ED6EA6" w:rsidRPr="00FE73D2"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3.</w:t>
            </w:r>
            <w:r w:rsidRPr="00FE73D2">
              <w:rPr>
                <w:rFonts w:ascii="Times New Roman" w:hAnsi="Times New Roman" w:cs="Times New Roman"/>
                <w:sz w:val="24"/>
                <w:szCs w:val="24"/>
              </w:rPr>
              <w:tab/>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6883105F" w14:textId="77777777" w:rsidR="00ED6EA6" w:rsidRPr="00FE73D2"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4.</w:t>
            </w:r>
            <w:r w:rsidRPr="00FE73D2">
              <w:rPr>
                <w:rFonts w:ascii="Times New Roman" w:hAnsi="Times New Roman" w:cs="Times New Roman"/>
                <w:sz w:val="24"/>
                <w:szCs w:val="24"/>
              </w:rPr>
              <w:tab/>
              <w:t>водят до подобряване на условията за живот само на територията на МИГ;</w:t>
            </w:r>
          </w:p>
          <w:p w14:paraId="071801B4" w14:textId="77777777" w:rsidR="00ED6EA6" w:rsidRPr="00FE73D2"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5.</w:t>
            </w:r>
            <w:r w:rsidRPr="00FE73D2">
              <w:rPr>
                <w:rFonts w:ascii="Times New Roman" w:hAnsi="Times New Roman" w:cs="Times New Roman"/>
                <w:sz w:val="24"/>
                <w:szCs w:val="24"/>
              </w:rPr>
              <w:tab/>
              <w:t>имат чисто местно въздействие и следователно не оказват въздействие върху търговията между държавите членки. В тези случаи МИГ, изпълнителите и подизпълнителите доставят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14:paraId="3F060D2A" w14:textId="77777777" w:rsidR="00705561" w:rsidRPr="004A5570" w:rsidRDefault="00ED6EA6" w:rsidP="00933246">
            <w:pPr>
              <w:tabs>
                <w:tab w:val="left" w:pos="482"/>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6.</w:t>
            </w:r>
            <w:r w:rsidRPr="00FE73D2">
              <w:rPr>
                <w:rFonts w:ascii="Times New Roman" w:hAnsi="Times New Roman" w:cs="Times New Roman"/>
                <w:sz w:val="24"/>
                <w:szCs w:val="24"/>
              </w:rPr>
              <w:tab/>
              <w:t>са само за нестопански дейности от лица, регистрирани по реда на Закона за юридическите лица с нестопанска цел.</w:t>
            </w:r>
          </w:p>
        </w:tc>
        <w:tc>
          <w:tcPr>
            <w:tcW w:w="709" w:type="dxa"/>
          </w:tcPr>
          <w:p w14:paraId="6633D5A1"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D97655E"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418A5DB"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1F157CE6" w14:textId="77777777" w:rsidTr="00C3347F">
        <w:tc>
          <w:tcPr>
            <w:tcW w:w="680" w:type="dxa"/>
            <w:tcBorders>
              <w:left w:val="single" w:sz="4" w:space="0" w:color="auto"/>
            </w:tcBorders>
            <w:vAlign w:val="center"/>
          </w:tcPr>
          <w:p w14:paraId="29A99F6A" w14:textId="77777777" w:rsidR="00705561" w:rsidRPr="004A5570"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6B5565B8" w14:textId="3F763DA4" w:rsidR="00086EA8" w:rsidRPr="00FE73D2"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Представен</w:t>
            </w:r>
            <w:r w:rsidR="00086EA8" w:rsidRPr="00FE73D2">
              <w:rPr>
                <w:rFonts w:ascii="Times New Roman" w:hAnsi="Times New Roman" w:cs="Times New Roman"/>
                <w:sz w:val="24"/>
                <w:szCs w:val="24"/>
              </w:rPr>
              <w:t>и</w:t>
            </w:r>
            <w:r w:rsidR="002B3953">
              <w:rPr>
                <w:rFonts w:ascii="Times New Roman" w:hAnsi="Times New Roman" w:cs="Times New Roman"/>
                <w:sz w:val="24"/>
                <w:szCs w:val="24"/>
              </w:rPr>
              <w:t xml:space="preserve"> </w:t>
            </w:r>
            <w:r w:rsidR="00086EA8" w:rsidRPr="00FE73D2">
              <w:rPr>
                <w:rFonts w:ascii="Times New Roman" w:hAnsi="Times New Roman" w:cs="Times New Roman"/>
                <w:sz w:val="24"/>
                <w:szCs w:val="24"/>
              </w:rPr>
              <w:t>са</w:t>
            </w:r>
            <w:r w:rsidR="002B3953">
              <w:rPr>
                <w:rFonts w:ascii="Times New Roman" w:hAnsi="Times New Roman" w:cs="Times New Roman"/>
                <w:sz w:val="24"/>
                <w:szCs w:val="24"/>
              </w:rPr>
              <w:t xml:space="preserve"> </w:t>
            </w:r>
            <w:r w:rsidR="007E42BC" w:rsidRPr="00FE73D2">
              <w:rPr>
                <w:rFonts w:ascii="Times New Roman" w:hAnsi="Times New Roman" w:cs="Times New Roman"/>
                <w:sz w:val="24"/>
                <w:szCs w:val="24"/>
              </w:rPr>
              <w:t>списък на членовете на колективния върховен орган и списък на членовете на колективния управителен орган на МИГ, подписани от предс</w:t>
            </w:r>
            <w:r w:rsidR="00086EA8" w:rsidRPr="00FE73D2">
              <w:rPr>
                <w:rFonts w:ascii="Times New Roman" w:hAnsi="Times New Roman" w:cs="Times New Roman"/>
                <w:sz w:val="24"/>
                <w:szCs w:val="24"/>
              </w:rPr>
              <w:t>тавляващия МИГ, които съдържат:</w:t>
            </w:r>
          </w:p>
          <w:p w14:paraId="462C373C" w14:textId="77777777" w:rsidR="00086EA8" w:rsidRPr="00FE73D2" w:rsidRDefault="00086EA8"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а) за юридическите лица: наименование на юридическото лице, седалище и адрес на управление, сектор, на който лицето е представител в МИГ,</w:t>
            </w:r>
            <w:r w:rsidR="006E43D9" w:rsidRPr="006E43D9">
              <w:rPr>
                <w:rFonts w:ascii="Times New Roman" w:hAnsi="Times New Roman" w:cs="Times New Roman"/>
                <w:sz w:val="24"/>
                <w:szCs w:val="24"/>
              </w:rPr>
              <w:t xml:space="preserve"> заинтересована страна, идентифицирана в анализа на стратегията за ВОМР, включително уязвими групи и </w:t>
            </w:r>
            <w:r w:rsidR="006E43D9" w:rsidRPr="006E43D9">
              <w:rPr>
                <w:rFonts w:ascii="Times New Roman" w:hAnsi="Times New Roman" w:cs="Times New Roman"/>
                <w:sz w:val="24"/>
                <w:szCs w:val="24"/>
              </w:rPr>
              <w:lastRenderedPageBreak/>
              <w:t xml:space="preserve">малцинства (когато е приложимо) на която лицето е представител, </w:t>
            </w:r>
            <w:r w:rsidRPr="00FE73D2">
              <w:rPr>
                <w:rFonts w:ascii="Times New Roman" w:hAnsi="Times New Roman" w:cs="Times New Roman"/>
                <w:sz w:val="24"/>
                <w:szCs w:val="24"/>
              </w:rPr>
              <w:t>най-малко две имена (име и фамилия) на представляващия юридическото лице, данни за контакт (телефон и/или електронен адрес);</w:t>
            </w:r>
          </w:p>
          <w:p w14:paraId="294FC826" w14:textId="77777777" w:rsidR="00086EA8" w:rsidRDefault="00086EA8"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FE73D2">
              <w:rPr>
                <w:rFonts w:ascii="Times New Roman" w:hAnsi="Times New Roman" w:cs="Times New Roman"/>
                <w:sz w:val="24"/>
                <w:szCs w:val="24"/>
              </w:rPr>
              <w:t>б) за физическите лица: най-малко две имена (име и фамилия), данни за постоянен адрес или месторабота, сектор, на който лицето е представител в МИГ,</w:t>
            </w:r>
            <w:r w:rsidR="00E228FC" w:rsidRPr="00E228FC">
              <w:rPr>
                <w:rFonts w:ascii="Times New Roman" w:hAnsi="Times New Roman" w:cs="Times New Roman"/>
                <w:sz w:val="24"/>
                <w:szCs w:val="24"/>
              </w:rPr>
              <w:t xml:space="preserve"> заинтересована страна, идентифицирана в анализа на стратегията за ВОМР, включително уязвими групи и малцинства (когато е приложимо)</w:t>
            </w:r>
            <w:r w:rsidR="002B3953">
              <w:rPr>
                <w:rFonts w:ascii="Times New Roman" w:hAnsi="Times New Roman" w:cs="Times New Roman"/>
                <w:sz w:val="24"/>
                <w:szCs w:val="24"/>
              </w:rPr>
              <w:t>,</w:t>
            </w:r>
            <w:r w:rsidR="00E228FC" w:rsidRPr="00E228FC">
              <w:rPr>
                <w:rFonts w:ascii="Times New Roman" w:hAnsi="Times New Roman" w:cs="Times New Roman"/>
                <w:sz w:val="24"/>
                <w:szCs w:val="24"/>
              </w:rPr>
              <w:t xml:space="preserve"> на която лицето е представител, </w:t>
            </w:r>
            <w:r w:rsidRPr="00FE73D2">
              <w:rPr>
                <w:rFonts w:ascii="Times New Roman" w:hAnsi="Times New Roman" w:cs="Times New Roman"/>
                <w:sz w:val="24"/>
                <w:szCs w:val="24"/>
              </w:rPr>
              <w:t>данни за контакт (телефон и/или електронен адрес)</w:t>
            </w:r>
            <w:r w:rsidR="00ED6EA6" w:rsidRPr="0013383B">
              <w:rPr>
                <w:rFonts w:ascii="Times New Roman" w:hAnsi="Times New Roman" w:cs="Times New Roman"/>
                <w:sz w:val="24"/>
                <w:szCs w:val="24"/>
              </w:rPr>
              <w:t>.</w:t>
            </w:r>
          </w:p>
          <w:p w14:paraId="74BE1AFD" w14:textId="77777777" w:rsidR="00E228FC" w:rsidRPr="004A5570" w:rsidRDefault="00E228FC"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228FC">
              <w:rPr>
                <w:rFonts w:ascii="Times New Roman" w:hAnsi="Times New Roman" w:cs="Times New Roman"/>
                <w:sz w:val="24"/>
                <w:szCs w:val="24"/>
              </w:rPr>
              <w:t>в)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w:t>
            </w:r>
          </w:p>
        </w:tc>
        <w:tc>
          <w:tcPr>
            <w:tcW w:w="709" w:type="dxa"/>
          </w:tcPr>
          <w:p w14:paraId="3C1E5D29"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73E8D478"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462BF2FC"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1E039B71" w14:textId="77777777" w:rsidTr="00C3347F">
        <w:tc>
          <w:tcPr>
            <w:tcW w:w="680" w:type="dxa"/>
            <w:tcBorders>
              <w:left w:val="single" w:sz="4" w:space="0" w:color="auto"/>
            </w:tcBorders>
            <w:vAlign w:val="center"/>
          </w:tcPr>
          <w:p w14:paraId="166544BF" w14:textId="77777777" w:rsidR="00705561" w:rsidRPr="004A5570"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460B07E9" w14:textId="77777777" w:rsidR="00705561" w:rsidRPr="00470271"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Представена е </w:t>
            </w:r>
            <w:r w:rsidR="00BA6735" w:rsidRPr="00470271">
              <w:rPr>
                <w:rFonts w:ascii="Times New Roman" w:hAnsi="Times New Roman" w:cs="Times New Roman"/>
                <w:sz w:val="24"/>
                <w:szCs w:val="24"/>
              </w:rPr>
              <w:t xml:space="preserve">датирана и подписана </w:t>
            </w:r>
            <w:r w:rsidR="00BE2307" w:rsidRPr="00470271">
              <w:rPr>
                <w:rFonts w:ascii="Times New Roman" w:hAnsi="Times New Roman" w:cs="Times New Roman"/>
                <w:sz w:val="24"/>
                <w:szCs w:val="24"/>
              </w:rPr>
              <w:t>декларация за съгласие за предоставяне на данни за периода до приключване на програмата от Националния статистически институт на Управляващия орган на ПРСР 2014 – 2020 г. и за разпространен</w:t>
            </w:r>
            <w:r w:rsidR="00ED6EA6" w:rsidRPr="00470271">
              <w:rPr>
                <w:rFonts w:ascii="Times New Roman" w:hAnsi="Times New Roman" w:cs="Times New Roman"/>
                <w:sz w:val="24"/>
                <w:szCs w:val="24"/>
              </w:rPr>
              <w:t>ието им съгласно приложение № 6.</w:t>
            </w:r>
          </w:p>
        </w:tc>
        <w:tc>
          <w:tcPr>
            <w:tcW w:w="709" w:type="dxa"/>
          </w:tcPr>
          <w:p w14:paraId="303B5C26"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704AE3DC"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41468C2"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37E020BF" w14:textId="77777777" w:rsidTr="00C3347F">
        <w:tc>
          <w:tcPr>
            <w:tcW w:w="680" w:type="dxa"/>
            <w:tcBorders>
              <w:left w:val="single" w:sz="4" w:space="0" w:color="auto"/>
            </w:tcBorders>
            <w:vAlign w:val="center"/>
          </w:tcPr>
          <w:p w14:paraId="0B6F040A"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CFA99C6" w14:textId="77777777" w:rsidR="00705561" w:rsidRPr="00470271"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Представено е </w:t>
            </w:r>
            <w:r w:rsidR="007E42BC" w:rsidRPr="00470271">
              <w:rPr>
                <w:rFonts w:ascii="Times New Roman" w:hAnsi="Times New Roman" w:cs="Times New Roman"/>
                <w:sz w:val="24"/>
                <w:szCs w:val="24"/>
              </w:rPr>
              <w:t>списък на населението на територията на МИГ, подкрепило проекта</w:t>
            </w:r>
            <w:r w:rsidR="002B3953">
              <w:rPr>
                <w:rFonts w:ascii="Times New Roman" w:hAnsi="Times New Roman" w:cs="Times New Roman"/>
                <w:sz w:val="24"/>
                <w:szCs w:val="24"/>
              </w:rPr>
              <w:t xml:space="preserve"> </w:t>
            </w:r>
            <w:r w:rsidR="00BE2307" w:rsidRPr="00470271">
              <w:rPr>
                <w:rFonts w:ascii="Times New Roman" w:hAnsi="Times New Roman" w:cs="Times New Roman"/>
                <w:sz w:val="24"/>
                <w:szCs w:val="24"/>
                <w:shd w:val="clear" w:color="auto" w:fill="FEFEFE"/>
              </w:rPr>
              <w:t xml:space="preserve">(приложимо при заявяване на точки по критерий </w:t>
            </w:r>
            <w:r w:rsidR="00B51AB3" w:rsidRPr="00470271">
              <w:rPr>
                <w:rFonts w:ascii="Times New Roman" w:hAnsi="Times New Roman" w:cs="Times New Roman"/>
                <w:sz w:val="24"/>
                <w:szCs w:val="24"/>
                <w:shd w:val="clear" w:color="auto" w:fill="FEFEFE"/>
              </w:rPr>
              <w:t xml:space="preserve">№ </w:t>
            </w:r>
            <w:r w:rsidR="00BE2307" w:rsidRPr="00470271">
              <w:rPr>
                <w:rFonts w:ascii="Times New Roman" w:hAnsi="Times New Roman" w:cs="Times New Roman"/>
                <w:sz w:val="24"/>
                <w:szCs w:val="24"/>
                <w:shd w:val="clear" w:color="auto" w:fill="FEFEFE"/>
              </w:rPr>
              <w:t>3)</w:t>
            </w:r>
            <w:r w:rsidRPr="00470271">
              <w:rPr>
                <w:rFonts w:ascii="Times New Roman" w:hAnsi="Times New Roman" w:cs="Times New Roman"/>
                <w:sz w:val="24"/>
                <w:szCs w:val="24"/>
              </w:rPr>
              <w:t>.</w:t>
            </w:r>
          </w:p>
        </w:tc>
        <w:tc>
          <w:tcPr>
            <w:tcW w:w="709" w:type="dxa"/>
          </w:tcPr>
          <w:p w14:paraId="74EA05DC"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0EFCD52"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AA49B22"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120D3327" w14:textId="77777777" w:rsidTr="00C3347F">
        <w:tc>
          <w:tcPr>
            <w:tcW w:w="680" w:type="dxa"/>
            <w:tcBorders>
              <w:left w:val="single" w:sz="4" w:space="0" w:color="auto"/>
            </w:tcBorders>
            <w:vAlign w:val="center"/>
          </w:tcPr>
          <w:p w14:paraId="2C551E79"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587ECEB0" w14:textId="77777777" w:rsidR="00705561" w:rsidRPr="00470271" w:rsidRDefault="007E42BC"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Представени са </w:t>
            </w:r>
            <w:r w:rsidR="000B4100" w:rsidRPr="00470271">
              <w:rPr>
                <w:rFonts w:ascii="Times New Roman" w:hAnsi="Times New Roman" w:cs="Times New Roman"/>
                <w:sz w:val="24"/>
                <w:szCs w:val="24"/>
              </w:rPr>
              <w:t xml:space="preserve">документи за проведени информационни събития/ обсъждания на проекта с общността и други (приложимо при заявяване на точки по критерий </w:t>
            </w:r>
            <w:r w:rsidR="00B51AB3" w:rsidRPr="00470271">
              <w:rPr>
                <w:rFonts w:ascii="Times New Roman" w:hAnsi="Times New Roman" w:cs="Times New Roman"/>
                <w:sz w:val="24"/>
                <w:szCs w:val="24"/>
              </w:rPr>
              <w:t xml:space="preserve">№ </w:t>
            </w:r>
            <w:r w:rsidR="000B4100" w:rsidRPr="00470271">
              <w:rPr>
                <w:rFonts w:ascii="Times New Roman" w:hAnsi="Times New Roman" w:cs="Times New Roman"/>
                <w:sz w:val="24"/>
                <w:szCs w:val="24"/>
              </w:rPr>
              <w:t>3).</w:t>
            </w:r>
          </w:p>
        </w:tc>
        <w:tc>
          <w:tcPr>
            <w:tcW w:w="709" w:type="dxa"/>
          </w:tcPr>
          <w:p w14:paraId="13CC21C3"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937F7EE"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32F20E2"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71FCE2F1" w14:textId="77777777" w:rsidTr="00C3347F">
        <w:tc>
          <w:tcPr>
            <w:tcW w:w="680" w:type="dxa"/>
            <w:tcBorders>
              <w:left w:val="single" w:sz="4" w:space="0" w:color="auto"/>
            </w:tcBorders>
            <w:vAlign w:val="center"/>
          </w:tcPr>
          <w:p w14:paraId="1F7029B9"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CFD6DC8" w14:textId="77777777" w:rsidR="00705561" w:rsidRPr="00470271" w:rsidRDefault="00885C95"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Представени са </w:t>
            </w:r>
            <w:r w:rsidR="00BA6735" w:rsidRPr="00470271">
              <w:rPr>
                <w:rFonts w:ascii="Times New Roman" w:hAnsi="Times New Roman" w:cs="Times New Roman"/>
                <w:sz w:val="24"/>
                <w:szCs w:val="24"/>
              </w:rPr>
              <w:t xml:space="preserve">датирани и подписани </w:t>
            </w:r>
            <w:r w:rsidR="008917EC" w:rsidRPr="00470271">
              <w:rPr>
                <w:rFonts w:ascii="Times New Roman" w:hAnsi="Times New Roman" w:cs="Times New Roman"/>
                <w:sz w:val="24"/>
                <w:szCs w:val="24"/>
              </w:rPr>
              <w:t xml:space="preserve">декларации за предвиден брой </w:t>
            </w:r>
            <w:proofErr w:type="spellStart"/>
            <w:r w:rsidR="008917EC" w:rsidRPr="00470271">
              <w:rPr>
                <w:rFonts w:ascii="Times New Roman" w:hAnsi="Times New Roman" w:cs="Times New Roman"/>
                <w:sz w:val="24"/>
                <w:szCs w:val="24"/>
              </w:rPr>
              <w:t>човекодни</w:t>
            </w:r>
            <w:proofErr w:type="spellEnd"/>
            <w:r w:rsidR="008917EC" w:rsidRPr="00470271">
              <w:rPr>
                <w:rFonts w:ascii="Times New Roman" w:hAnsi="Times New Roman" w:cs="Times New Roman"/>
                <w:sz w:val="24"/>
                <w:szCs w:val="24"/>
              </w:rPr>
              <w:t xml:space="preserve"> доброволен труд или документи за процент осигурено </w:t>
            </w:r>
            <w:proofErr w:type="spellStart"/>
            <w:r w:rsidR="008917EC" w:rsidRPr="00470271">
              <w:rPr>
                <w:rFonts w:ascii="Times New Roman" w:hAnsi="Times New Roman" w:cs="Times New Roman"/>
                <w:sz w:val="24"/>
                <w:szCs w:val="24"/>
              </w:rPr>
              <w:t>съфинансиране</w:t>
            </w:r>
            <w:proofErr w:type="spellEnd"/>
            <w:r w:rsidR="008917EC" w:rsidRPr="00470271">
              <w:rPr>
                <w:rFonts w:ascii="Times New Roman" w:hAnsi="Times New Roman" w:cs="Times New Roman"/>
                <w:sz w:val="24"/>
                <w:szCs w:val="24"/>
              </w:rPr>
              <w:t xml:space="preserve"> от представител/и на местната общност, включително банково извлечение от сметката на МИГ (приложимо при заявяване на точки по критерий </w:t>
            </w:r>
            <w:r w:rsidR="00B51AB3" w:rsidRPr="00470271">
              <w:rPr>
                <w:rFonts w:ascii="Times New Roman" w:hAnsi="Times New Roman" w:cs="Times New Roman"/>
                <w:sz w:val="24"/>
                <w:szCs w:val="24"/>
              </w:rPr>
              <w:t xml:space="preserve">№ </w:t>
            </w:r>
            <w:r w:rsidR="008917EC" w:rsidRPr="00470271">
              <w:rPr>
                <w:rFonts w:ascii="Times New Roman" w:hAnsi="Times New Roman" w:cs="Times New Roman"/>
                <w:sz w:val="24"/>
                <w:szCs w:val="24"/>
              </w:rPr>
              <w:t>1)</w:t>
            </w:r>
            <w:r w:rsidR="00ED6EA6" w:rsidRPr="00470271">
              <w:rPr>
                <w:rFonts w:ascii="Times New Roman" w:hAnsi="Times New Roman" w:cs="Times New Roman"/>
                <w:sz w:val="24"/>
                <w:szCs w:val="24"/>
              </w:rPr>
              <w:t>.</w:t>
            </w:r>
          </w:p>
        </w:tc>
        <w:tc>
          <w:tcPr>
            <w:tcW w:w="709" w:type="dxa"/>
          </w:tcPr>
          <w:p w14:paraId="116967C1"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3BDFF47"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AF7080D"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619FA719" w14:textId="77777777" w:rsidTr="00C3347F">
        <w:trPr>
          <w:trHeight w:val="1119"/>
        </w:trPr>
        <w:tc>
          <w:tcPr>
            <w:tcW w:w="680" w:type="dxa"/>
            <w:tcBorders>
              <w:left w:val="single" w:sz="4" w:space="0" w:color="auto"/>
            </w:tcBorders>
            <w:vAlign w:val="center"/>
          </w:tcPr>
          <w:p w14:paraId="0D9B1A16"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2446C14" w14:textId="77777777" w:rsidR="00705561" w:rsidRPr="00470271"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Представен</w:t>
            </w:r>
            <w:r w:rsidR="00885C95" w:rsidRPr="00470271">
              <w:rPr>
                <w:rFonts w:ascii="Times New Roman" w:hAnsi="Times New Roman" w:cs="Times New Roman"/>
                <w:sz w:val="24"/>
                <w:szCs w:val="24"/>
              </w:rPr>
              <w:t xml:space="preserve">и са </w:t>
            </w:r>
            <w:r w:rsidR="000B09C4" w:rsidRPr="00470271">
              <w:rPr>
                <w:rFonts w:ascii="Times New Roman" w:hAnsi="Times New Roman" w:cs="Times New Roman"/>
                <w:sz w:val="24"/>
                <w:szCs w:val="24"/>
              </w:rPr>
              <w:t xml:space="preserve">документи за планирани действия за гарантиране устойчивост на постигнатите резултати по периоди (приложимо при заявяване на точки по критерий </w:t>
            </w:r>
            <w:r w:rsidR="00B51AB3" w:rsidRPr="00470271">
              <w:rPr>
                <w:rFonts w:ascii="Times New Roman" w:hAnsi="Times New Roman" w:cs="Times New Roman"/>
                <w:sz w:val="24"/>
                <w:szCs w:val="24"/>
              </w:rPr>
              <w:t xml:space="preserve">№ </w:t>
            </w:r>
            <w:r w:rsidR="000B09C4" w:rsidRPr="00470271">
              <w:rPr>
                <w:rFonts w:ascii="Times New Roman" w:hAnsi="Times New Roman" w:cs="Times New Roman"/>
                <w:sz w:val="24"/>
                <w:szCs w:val="24"/>
              </w:rPr>
              <w:t>2);</w:t>
            </w:r>
          </w:p>
        </w:tc>
        <w:tc>
          <w:tcPr>
            <w:tcW w:w="709" w:type="dxa"/>
          </w:tcPr>
          <w:p w14:paraId="65F2E393"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321173F7"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29AA458"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17298" w:rsidRPr="00470271" w14:paraId="7339B49C" w14:textId="77777777" w:rsidTr="00C3347F">
        <w:tc>
          <w:tcPr>
            <w:tcW w:w="680" w:type="dxa"/>
            <w:tcBorders>
              <w:left w:val="single" w:sz="4" w:space="0" w:color="auto"/>
            </w:tcBorders>
            <w:vAlign w:val="center"/>
          </w:tcPr>
          <w:p w14:paraId="44DA4FD6" w14:textId="77777777" w:rsidR="00517298" w:rsidRPr="00470271" w:rsidRDefault="00517298"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63591D9" w14:textId="77777777" w:rsidR="00517298" w:rsidRPr="00470271" w:rsidRDefault="00517298"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Представена е </w:t>
            </w:r>
            <w:r w:rsidR="000B09C4" w:rsidRPr="00470271">
              <w:rPr>
                <w:rFonts w:ascii="Times New Roman" w:hAnsi="Times New Roman" w:cs="Times New Roman"/>
                <w:sz w:val="24"/>
                <w:szCs w:val="24"/>
              </w:rPr>
              <w:t xml:space="preserve">една оферта, която съдържа наименованието на </w:t>
            </w:r>
            <w:proofErr w:type="spellStart"/>
            <w:r w:rsidR="000B09C4" w:rsidRPr="00470271">
              <w:rPr>
                <w:rFonts w:ascii="Times New Roman" w:hAnsi="Times New Roman" w:cs="Times New Roman"/>
                <w:sz w:val="24"/>
                <w:szCs w:val="24"/>
              </w:rPr>
              <w:t>оферента</w:t>
            </w:r>
            <w:proofErr w:type="spellEnd"/>
            <w:r w:rsidR="000B09C4" w:rsidRPr="00470271">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0B09C4" w:rsidRPr="00470271">
              <w:rPr>
                <w:rFonts w:ascii="Times New Roman" w:hAnsi="Times New Roman" w:cs="Times New Roman"/>
                <w:sz w:val="24"/>
                <w:szCs w:val="24"/>
              </w:rPr>
              <w:t>оферента</w:t>
            </w:r>
            <w:proofErr w:type="spellEnd"/>
            <w:r w:rsidR="000B09C4" w:rsidRPr="00470271">
              <w:rPr>
                <w:rFonts w:ascii="Times New Roman" w:hAnsi="Times New Roman" w:cs="Times New Roman"/>
                <w:sz w:val="24"/>
                <w:szCs w:val="24"/>
              </w:rPr>
              <w:t>, подробна техническа спецификация на активите/услугите, цена в лева или евро с посочен данък върху добавената стойност (ДДС)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(в случай на референтен разход) (когато е приложимо);</w:t>
            </w:r>
          </w:p>
        </w:tc>
        <w:tc>
          <w:tcPr>
            <w:tcW w:w="709" w:type="dxa"/>
          </w:tcPr>
          <w:p w14:paraId="5028E1C9" w14:textId="77777777" w:rsidR="00517298" w:rsidRPr="00470271" w:rsidRDefault="0051729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B6ABF73" w14:textId="77777777" w:rsidR="00517298" w:rsidRPr="00470271" w:rsidRDefault="0051729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93F7A0A" w14:textId="77777777" w:rsidR="00517298" w:rsidRPr="00470271" w:rsidRDefault="0051729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7187A9E7" w14:textId="77777777" w:rsidTr="00C3347F">
        <w:tc>
          <w:tcPr>
            <w:tcW w:w="680" w:type="dxa"/>
            <w:tcBorders>
              <w:left w:val="single" w:sz="4" w:space="0" w:color="auto"/>
            </w:tcBorders>
            <w:vAlign w:val="center"/>
          </w:tcPr>
          <w:p w14:paraId="07D2C2DB"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B89FA8A" w14:textId="18F2670C" w:rsidR="00885C95" w:rsidRPr="00470271" w:rsidRDefault="00885C95" w:rsidP="005879BD">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Представени са </w:t>
            </w:r>
            <w:r w:rsidR="000B09C4" w:rsidRPr="00470271">
              <w:rPr>
                <w:rFonts w:ascii="Times New Roman" w:hAnsi="Times New Roman" w:cs="Times New Roman"/>
                <w:sz w:val="24"/>
                <w:szCs w:val="24"/>
              </w:rPr>
              <w:t xml:space="preserve">най-малко три съпоставими независими оферти в оригинал, които съдържат наименование на </w:t>
            </w:r>
            <w:proofErr w:type="spellStart"/>
            <w:r w:rsidR="000B09C4" w:rsidRPr="00470271">
              <w:rPr>
                <w:rFonts w:ascii="Times New Roman" w:hAnsi="Times New Roman" w:cs="Times New Roman"/>
                <w:sz w:val="24"/>
                <w:szCs w:val="24"/>
              </w:rPr>
              <w:t>оферента</w:t>
            </w:r>
            <w:proofErr w:type="spellEnd"/>
            <w:r w:rsidR="000B09C4" w:rsidRPr="00470271">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0B09C4" w:rsidRPr="00470271">
              <w:rPr>
                <w:rFonts w:ascii="Times New Roman" w:hAnsi="Times New Roman" w:cs="Times New Roman"/>
                <w:sz w:val="24"/>
                <w:szCs w:val="24"/>
              </w:rPr>
              <w:t>оферента</w:t>
            </w:r>
            <w:proofErr w:type="spellEnd"/>
            <w:r w:rsidR="000B09C4" w:rsidRPr="00470271">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В случаите на инвестиции за строително-монтажни работи към офертата се прилагат и количествено-стойностни сметки (когато е приложимо).</w:t>
            </w:r>
          </w:p>
        </w:tc>
        <w:tc>
          <w:tcPr>
            <w:tcW w:w="709" w:type="dxa"/>
          </w:tcPr>
          <w:p w14:paraId="375D55B4"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2AD9E81"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9A6729D"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82E64" w:rsidRPr="00470271" w14:paraId="7075FCFD" w14:textId="77777777" w:rsidTr="00DD1515">
        <w:tc>
          <w:tcPr>
            <w:tcW w:w="680" w:type="dxa"/>
            <w:tcBorders>
              <w:left w:val="single" w:sz="4" w:space="0" w:color="auto"/>
            </w:tcBorders>
            <w:vAlign w:val="center"/>
          </w:tcPr>
          <w:p w14:paraId="7C8DFDF2" w14:textId="77777777" w:rsidR="00A82E64" w:rsidRPr="00470271" w:rsidRDefault="00A82E64" w:rsidP="00DD1515">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6E543701" w14:textId="77777777" w:rsidR="00A82E64" w:rsidRPr="00470271" w:rsidRDefault="00A82E6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00588B">
              <w:rPr>
                <w:rFonts w:ascii="Times New Roman" w:hAnsi="Times New Roman" w:cs="Times New Roman"/>
                <w:sz w:val="24"/>
                <w:szCs w:val="24"/>
              </w:rPr>
              <w:t>Представена е документация от проведените пазарни консултации, вкл. решение за обосноваността  и определянето на прогнозна стойност на разхода, за който ще бъде проведена процедура за избор на изпълнител по реда на ЗОП след сключването на административния договор за предоставяне на БФП (когато е приложимо).</w:t>
            </w:r>
          </w:p>
        </w:tc>
        <w:tc>
          <w:tcPr>
            <w:tcW w:w="709" w:type="dxa"/>
          </w:tcPr>
          <w:p w14:paraId="2FCF1893" w14:textId="77777777" w:rsidR="00A82E64" w:rsidRPr="00470271" w:rsidRDefault="00A82E64" w:rsidP="00DD1515">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36EE98F1" w14:textId="77777777" w:rsidR="00A82E64" w:rsidRPr="00470271" w:rsidRDefault="00A82E64" w:rsidP="00DD1515">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A6E31B6" w14:textId="77777777" w:rsidR="00A82E64" w:rsidRPr="00470271" w:rsidRDefault="00A82E64" w:rsidP="00DD1515">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7319B197" w14:textId="77777777" w:rsidTr="00C3347F">
        <w:tc>
          <w:tcPr>
            <w:tcW w:w="680" w:type="dxa"/>
            <w:tcBorders>
              <w:left w:val="single" w:sz="4" w:space="0" w:color="auto"/>
            </w:tcBorders>
            <w:vAlign w:val="center"/>
          </w:tcPr>
          <w:p w14:paraId="79776912"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506DEC8" w14:textId="77777777" w:rsidR="00705561" w:rsidRPr="00470271"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Представен</w:t>
            </w:r>
            <w:r w:rsidR="00FC44A4" w:rsidRPr="00470271">
              <w:rPr>
                <w:rFonts w:ascii="Times New Roman" w:hAnsi="Times New Roman" w:cs="Times New Roman"/>
                <w:sz w:val="24"/>
                <w:szCs w:val="24"/>
              </w:rPr>
              <w:t>о е</w:t>
            </w:r>
            <w:r w:rsidR="002B3953">
              <w:rPr>
                <w:rFonts w:ascii="Times New Roman" w:hAnsi="Times New Roman" w:cs="Times New Roman"/>
                <w:sz w:val="24"/>
                <w:szCs w:val="24"/>
              </w:rPr>
              <w:t xml:space="preserve"> </w:t>
            </w:r>
            <w:r w:rsidR="00FC44A4" w:rsidRPr="00470271">
              <w:rPr>
                <w:rFonts w:ascii="Times New Roman" w:hAnsi="Times New Roman" w:cs="Times New Roman"/>
                <w:sz w:val="24"/>
                <w:szCs w:val="24"/>
              </w:rPr>
              <w:t>решение на кандидата за избор на изпълнител (когато е приложимо)</w:t>
            </w:r>
            <w:r w:rsidRPr="00470271">
              <w:rPr>
                <w:rFonts w:ascii="Times New Roman" w:hAnsi="Times New Roman" w:cs="Times New Roman"/>
                <w:sz w:val="24"/>
                <w:szCs w:val="24"/>
              </w:rPr>
              <w:t>.</w:t>
            </w:r>
          </w:p>
        </w:tc>
        <w:tc>
          <w:tcPr>
            <w:tcW w:w="709" w:type="dxa"/>
          </w:tcPr>
          <w:p w14:paraId="239D999E"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701AF8B8"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5C49F22"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70271" w14:paraId="7460315A" w14:textId="77777777" w:rsidTr="00C3347F">
        <w:tc>
          <w:tcPr>
            <w:tcW w:w="680" w:type="dxa"/>
            <w:tcBorders>
              <w:left w:val="single" w:sz="4" w:space="0" w:color="auto"/>
            </w:tcBorders>
            <w:vAlign w:val="center"/>
          </w:tcPr>
          <w:p w14:paraId="3BBEF0AE" w14:textId="77777777" w:rsidR="00705561" w:rsidRPr="00470271" w:rsidRDefault="00705561"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72422BF" w14:textId="77777777" w:rsidR="00705561" w:rsidRPr="00470271" w:rsidRDefault="0070556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470271">
              <w:rPr>
                <w:rFonts w:ascii="Times New Roman" w:hAnsi="Times New Roman" w:cs="Times New Roman"/>
                <w:sz w:val="24"/>
                <w:szCs w:val="24"/>
              </w:rPr>
              <w:t xml:space="preserve">Представени са </w:t>
            </w:r>
            <w:r w:rsidR="00485354" w:rsidRPr="00470271">
              <w:rPr>
                <w:rFonts w:ascii="Times New Roman" w:hAnsi="Times New Roman" w:cs="Times New Roman"/>
                <w:sz w:val="24"/>
                <w:szCs w:val="24"/>
              </w:rPr>
              <w:t>договор/и (предварителен/окончателен) за избор на изпълнител</w:t>
            </w:r>
            <w:r w:rsidR="00E17B20" w:rsidRPr="00470271">
              <w:rPr>
                <w:rFonts w:ascii="Times New Roman" w:hAnsi="Times New Roman" w:cs="Times New Roman"/>
                <w:sz w:val="24"/>
                <w:szCs w:val="24"/>
              </w:rPr>
              <w:t>.</w:t>
            </w:r>
          </w:p>
        </w:tc>
        <w:tc>
          <w:tcPr>
            <w:tcW w:w="709" w:type="dxa"/>
          </w:tcPr>
          <w:p w14:paraId="3055C391"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53C64C5"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8F2C443" w14:textId="77777777" w:rsidR="00705561" w:rsidRPr="00470271"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34394B" w:rsidRPr="00470271" w14:paraId="6D3EA75F" w14:textId="77777777" w:rsidTr="00C3347F">
        <w:tc>
          <w:tcPr>
            <w:tcW w:w="680" w:type="dxa"/>
            <w:tcBorders>
              <w:left w:val="single" w:sz="4" w:space="0" w:color="auto"/>
            </w:tcBorders>
            <w:vAlign w:val="center"/>
          </w:tcPr>
          <w:p w14:paraId="295242EE" w14:textId="77777777" w:rsidR="0034394B" w:rsidRPr="00470271" w:rsidRDefault="0034394B"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53DE7A67" w14:textId="77777777" w:rsidR="0034394B" w:rsidRPr="0000588B" w:rsidRDefault="0034394B"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00588B">
              <w:rPr>
                <w:rFonts w:ascii="Times New Roman" w:hAnsi="Times New Roman" w:cs="Times New Roman"/>
                <w:sz w:val="24"/>
                <w:szCs w:val="24"/>
              </w:rPr>
              <w:t xml:space="preserve">Представен е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w:t>
            </w:r>
            <w:r w:rsidRPr="0000588B">
              <w:rPr>
                <w:rFonts w:ascii="Times New Roman" w:hAnsi="Times New Roman" w:cs="Times New Roman"/>
                <w:sz w:val="24"/>
                <w:szCs w:val="24"/>
              </w:rPr>
              <w:lastRenderedPageBreak/>
              <w:t>на проектното предложение към стратегията за ВОМР, вписан в районната служба по вписванията,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r w:rsidR="001B21C8" w:rsidRPr="0000588B">
              <w:rPr>
                <w:rFonts w:ascii="Times New Roman" w:hAnsi="Times New Roman" w:cs="Times New Roman"/>
                <w:sz w:val="24"/>
                <w:szCs w:val="24"/>
              </w:rPr>
              <w:t xml:space="preserve"> (когато е приложимо)</w:t>
            </w:r>
            <w:r w:rsidRPr="0000588B">
              <w:rPr>
                <w:rFonts w:ascii="Times New Roman" w:hAnsi="Times New Roman" w:cs="Times New Roman"/>
                <w:sz w:val="24"/>
                <w:szCs w:val="24"/>
              </w:rPr>
              <w:t>.</w:t>
            </w:r>
          </w:p>
        </w:tc>
        <w:tc>
          <w:tcPr>
            <w:tcW w:w="709" w:type="dxa"/>
          </w:tcPr>
          <w:p w14:paraId="190AA85F" w14:textId="77777777" w:rsidR="0034394B" w:rsidRPr="00470271" w:rsidRDefault="0034394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8EA0E04" w14:textId="77777777" w:rsidR="0034394B" w:rsidRPr="00470271" w:rsidRDefault="0034394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628908F" w14:textId="77777777" w:rsidR="0034394B" w:rsidRPr="00470271" w:rsidRDefault="0034394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70271" w14:paraId="1453C9D7" w14:textId="77777777" w:rsidTr="00C3347F">
        <w:tc>
          <w:tcPr>
            <w:tcW w:w="680" w:type="dxa"/>
            <w:tcBorders>
              <w:left w:val="single" w:sz="4" w:space="0" w:color="auto"/>
            </w:tcBorders>
            <w:vAlign w:val="center"/>
          </w:tcPr>
          <w:p w14:paraId="17A7D728"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CF5E5E3" w14:textId="77777777" w:rsidR="00EC50C2" w:rsidRPr="00470271" w:rsidRDefault="00EC50C2" w:rsidP="00EC50C2">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Представен е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(когато е приложимо);</w:t>
            </w:r>
          </w:p>
        </w:tc>
        <w:tc>
          <w:tcPr>
            <w:tcW w:w="709" w:type="dxa"/>
          </w:tcPr>
          <w:p w14:paraId="2080EC77"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CFC5126"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46C1CFF5"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70271" w14:paraId="7E676EC9" w14:textId="77777777" w:rsidTr="00C3347F">
        <w:tc>
          <w:tcPr>
            <w:tcW w:w="680" w:type="dxa"/>
            <w:tcBorders>
              <w:left w:val="single" w:sz="4" w:space="0" w:color="auto"/>
            </w:tcBorders>
            <w:vAlign w:val="center"/>
          </w:tcPr>
          <w:p w14:paraId="6D72FCCB"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6F58E0B8" w14:textId="77777777" w:rsidR="00EC50C2" w:rsidRPr="00470271" w:rsidRDefault="00EC50C2" w:rsidP="00EC50C2">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Представено е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(когато е приложимо);</w:t>
            </w:r>
          </w:p>
        </w:tc>
        <w:tc>
          <w:tcPr>
            <w:tcW w:w="709" w:type="dxa"/>
          </w:tcPr>
          <w:p w14:paraId="3FB1DF1E"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25C94782"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5C91640"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70271" w14:paraId="3A113F9D" w14:textId="77777777" w:rsidTr="00C3347F">
        <w:tc>
          <w:tcPr>
            <w:tcW w:w="680" w:type="dxa"/>
            <w:tcBorders>
              <w:left w:val="single" w:sz="4" w:space="0" w:color="auto"/>
            </w:tcBorders>
            <w:vAlign w:val="center"/>
          </w:tcPr>
          <w:p w14:paraId="6112178B"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E1E1986" w14:textId="2667E8F7" w:rsidR="00EC50C2" w:rsidRPr="00470271" w:rsidRDefault="00EC50C2" w:rsidP="005879BD">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Представени са подробни количествени сметки за предвидените строително-монтажни работи, заверени от правоспособно лице (когато е приложимо);</w:t>
            </w:r>
          </w:p>
        </w:tc>
        <w:tc>
          <w:tcPr>
            <w:tcW w:w="709" w:type="dxa"/>
          </w:tcPr>
          <w:p w14:paraId="33C5DDFB"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8E1B7C8"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6544615"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70271" w14:paraId="4234DA70" w14:textId="77777777" w:rsidTr="00C3347F">
        <w:tc>
          <w:tcPr>
            <w:tcW w:w="680" w:type="dxa"/>
            <w:tcBorders>
              <w:left w:val="single" w:sz="4" w:space="0" w:color="auto"/>
            </w:tcBorders>
            <w:vAlign w:val="center"/>
          </w:tcPr>
          <w:p w14:paraId="42C2356A"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F87F302" w14:textId="77777777" w:rsidR="00EC50C2" w:rsidRPr="00470271" w:rsidRDefault="00EC50C2" w:rsidP="00EC50C2">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 xml:space="preserve">Представено е разрешение за поставяне, издадено в съответствие със Закона за устройство на територията за разходи за </w:t>
            </w:r>
            <w:proofErr w:type="spellStart"/>
            <w:r w:rsidRPr="0000588B">
              <w:rPr>
                <w:rFonts w:ascii="Times New Roman" w:hAnsi="Times New Roman" w:cs="Times New Roman"/>
                <w:sz w:val="24"/>
                <w:szCs w:val="24"/>
                <w:shd w:val="clear" w:color="auto" w:fill="FEFEFE"/>
              </w:rPr>
              <w:t>преместваеми</w:t>
            </w:r>
            <w:proofErr w:type="spellEnd"/>
            <w:r w:rsidRPr="0000588B">
              <w:rPr>
                <w:rFonts w:ascii="Times New Roman" w:hAnsi="Times New Roman" w:cs="Times New Roman"/>
                <w:sz w:val="24"/>
                <w:szCs w:val="24"/>
                <w:shd w:val="clear" w:color="auto" w:fill="FEFEFE"/>
              </w:rPr>
              <w:t xml:space="preserve"> обекти (важи, в случай че проектът включва разходи за </w:t>
            </w:r>
            <w:proofErr w:type="spellStart"/>
            <w:r w:rsidRPr="0000588B">
              <w:rPr>
                <w:rFonts w:ascii="Times New Roman" w:hAnsi="Times New Roman" w:cs="Times New Roman"/>
                <w:sz w:val="24"/>
                <w:szCs w:val="24"/>
                <w:shd w:val="clear" w:color="auto" w:fill="FEFEFE"/>
              </w:rPr>
              <w:t>преместваеми</w:t>
            </w:r>
            <w:proofErr w:type="spellEnd"/>
            <w:r w:rsidRPr="0000588B">
              <w:rPr>
                <w:rFonts w:ascii="Times New Roman" w:hAnsi="Times New Roman" w:cs="Times New Roman"/>
                <w:sz w:val="24"/>
                <w:szCs w:val="24"/>
                <w:shd w:val="clear" w:color="auto" w:fill="FEFEFE"/>
              </w:rPr>
              <w:t xml:space="preserve"> обекти) (когато е приложимо);</w:t>
            </w:r>
          </w:p>
        </w:tc>
        <w:tc>
          <w:tcPr>
            <w:tcW w:w="709" w:type="dxa"/>
          </w:tcPr>
          <w:p w14:paraId="0D8262DB"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E1717D7"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6FA7A5C"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70271" w14:paraId="772D6677" w14:textId="77777777" w:rsidTr="00C3347F">
        <w:tc>
          <w:tcPr>
            <w:tcW w:w="680" w:type="dxa"/>
            <w:tcBorders>
              <w:left w:val="single" w:sz="4" w:space="0" w:color="auto"/>
            </w:tcBorders>
            <w:vAlign w:val="center"/>
          </w:tcPr>
          <w:p w14:paraId="00ACCB51"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00080A0" w14:textId="77777777" w:rsidR="00EC50C2" w:rsidRPr="00470271" w:rsidRDefault="00EC50C2" w:rsidP="00EC50C2">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Представен е технологичен проект ведно със схема и описание на технологичния процес, изготвен и заверен от правоспособно лице (когато е приложимо).</w:t>
            </w:r>
          </w:p>
        </w:tc>
        <w:tc>
          <w:tcPr>
            <w:tcW w:w="709" w:type="dxa"/>
          </w:tcPr>
          <w:p w14:paraId="2E533552"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9315CCC"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5C1CEF6" w14:textId="77777777" w:rsidR="00EC50C2" w:rsidRPr="00470271"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C50C2" w:rsidRPr="004A5570" w14:paraId="604589CE" w14:textId="77777777" w:rsidTr="00C3347F">
        <w:tc>
          <w:tcPr>
            <w:tcW w:w="680" w:type="dxa"/>
            <w:tcBorders>
              <w:left w:val="single" w:sz="4" w:space="0" w:color="auto"/>
            </w:tcBorders>
            <w:vAlign w:val="center"/>
          </w:tcPr>
          <w:p w14:paraId="23C0DECA" w14:textId="77777777" w:rsidR="00EC50C2" w:rsidRPr="00470271" w:rsidRDefault="00EC50C2"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92FB317" w14:textId="77777777" w:rsidR="00EC50C2" w:rsidRPr="004A5570" w:rsidRDefault="00EC50C2" w:rsidP="00EC50C2">
            <w:pPr>
              <w:spacing w:before="120"/>
              <w:jc w:val="both"/>
              <w:rPr>
                <w:rFonts w:ascii="Times New Roman" w:hAnsi="Times New Roman" w:cs="Times New Roman"/>
                <w:sz w:val="24"/>
                <w:szCs w:val="24"/>
                <w:shd w:val="clear" w:color="auto" w:fill="FEFEFE"/>
              </w:rPr>
            </w:pPr>
            <w:r w:rsidRPr="0000588B">
              <w:rPr>
                <w:rFonts w:ascii="Times New Roman" w:hAnsi="Times New Roman" w:cs="Times New Roman"/>
                <w:sz w:val="24"/>
                <w:szCs w:val="24"/>
                <w:shd w:val="clear" w:color="auto" w:fill="FEFEFE"/>
              </w:rPr>
              <w:t>Представена е Техническа спецификация за оборудване и обзавеждане (когато е приложимо).</w:t>
            </w:r>
          </w:p>
        </w:tc>
        <w:tc>
          <w:tcPr>
            <w:tcW w:w="709" w:type="dxa"/>
          </w:tcPr>
          <w:p w14:paraId="75F64CAC" w14:textId="77777777" w:rsidR="00EC50C2" w:rsidRPr="004A5570"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4E86217" w14:textId="77777777" w:rsidR="00EC50C2" w:rsidRPr="004A5570"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6207CCB8" w14:textId="77777777" w:rsidR="00EC50C2" w:rsidRPr="004A5570" w:rsidRDefault="00EC50C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850029" w:rsidRPr="004A5570" w14:paraId="3ECDD3BA" w14:textId="77777777" w:rsidTr="00C3347F">
        <w:tc>
          <w:tcPr>
            <w:tcW w:w="680" w:type="dxa"/>
            <w:tcBorders>
              <w:left w:val="single" w:sz="4" w:space="0" w:color="auto"/>
            </w:tcBorders>
            <w:vAlign w:val="center"/>
          </w:tcPr>
          <w:p w14:paraId="66C4914E" w14:textId="77777777" w:rsidR="00850029" w:rsidRPr="00470271" w:rsidRDefault="00850029"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E0745A3" w14:textId="07988251" w:rsidR="00850029" w:rsidRPr="00850029" w:rsidRDefault="00850029" w:rsidP="00EC50C2">
            <w:pPr>
              <w:spacing w:before="1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Представена е декларация за липса </w:t>
            </w:r>
            <w:r w:rsidR="00156EAC">
              <w:rPr>
                <w:rFonts w:ascii="Times New Roman" w:hAnsi="Times New Roman" w:cs="Times New Roman"/>
                <w:sz w:val="24"/>
                <w:szCs w:val="24"/>
                <w:shd w:val="clear" w:color="auto" w:fill="FEFEFE"/>
              </w:rPr>
              <w:t>на изкуствено създадени условия</w:t>
            </w:r>
            <w:r w:rsidR="00AC18C2">
              <w:rPr>
                <w:rFonts w:ascii="Times New Roman" w:hAnsi="Times New Roman" w:cs="Times New Roman"/>
                <w:sz w:val="24"/>
                <w:szCs w:val="24"/>
                <w:shd w:val="clear" w:color="auto" w:fill="FEFEFE"/>
              </w:rPr>
              <w:t xml:space="preserve"> съгласно приложение </w:t>
            </w:r>
            <w:r w:rsidR="00AC18C2" w:rsidRPr="00AC18C2">
              <w:rPr>
                <w:rFonts w:ascii="Times New Roman" w:hAnsi="Times New Roman" w:cs="Times New Roman"/>
                <w:sz w:val="24"/>
                <w:szCs w:val="24"/>
                <w:shd w:val="clear" w:color="auto" w:fill="FEFEFE"/>
              </w:rPr>
              <w:t>№</w:t>
            </w:r>
            <w:r w:rsidR="00AC18C2">
              <w:rPr>
                <w:rFonts w:ascii="Times New Roman" w:hAnsi="Times New Roman" w:cs="Times New Roman"/>
                <w:sz w:val="24"/>
                <w:szCs w:val="24"/>
                <w:shd w:val="clear" w:color="auto" w:fill="FEFEFE"/>
              </w:rPr>
              <w:t xml:space="preserve"> 7</w:t>
            </w:r>
            <w:r w:rsidR="00156EAC">
              <w:rPr>
                <w:rFonts w:ascii="Times New Roman" w:hAnsi="Times New Roman" w:cs="Times New Roman"/>
                <w:sz w:val="24"/>
                <w:szCs w:val="24"/>
                <w:shd w:val="clear" w:color="auto" w:fill="FEFEFE"/>
              </w:rPr>
              <w:t>.</w:t>
            </w:r>
          </w:p>
        </w:tc>
        <w:tc>
          <w:tcPr>
            <w:tcW w:w="709" w:type="dxa"/>
          </w:tcPr>
          <w:p w14:paraId="18075210" w14:textId="77777777" w:rsidR="00850029" w:rsidRPr="004A5570" w:rsidRDefault="0085002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BE3ED1A" w14:textId="77777777" w:rsidR="00850029" w:rsidRPr="004A5570" w:rsidRDefault="0085002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20BEE9D" w14:textId="77777777" w:rsidR="00850029" w:rsidRPr="004A5570" w:rsidRDefault="00850029"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54BD9" w:rsidRPr="004A5570" w14:paraId="0E77B4DF" w14:textId="77777777" w:rsidTr="00C3347F">
        <w:tc>
          <w:tcPr>
            <w:tcW w:w="680" w:type="dxa"/>
            <w:tcBorders>
              <w:left w:val="single" w:sz="4" w:space="0" w:color="auto"/>
            </w:tcBorders>
            <w:vAlign w:val="center"/>
          </w:tcPr>
          <w:p w14:paraId="4DA60864" w14:textId="77777777" w:rsidR="00B54BD9" w:rsidRPr="00470271" w:rsidRDefault="00B54BD9"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59CC6EE" w14:textId="7A343313" w:rsidR="00B54BD9" w:rsidRDefault="00B54BD9" w:rsidP="00B54BD9">
            <w:pPr>
              <w:spacing w:before="1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Представена е д</w:t>
            </w:r>
            <w:r w:rsidRPr="00B54BD9">
              <w:rPr>
                <w:rFonts w:ascii="Times New Roman" w:hAnsi="Times New Roman" w:cs="Times New Roman"/>
                <w:sz w:val="24"/>
                <w:szCs w:val="24"/>
                <w:shd w:val="clear" w:color="auto" w:fill="FEFEFE"/>
              </w:rPr>
              <w:t>екларация за нередности от представляващия кандидата и от всички членове на управителния и контролния орган на кандидата (когато такъв е предвиден в устава на МИГ), както и от техните представители съгласно приложение № 9</w:t>
            </w:r>
            <w:r>
              <w:rPr>
                <w:rFonts w:ascii="Times New Roman" w:hAnsi="Times New Roman" w:cs="Times New Roman"/>
                <w:sz w:val="24"/>
                <w:szCs w:val="24"/>
                <w:shd w:val="clear" w:color="auto" w:fill="FEFEFE"/>
              </w:rPr>
              <w:t>.</w:t>
            </w:r>
          </w:p>
        </w:tc>
        <w:tc>
          <w:tcPr>
            <w:tcW w:w="709" w:type="dxa"/>
          </w:tcPr>
          <w:p w14:paraId="1A889A2A" w14:textId="77777777" w:rsidR="00B54BD9" w:rsidRPr="004A5570" w:rsidRDefault="00B54BD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58F00EC" w14:textId="77777777" w:rsidR="00B54BD9" w:rsidRPr="004A5570" w:rsidRDefault="00B54BD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A231208" w14:textId="77777777" w:rsidR="00B54BD9" w:rsidRPr="004A5570" w:rsidRDefault="00B54BD9"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E0448" w:rsidRPr="004A5570" w14:paraId="3B3A0455" w14:textId="77777777" w:rsidTr="00C3347F">
        <w:tc>
          <w:tcPr>
            <w:tcW w:w="680" w:type="dxa"/>
            <w:tcBorders>
              <w:left w:val="single" w:sz="4" w:space="0" w:color="auto"/>
            </w:tcBorders>
            <w:vAlign w:val="center"/>
          </w:tcPr>
          <w:p w14:paraId="59E24C73" w14:textId="77777777" w:rsidR="005E0448" w:rsidRPr="00470271" w:rsidRDefault="005E0448" w:rsidP="00705561">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599BC745" w14:textId="411DC12C" w:rsidR="005E0448" w:rsidRDefault="005E0448" w:rsidP="005E0448">
            <w:pPr>
              <w:spacing w:before="120"/>
              <w:jc w:val="both"/>
              <w:rPr>
                <w:rFonts w:ascii="Times New Roman" w:hAnsi="Times New Roman" w:cs="Times New Roman"/>
                <w:sz w:val="24"/>
                <w:szCs w:val="24"/>
                <w:shd w:val="clear" w:color="auto" w:fill="FEFEFE"/>
              </w:rPr>
            </w:pPr>
            <w:r>
              <w:rPr>
                <w:rFonts w:ascii="Times New Roman" w:hAnsi="Times New Roman" w:cs="Times New Roman"/>
                <w:sz w:val="24"/>
                <w:szCs w:val="24"/>
              </w:rPr>
              <w:t>Представено е р</w:t>
            </w:r>
            <w:r w:rsidRPr="00AA7F67">
              <w:rPr>
                <w:rFonts w:ascii="Times New Roman" w:hAnsi="Times New Roman" w:cs="Times New Roman"/>
                <w:sz w:val="24"/>
                <w:szCs w:val="24"/>
              </w:rPr>
              <w:t>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(ако е приложимо)</w:t>
            </w:r>
          </w:p>
        </w:tc>
        <w:tc>
          <w:tcPr>
            <w:tcW w:w="709" w:type="dxa"/>
          </w:tcPr>
          <w:p w14:paraId="483886B2" w14:textId="77777777" w:rsidR="005E0448" w:rsidRPr="004A5570" w:rsidRDefault="005E04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3B943255" w14:textId="77777777" w:rsidR="005E0448" w:rsidRPr="004A5570" w:rsidRDefault="005E04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F5BAE49" w14:textId="77777777" w:rsidR="005E0448" w:rsidRPr="004A5570" w:rsidRDefault="005E044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2CB380FF" w14:textId="77777777" w:rsidTr="00C3347F">
        <w:tc>
          <w:tcPr>
            <w:tcW w:w="9894" w:type="dxa"/>
            <w:gridSpan w:val="5"/>
            <w:tcBorders>
              <w:left w:val="single" w:sz="4" w:space="0" w:color="auto"/>
            </w:tcBorders>
            <w:shd w:val="clear" w:color="auto" w:fill="BFBFBF" w:themeFill="background1" w:themeFillShade="BF"/>
            <w:vAlign w:val="center"/>
          </w:tcPr>
          <w:p w14:paraId="68C01A08"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color w:val="000000"/>
                <w:sz w:val="24"/>
                <w:szCs w:val="24"/>
              </w:rPr>
              <w:t>КРИТЕРИИ ЗА ДОПУСТИМОСТ</w:t>
            </w:r>
          </w:p>
        </w:tc>
      </w:tr>
      <w:tr w:rsidR="00705561" w:rsidRPr="004A5570" w14:paraId="1F1D1A38" w14:textId="77777777" w:rsidTr="00C3347F">
        <w:tc>
          <w:tcPr>
            <w:tcW w:w="680" w:type="dxa"/>
            <w:tcBorders>
              <w:left w:val="single" w:sz="4" w:space="0" w:color="auto"/>
            </w:tcBorders>
            <w:shd w:val="pct12" w:color="auto" w:fill="auto"/>
            <w:vAlign w:val="center"/>
          </w:tcPr>
          <w:p w14:paraId="7D687EA4"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w:t>
            </w:r>
          </w:p>
        </w:tc>
        <w:tc>
          <w:tcPr>
            <w:tcW w:w="5981" w:type="dxa"/>
            <w:shd w:val="clear" w:color="auto" w:fill="BFBFBF" w:themeFill="background1" w:themeFillShade="BF"/>
            <w:vAlign w:val="center"/>
          </w:tcPr>
          <w:p w14:paraId="2CCF48C6"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4A5570">
              <w:rPr>
                <w:rFonts w:ascii="Times New Roman" w:hAnsi="Times New Roman" w:cs="Times New Roman"/>
                <w:b/>
                <w:sz w:val="24"/>
                <w:szCs w:val="24"/>
              </w:rPr>
              <w:t>Изискване</w:t>
            </w:r>
          </w:p>
        </w:tc>
        <w:tc>
          <w:tcPr>
            <w:tcW w:w="709" w:type="dxa"/>
            <w:shd w:val="clear" w:color="auto" w:fill="BFBFBF" w:themeFill="background1" w:themeFillShade="BF"/>
            <w:vAlign w:val="center"/>
          </w:tcPr>
          <w:p w14:paraId="27279CB0"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4A5570">
              <w:rPr>
                <w:rFonts w:ascii="Times New Roman" w:hAnsi="Times New Roman" w:cs="Times New Roman"/>
                <w:b/>
                <w:sz w:val="24"/>
                <w:szCs w:val="24"/>
              </w:rPr>
              <w:t>ДА</w:t>
            </w:r>
          </w:p>
        </w:tc>
        <w:tc>
          <w:tcPr>
            <w:tcW w:w="736" w:type="dxa"/>
            <w:shd w:val="clear" w:color="auto" w:fill="BFBFBF" w:themeFill="background1" w:themeFillShade="BF"/>
            <w:vAlign w:val="center"/>
          </w:tcPr>
          <w:p w14:paraId="35B2CDBA"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4A5570">
              <w:rPr>
                <w:rFonts w:ascii="Times New Roman" w:hAnsi="Times New Roman" w:cs="Times New Roman"/>
                <w:b/>
                <w:sz w:val="24"/>
                <w:szCs w:val="24"/>
              </w:rPr>
              <w:t>НЕ</w:t>
            </w:r>
          </w:p>
        </w:tc>
        <w:tc>
          <w:tcPr>
            <w:tcW w:w="1788" w:type="dxa"/>
            <w:shd w:val="clear" w:color="auto" w:fill="BFBFBF" w:themeFill="background1" w:themeFillShade="BF"/>
            <w:vAlign w:val="center"/>
          </w:tcPr>
          <w:p w14:paraId="278B1E7B" w14:textId="77777777" w:rsidR="00705561" w:rsidRPr="004A5570" w:rsidRDefault="00705561"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4A5570">
              <w:rPr>
                <w:rFonts w:ascii="Times New Roman" w:hAnsi="Times New Roman" w:cs="Times New Roman"/>
                <w:b/>
                <w:sz w:val="24"/>
                <w:szCs w:val="24"/>
              </w:rPr>
              <w:t>Неприложимо</w:t>
            </w:r>
          </w:p>
        </w:tc>
      </w:tr>
      <w:tr w:rsidR="00904E6E" w:rsidRPr="0013383B" w14:paraId="1420097A" w14:textId="77777777" w:rsidTr="00C3347F">
        <w:tc>
          <w:tcPr>
            <w:tcW w:w="680" w:type="dxa"/>
            <w:tcBorders>
              <w:left w:val="single" w:sz="4" w:space="0" w:color="auto"/>
            </w:tcBorders>
            <w:vAlign w:val="center"/>
          </w:tcPr>
          <w:p w14:paraId="3A839F66" w14:textId="77777777" w:rsidR="00904E6E" w:rsidRPr="00E17331" w:rsidRDefault="00904E6E"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6686E9B7" w14:textId="4F9CCCA1" w:rsidR="00904E6E" w:rsidRPr="00E17331" w:rsidRDefault="00904E6E"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Кандидатът е местна инициативна група</w:t>
            </w:r>
            <w:r w:rsidR="008537C2" w:rsidRPr="00E17331">
              <w:rPr>
                <w:rFonts w:ascii="Times New Roman" w:hAnsi="Times New Roman" w:cs="Times New Roman"/>
                <w:sz w:val="24"/>
                <w:szCs w:val="24"/>
              </w:rPr>
              <w:t>,</w:t>
            </w:r>
            <w:r w:rsidRPr="00E17331">
              <w:rPr>
                <w:rFonts w:ascii="Times New Roman" w:hAnsi="Times New Roman" w:cs="Times New Roman"/>
                <w:sz w:val="24"/>
                <w:szCs w:val="24"/>
              </w:rPr>
              <w:t xml:space="preserve"> коят</w:t>
            </w:r>
            <w:r w:rsidR="00040537">
              <w:rPr>
                <w:rFonts w:ascii="Times New Roman" w:hAnsi="Times New Roman" w:cs="Times New Roman"/>
                <w:sz w:val="24"/>
                <w:szCs w:val="24"/>
              </w:rPr>
              <w:t>о е кандидатствала за одобрение</w:t>
            </w:r>
            <w:r w:rsidRPr="00E17331">
              <w:rPr>
                <w:rFonts w:ascii="Times New Roman" w:hAnsi="Times New Roman" w:cs="Times New Roman"/>
                <w:sz w:val="24"/>
                <w:szCs w:val="24"/>
              </w:rPr>
              <w:t xml:space="preserve"> </w:t>
            </w:r>
            <w:r w:rsidR="00040537">
              <w:rPr>
                <w:rFonts w:ascii="Times New Roman" w:hAnsi="Times New Roman" w:cs="Times New Roman"/>
                <w:sz w:val="24"/>
                <w:szCs w:val="24"/>
              </w:rPr>
              <w:t xml:space="preserve">в срока на обявата </w:t>
            </w:r>
            <w:r w:rsidRPr="00E17331">
              <w:rPr>
                <w:rFonts w:ascii="Times New Roman" w:hAnsi="Times New Roman" w:cs="Times New Roman"/>
                <w:sz w:val="24"/>
                <w:szCs w:val="24"/>
              </w:rPr>
              <w:t>по реда на Насоките за определяне на условията за кандидатстване по процедура за прием на проектни предложения BG06RDNP001-19.001 (втори прием), но няма одобрена за финансиране стратегия за ВОМР през програмния период 2014 – 2020 г.</w:t>
            </w:r>
          </w:p>
        </w:tc>
        <w:tc>
          <w:tcPr>
            <w:tcW w:w="709" w:type="dxa"/>
          </w:tcPr>
          <w:p w14:paraId="60C0ED44" w14:textId="77777777" w:rsidR="00904E6E" w:rsidRPr="00E17331" w:rsidRDefault="00904E6E"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45B3719" w14:textId="77777777" w:rsidR="00904E6E" w:rsidRPr="00E17331" w:rsidRDefault="00904E6E"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A5D9B6B" w14:textId="77777777" w:rsidR="00904E6E" w:rsidRPr="00E17331" w:rsidRDefault="00904E6E"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78686FD0" w14:textId="77777777" w:rsidTr="00C3347F">
        <w:tc>
          <w:tcPr>
            <w:tcW w:w="680" w:type="dxa"/>
            <w:tcBorders>
              <w:left w:val="single" w:sz="4" w:space="0" w:color="auto"/>
            </w:tcBorders>
            <w:vAlign w:val="center"/>
          </w:tcPr>
          <w:p w14:paraId="2C184A3D" w14:textId="77777777" w:rsidR="00705561" w:rsidRPr="0013383B" w:rsidRDefault="00705561"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AE4D37D" w14:textId="1DF1CCF7" w:rsidR="00705561" w:rsidRPr="004A5570" w:rsidRDefault="002877C5" w:rsidP="00933246">
            <w:pPr>
              <w:overflowPunct w:val="0"/>
              <w:autoSpaceDE w:val="0"/>
              <w:autoSpaceDN w:val="0"/>
              <w:adjustRightInd w:val="0"/>
              <w:spacing w:before="120" w:after="0"/>
              <w:jc w:val="both"/>
              <w:textAlignment w:val="baseline"/>
              <w:rPr>
                <w:rFonts w:ascii="Times New Roman" w:hAnsi="Times New Roman" w:cs="Times New Roman"/>
                <w:sz w:val="24"/>
                <w:szCs w:val="24"/>
                <w:shd w:val="clear" w:color="auto" w:fill="FEFEFE"/>
              </w:rPr>
            </w:pPr>
            <w:r w:rsidRPr="00E17331">
              <w:rPr>
                <w:rFonts w:ascii="Times New Roman" w:hAnsi="Times New Roman" w:cs="Times New Roman"/>
                <w:sz w:val="24"/>
                <w:szCs w:val="24"/>
              </w:rPr>
              <w:t xml:space="preserve">Проектът се изпълнява на някоя от следните територии - административните граници на общините: </w:t>
            </w:r>
            <w:r w:rsidR="008E76F6" w:rsidRPr="0013383B">
              <w:rPr>
                <w:rFonts w:ascii="Times New Roman" w:hAnsi="Times New Roman" w:cs="Times New Roman"/>
                <w:sz w:val="24"/>
                <w:szCs w:val="24"/>
              </w:rPr>
              <w:t xml:space="preserve">Антон, Антоново, Батак, </w:t>
            </w:r>
            <w:r w:rsidR="000257B5">
              <w:rPr>
                <w:rFonts w:ascii="Times New Roman" w:hAnsi="Times New Roman" w:cs="Times New Roman"/>
                <w:sz w:val="24"/>
                <w:szCs w:val="24"/>
              </w:rPr>
              <w:t xml:space="preserve">Белица, </w:t>
            </w:r>
            <w:r w:rsidR="008E76F6" w:rsidRPr="0013383B">
              <w:rPr>
                <w:rFonts w:ascii="Times New Roman" w:hAnsi="Times New Roman" w:cs="Times New Roman"/>
                <w:sz w:val="24"/>
                <w:szCs w:val="24"/>
              </w:rPr>
              <w:t xml:space="preserve">Белоградчик, Бобов дол, Божурище, Борово, Ботевград, Брацигово, Брезник, Бургас, Бяла, Велики Преслав, Венец, Видин селска част, Георги Дамяново, Горна Малина, Гулянци, Две Могили, Девин, Димово, Дупница, Дългопол, Елин Пелин, Етрополе, Златица, Иваново, Ихтиман, Каварна, Калояново, Камено, Карнобат, Каолиново, Карлово, </w:t>
            </w:r>
            <w:r w:rsidR="008E76F6" w:rsidRPr="0013383B">
              <w:rPr>
                <w:rFonts w:ascii="Times New Roman" w:hAnsi="Times New Roman" w:cs="Times New Roman"/>
                <w:sz w:val="24"/>
                <w:szCs w:val="24"/>
              </w:rPr>
              <w:lastRenderedPageBreak/>
              <w:t>Кнежа, Копривщица, Кричим, Кюстендил, Лозница, Мадан, Макреш, Малко Търново, Мездра, Мирково, Невестино, Несебър, Ново село, Омуртаг, Петрич, Пирдоп, Приморско, Първомай, Ракитово, Рудозем, Руен, Ружинци, Садово, Самуил, Свищов, Севлиево, Смолян, Смядово, Созопол, Стамболийски, Твърдица, Тополовград, Трън, Хитрино, Царево, Ценово, Чавдар, Челопеч, Чипровци, Чупрене</w:t>
            </w:r>
            <w:r w:rsidR="000257B5">
              <w:rPr>
                <w:rFonts w:ascii="Times New Roman" w:hAnsi="Times New Roman" w:cs="Times New Roman"/>
                <w:sz w:val="24"/>
                <w:szCs w:val="24"/>
              </w:rPr>
              <w:t>,</w:t>
            </w:r>
            <w:r w:rsidR="006E43D9">
              <w:rPr>
                <w:rFonts w:ascii="Times New Roman" w:hAnsi="Times New Roman" w:cs="Times New Roman"/>
                <w:sz w:val="24"/>
                <w:szCs w:val="24"/>
              </w:rPr>
              <w:t xml:space="preserve"> </w:t>
            </w:r>
            <w:r w:rsidR="008E76F6" w:rsidRPr="0013383B">
              <w:rPr>
                <w:rFonts w:ascii="Times New Roman" w:hAnsi="Times New Roman" w:cs="Times New Roman"/>
                <w:sz w:val="24"/>
                <w:szCs w:val="24"/>
              </w:rPr>
              <w:t>Шабла</w:t>
            </w:r>
            <w:r w:rsidR="000257B5">
              <w:rPr>
                <w:rFonts w:ascii="Times New Roman" w:hAnsi="Times New Roman" w:cs="Times New Roman"/>
                <w:sz w:val="24"/>
                <w:szCs w:val="24"/>
              </w:rPr>
              <w:t xml:space="preserve"> и Якоруда</w:t>
            </w:r>
          </w:p>
        </w:tc>
        <w:tc>
          <w:tcPr>
            <w:tcW w:w="709" w:type="dxa"/>
          </w:tcPr>
          <w:p w14:paraId="77922744" w14:textId="3CF8F986" w:rsidR="00705561" w:rsidRPr="004A5570" w:rsidRDefault="000257B5" w:rsidP="004D1CA3">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lastRenderedPageBreak/>
              <w:t>76</w:t>
            </w:r>
          </w:p>
        </w:tc>
        <w:tc>
          <w:tcPr>
            <w:tcW w:w="736" w:type="dxa"/>
          </w:tcPr>
          <w:p w14:paraId="3CF95922"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44DD49E3"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943770" w:rsidRPr="00E17331" w14:paraId="4F644C07"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59968369" w14:textId="77777777" w:rsidR="00943770" w:rsidRPr="004A5570" w:rsidRDefault="00943770" w:rsidP="00C65D2C">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E3C2EEE" w14:textId="52AD3A20" w:rsidR="00943770" w:rsidRPr="00E17331" w:rsidRDefault="0094377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Територията, на която се предоставя подпомагане е с население между 10 000 и 150 000 жители по данни от Националния статистически институт към 31 декември 201</w:t>
            </w:r>
            <w:r w:rsidR="007E4B7E">
              <w:rPr>
                <w:rFonts w:ascii="Times New Roman" w:hAnsi="Times New Roman" w:cs="Times New Roman"/>
                <w:sz w:val="24"/>
                <w:szCs w:val="24"/>
              </w:rPr>
              <w:t>9</w:t>
            </w:r>
            <w:r w:rsidRPr="00E17331">
              <w:rPr>
                <w:rFonts w:ascii="Times New Roman" w:hAnsi="Times New Roman" w:cs="Times New Roman"/>
                <w:sz w:val="24"/>
                <w:szCs w:val="24"/>
              </w:rPr>
              <w:t xml:space="preserve"> г. </w:t>
            </w:r>
          </w:p>
        </w:tc>
        <w:tc>
          <w:tcPr>
            <w:tcW w:w="709" w:type="dxa"/>
            <w:tcBorders>
              <w:top w:val="single" w:sz="4" w:space="0" w:color="000000"/>
              <w:left w:val="single" w:sz="4" w:space="0" w:color="000000"/>
              <w:bottom w:val="single" w:sz="4" w:space="0" w:color="000000"/>
              <w:right w:val="single" w:sz="4" w:space="0" w:color="000000"/>
            </w:tcBorders>
          </w:tcPr>
          <w:p w14:paraId="65E14DDB" w14:textId="77777777" w:rsidR="00943770" w:rsidRPr="0013383B" w:rsidRDefault="00943770" w:rsidP="00C65D2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0F74ABE5" w14:textId="77777777" w:rsidR="00943770" w:rsidRPr="00E17331" w:rsidRDefault="00943770" w:rsidP="00C65D2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09F321CC" w14:textId="77777777" w:rsidR="00943770" w:rsidRPr="00E17331" w:rsidRDefault="00943770" w:rsidP="00C65D2C">
            <w:pPr>
              <w:overflowPunct w:val="0"/>
              <w:autoSpaceDE w:val="0"/>
              <w:autoSpaceDN w:val="0"/>
              <w:adjustRightInd w:val="0"/>
              <w:spacing w:before="120" w:after="0"/>
              <w:textAlignment w:val="baseline"/>
              <w:rPr>
                <w:rFonts w:ascii="Times New Roman" w:hAnsi="Times New Roman" w:cs="Times New Roman"/>
                <w:sz w:val="24"/>
                <w:szCs w:val="24"/>
              </w:rPr>
            </w:pPr>
          </w:p>
        </w:tc>
      </w:tr>
      <w:tr w:rsidR="001E2FAA" w:rsidRPr="004A5570" w14:paraId="4102F5B6"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55C575DE" w14:textId="77777777" w:rsidR="001E2FAA" w:rsidRPr="00E17331" w:rsidRDefault="001E2FAA" w:rsidP="00D72D5B">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347B0E0" w14:textId="77777777" w:rsidR="001E2FAA" w:rsidRPr="00E17331" w:rsidRDefault="001E2FAA"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В раздел „Индикатори“ и в формуляра за кандидатстване задължително е въведен и количествено определен поне един от следните индикатори:</w:t>
            </w:r>
          </w:p>
          <w:p w14:paraId="40593214" w14:textId="77777777" w:rsidR="001E2FAA" w:rsidRPr="00E17331" w:rsidRDefault="001E2FAA"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1. Брой реализирани дейности;</w:t>
            </w:r>
          </w:p>
          <w:p w14:paraId="38E305A7" w14:textId="77777777" w:rsidR="001E2FAA" w:rsidRPr="00E17331" w:rsidRDefault="001E2FAA"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2. Брой създадени работни места в резултат от изпълнението на проекта;</w:t>
            </w:r>
          </w:p>
          <w:p w14:paraId="785CB015" w14:textId="77777777" w:rsidR="001E2FAA" w:rsidRPr="00E17331" w:rsidRDefault="001E2FAA"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3. Брой на населението в обхванатото от проекта населено място, за което изпълнението на проекта ще бъде от полза.</w:t>
            </w:r>
          </w:p>
        </w:tc>
        <w:tc>
          <w:tcPr>
            <w:tcW w:w="709" w:type="dxa"/>
            <w:tcBorders>
              <w:top w:val="single" w:sz="4" w:space="0" w:color="000000"/>
              <w:left w:val="single" w:sz="4" w:space="0" w:color="000000"/>
              <w:bottom w:val="single" w:sz="4" w:space="0" w:color="000000"/>
              <w:right w:val="single" w:sz="4" w:space="0" w:color="000000"/>
            </w:tcBorders>
          </w:tcPr>
          <w:p w14:paraId="16DBFC5C" w14:textId="77777777" w:rsidR="001E2FAA" w:rsidRPr="004A5570" w:rsidRDefault="001E2FAA" w:rsidP="00D72D5B">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106D0A1A" w14:textId="77777777" w:rsidR="001E2FAA" w:rsidRPr="004A5570" w:rsidRDefault="001E2FAA" w:rsidP="00D72D5B">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42292F28" w14:textId="77777777" w:rsidR="001E2FAA" w:rsidRPr="004A5570" w:rsidRDefault="001E2FAA" w:rsidP="00D72D5B">
            <w:pPr>
              <w:overflowPunct w:val="0"/>
              <w:autoSpaceDE w:val="0"/>
              <w:autoSpaceDN w:val="0"/>
              <w:adjustRightInd w:val="0"/>
              <w:spacing w:before="120" w:after="0"/>
              <w:textAlignment w:val="baseline"/>
              <w:rPr>
                <w:rFonts w:ascii="Times New Roman" w:hAnsi="Times New Roman" w:cs="Times New Roman"/>
                <w:sz w:val="24"/>
                <w:szCs w:val="24"/>
              </w:rPr>
            </w:pPr>
          </w:p>
        </w:tc>
      </w:tr>
      <w:tr w:rsidR="00943770" w:rsidRPr="004A5570" w14:paraId="286255CB"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29991B57" w14:textId="77777777" w:rsidR="00943770" w:rsidRPr="004A5570" w:rsidRDefault="00943770"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1BA925F" w14:textId="1532AB0E" w:rsidR="00943770" w:rsidRPr="00E17331" w:rsidRDefault="0094377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Минималната стойност на допустимите разходи е не по-</w:t>
            </w:r>
            <w:bookmarkStart w:id="0" w:name="_GoBack"/>
            <w:r w:rsidRPr="00E17331">
              <w:rPr>
                <w:rFonts w:ascii="Times New Roman" w:hAnsi="Times New Roman" w:cs="Times New Roman"/>
                <w:sz w:val="24"/>
                <w:szCs w:val="24"/>
              </w:rPr>
              <w:t xml:space="preserve">малко от левовата равностойност на 5 000 евро, а максималната – не повече от левовата равностойност на </w:t>
            </w:r>
            <w:r w:rsidR="00D22F2A">
              <w:rPr>
                <w:rFonts w:ascii="Times New Roman" w:hAnsi="Times New Roman" w:cs="Times New Roman"/>
                <w:sz w:val="24"/>
                <w:szCs w:val="24"/>
              </w:rPr>
              <w:t>100</w:t>
            </w:r>
            <w:r w:rsidR="00D22F2A" w:rsidRPr="00E17331">
              <w:rPr>
                <w:rFonts w:ascii="Times New Roman" w:hAnsi="Times New Roman" w:cs="Times New Roman"/>
                <w:sz w:val="24"/>
                <w:szCs w:val="24"/>
              </w:rPr>
              <w:t xml:space="preserve"> </w:t>
            </w:r>
            <w:r w:rsidRPr="00E17331">
              <w:rPr>
                <w:rFonts w:ascii="Times New Roman" w:hAnsi="Times New Roman" w:cs="Times New Roman"/>
                <w:sz w:val="24"/>
                <w:szCs w:val="24"/>
              </w:rPr>
              <w:t>000 евро за един проект.</w:t>
            </w:r>
          </w:p>
          <w:p w14:paraId="767DC953" w14:textId="77777777" w:rsidR="00943770" w:rsidRPr="00E17331" w:rsidRDefault="0094377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При </w:t>
            </w:r>
            <w:bookmarkEnd w:id="0"/>
            <w:r w:rsidRPr="00E17331">
              <w:rPr>
                <w:rFonts w:ascii="Times New Roman" w:hAnsi="Times New Roman" w:cs="Times New Roman"/>
                <w:sz w:val="24"/>
                <w:szCs w:val="24"/>
              </w:rPr>
              <w:t>проверката на стойността се прилага курс за 1 евро 1.9558 лева.</w:t>
            </w:r>
          </w:p>
        </w:tc>
        <w:tc>
          <w:tcPr>
            <w:tcW w:w="709" w:type="dxa"/>
            <w:tcBorders>
              <w:top w:val="single" w:sz="4" w:space="0" w:color="000000"/>
              <w:left w:val="single" w:sz="4" w:space="0" w:color="000000"/>
              <w:bottom w:val="single" w:sz="4" w:space="0" w:color="000000"/>
              <w:right w:val="single" w:sz="4" w:space="0" w:color="000000"/>
            </w:tcBorders>
          </w:tcPr>
          <w:p w14:paraId="52A170C9" w14:textId="77777777" w:rsidR="00943770" w:rsidRPr="004A5570" w:rsidRDefault="00943770"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16709DC6" w14:textId="77777777" w:rsidR="00943770" w:rsidRPr="004A5570" w:rsidRDefault="00943770"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796164BB" w14:textId="77777777" w:rsidR="00943770" w:rsidRPr="004A5570" w:rsidRDefault="00943770"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4A5570" w14:paraId="248BFF9D"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5F8209F6" w14:textId="77777777" w:rsidR="00952584" w:rsidRPr="004A5570"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AC50B92" w14:textId="7645F17E"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 инициативна група е юридическо лице с нестопанска цел за осъществяване на общественополезна дейност, регистрирано като сдружение по реда на Закона за юридическите лица с нестопанска цел, което представлява публично-частно партньорство</w:t>
            </w:r>
            <w:r w:rsidR="008E6F01">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14:paraId="1459946B"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4B9F7F13"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40DACA34"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E17331" w14:paraId="596B51D5"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29D9F1E5" w14:textId="77777777" w:rsidR="00952584" w:rsidRPr="004A5570"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9219916"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Местната инициативна група съдържа в наименованието си обозначението „Местна инициативна група” или съкратено МИГ и наименованието на общината/</w:t>
            </w:r>
            <w:proofErr w:type="spellStart"/>
            <w:r w:rsidRPr="00E17331">
              <w:rPr>
                <w:rFonts w:ascii="Times New Roman" w:hAnsi="Times New Roman" w:cs="Times New Roman"/>
                <w:sz w:val="24"/>
                <w:szCs w:val="24"/>
              </w:rPr>
              <w:t>ите</w:t>
            </w:r>
            <w:proofErr w:type="spellEnd"/>
            <w:r w:rsidRPr="00E17331">
              <w:rPr>
                <w:rFonts w:ascii="Times New Roman" w:hAnsi="Times New Roman" w:cs="Times New Roman"/>
                <w:sz w:val="24"/>
                <w:szCs w:val="24"/>
              </w:rPr>
              <w:t>, на територията на действие на МИГ.</w:t>
            </w:r>
          </w:p>
        </w:tc>
        <w:tc>
          <w:tcPr>
            <w:tcW w:w="709" w:type="dxa"/>
            <w:tcBorders>
              <w:top w:val="single" w:sz="4" w:space="0" w:color="000000"/>
              <w:left w:val="single" w:sz="4" w:space="0" w:color="000000"/>
              <w:bottom w:val="single" w:sz="4" w:space="0" w:color="000000"/>
              <w:right w:val="single" w:sz="4" w:space="0" w:color="000000"/>
            </w:tcBorders>
          </w:tcPr>
          <w:p w14:paraId="08FAB1FE" w14:textId="77777777" w:rsidR="00952584" w:rsidRPr="0013383B"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148B1E50"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3816B004"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E17331" w14:paraId="7DC892CA"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052F440E" w14:textId="77777777" w:rsidR="00952584" w:rsidRPr="00E17331"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0152813D"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Местната инициативна група има седалище и адрес на </w:t>
            </w:r>
            <w:r w:rsidRPr="00E17331">
              <w:rPr>
                <w:rFonts w:ascii="Times New Roman" w:hAnsi="Times New Roman" w:cs="Times New Roman"/>
                <w:sz w:val="24"/>
                <w:szCs w:val="24"/>
              </w:rPr>
              <w:lastRenderedPageBreak/>
              <w:t>управление на територията на селския район на която МИГ осъществява дейността си.</w:t>
            </w:r>
          </w:p>
        </w:tc>
        <w:tc>
          <w:tcPr>
            <w:tcW w:w="709" w:type="dxa"/>
            <w:tcBorders>
              <w:top w:val="single" w:sz="4" w:space="0" w:color="000000"/>
              <w:left w:val="single" w:sz="4" w:space="0" w:color="000000"/>
              <w:bottom w:val="single" w:sz="4" w:space="0" w:color="000000"/>
              <w:right w:val="single" w:sz="4" w:space="0" w:color="000000"/>
            </w:tcBorders>
          </w:tcPr>
          <w:p w14:paraId="5534C4D2" w14:textId="77777777" w:rsidR="00952584" w:rsidRPr="0013383B"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646F86F4"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25991BB4"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E17331" w14:paraId="3A2F3031"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12B45DC0" w14:textId="77777777" w:rsidR="00952584" w:rsidRPr="00E17331"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C7D46B9"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Местната инициативна група има колективен върховен орган, в чийто състав задължително е включена общината/</w:t>
            </w:r>
            <w:proofErr w:type="spellStart"/>
            <w:r w:rsidRPr="00E17331">
              <w:rPr>
                <w:rFonts w:ascii="Times New Roman" w:hAnsi="Times New Roman" w:cs="Times New Roman"/>
                <w:sz w:val="24"/>
                <w:szCs w:val="24"/>
              </w:rPr>
              <w:t>ите</w:t>
            </w:r>
            <w:proofErr w:type="spellEnd"/>
            <w:r w:rsidRPr="00E17331">
              <w:rPr>
                <w:rFonts w:ascii="Times New Roman" w:hAnsi="Times New Roman" w:cs="Times New Roman"/>
                <w:sz w:val="24"/>
                <w:szCs w:val="24"/>
              </w:rPr>
              <w:t xml:space="preserve"> от територията на действие на МИГ.</w:t>
            </w:r>
          </w:p>
        </w:tc>
        <w:tc>
          <w:tcPr>
            <w:tcW w:w="709" w:type="dxa"/>
            <w:tcBorders>
              <w:top w:val="single" w:sz="4" w:space="0" w:color="000000"/>
              <w:left w:val="single" w:sz="4" w:space="0" w:color="000000"/>
              <w:bottom w:val="single" w:sz="4" w:space="0" w:color="000000"/>
              <w:right w:val="single" w:sz="4" w:space="0" w:color="000000"/>
            </w:tcBorders>
          </w:tcPr>
          <w:p w14:paraId="5D0EF4FB" w14:textId="77777777" w:rsidR="00952584" w:rsidRPr="0013383B"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21D92FDB"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240DA2E7"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4A5570" w14:paraId="176C9C55"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3F588B16" w14:textId="77777777" w:rsidR="00952584" w:rsidRPr="00E17331"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42DCA92D"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Член на колективния върховен орган на МИГ има:</w:t>
            </w:r>
          </w:p>
          <w:p w14:paraId="2653098D" w14:textId="00DE87E2"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а) постоянен адрес и/или работят на територията на действие на МИГ, за физическите лица</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или</w:t>
            </w:r>
          </w:p>
          <w:p w14:paraId="5AA236C5" w14:textId="17CF90C3"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б) седалище и адрес на управление на територията на действие на МИГ, за юридическите лица</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или</w:t>
            </w:r>
          </w:p>
          <w:p w14:paraId="1C1C0786" w14:textId="61D286F4"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в) седалище и адрес на управление в областен град, когато член на МИГ е община</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включена в приложение № 3 от Постановление № 161</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или</w:t>
            </w:r>
          </w:p>
          <w:p w14:paraId="7A595EFE" w14:textId="08F639AA"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г) седалище и адрес на управление в града, център на общината, когато член на МИГ е община, посочена в приложение № 2 от Постановление № 161 и в територията на МИГ са включени само населените места на общината, извън строителните граници на града</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или</w:t>
            </w:r>
          </w:p>
          <w:p w14:paraId="519E22C5" w14:textId="49A90318"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д) клон на юридическо лице, ако клонът е регистриран на територията на действие на МИГ най-малко 5 години преди подаване на формуляра за кандидатстване.</w:t>
            </w:r>
          </w:p>
        </w:tc>
        <w:tc>
          <w:tcPr>
            <w:tcW w:w="709" w:type="dxa"/>
            <w:tcBorders>
              <w:top w:val="single" w:sz="4" w:space="0" w:color="000000"/>
              <w:left w:val="single" w:sz="4" w:space="0" w:color="000000"/>
              <w:bottom w:val="single" w:sz="4" w:space="0" w:color="000000"/>
              <w:right w:val="single" w:sz="4" w:space="0" w:color="000000"/>
            </w:tcBorders>
          </w:tcPr>
          <w:p w14:paraId="3AA8BA01"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75F49B6A"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43FB36A8"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E17331" w14:paraId="0C032F5F"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3CB61F6D" w14:textId="77777777" w:rsidR="00952584" w:rsidRPr="004A5570"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31E07B6E"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Местната инициативна група има колективен управителен орган в състав:</w:t>
            </w:r>
          </w:p>
          <w:p w14:paraId="0BEBF4D8"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а) от не по-малко 5 лица;</w:t>
            </w:r>
          </w:p>
          <w:p w14:paraId="761CB9B0"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б) с постоянен адрес и/или работят на територията на действие на МИГ, когато са физически лица;</w:t>
            </w:r>
          </w:p>
          <w:p w14:paraId="470C901F"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в) имат седалище и адрес на управление на територията на действие на МИГ, когато са юридически лица.</w:t>
            </w:r>
          </w:p>
        </w:tc>
        <w:tc>
          <w:tcPr>
            <w:tcW w:w="709" w:type="dxa"/>
            <w:tcBorders>
              <w:top w:val="single" w:sz="4" w:space="0" w:color="000000"/>
              <w:left w:val="single" w:sz="4" w:space="0" w:color="000000"/>
              <w:bottom w:val="single" w:sz="4" w:space="0" w:color="000000"/>
              <w:right w:val="single" w:sz="4" w:space="0" w:color="000000"/>
            </w:tcBorders>
          </w:tcPr>
          <w:p w14:paraId="4801C06A" w14:textId="77777777" w:rsidR="00952584" w:rsidRPr="0013383B"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063F8378"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4DA347B8" w14:textId="77777777" w:rsidR="00952584" w:rsidRPr="00E17331"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4A5570" w14:paraId="7FE5F798"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713CF499" w14:textId="77777777" w:rsidR="00952584" w:rsidRPr="00E17331"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4A808E6A"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Местната инициативна група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на сдружението, непревишаващ 49 на сто от имащите право на глас, съгласно чл. 28, ал. 1 от Закона за юридическите лица с нестопанска цел.</w:t>
            </w:r>
          </w:p>
        </w:tc>
        <w:tc>
          <w:tcPr>
            <w:tcW w:w="709" w:type="dxa"/>
            <w:tcBorders>
              <w:top w:val="single" w:sz="4" w:space="0" w:color="000000"/>
              <w:left w:val="single" w:sz="4" w:space="0" w:color="000000"/>
              <w:bottom w:val="single" w:sz="4" w:space="0" w:color="000000"/>
              <w:right w:val="single" w:sz="4" w:space="0" w:color="000000"/>
            </w:tcBorders>
          </w:tcPr>
          <w:p w14:paraId="40E443A9"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10048B5B"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1962D72F"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4A5570" w14:paraId="1E6D8C32"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34587409" w14:textId="77777777" w:rsidR="00952584" w:rsidRPr="00FE73D2"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406853D0"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Местната инициативна група включва в колективните </w:t>
            </w:r>
            <w:r w:rsidRPr="00E17331">
              <w:rPr>
                <w:rFonts w:ascii="Times New Roman" w:hAnsi="Times New Roman" w:cs="Times New Roman"/>
                <w:sz w:val="24"/>
                <w:szCs w:val="24"/>
              </w:rPr>
              <w:lastRenderedPageBreak/>
              <w:t>си органи представители на различни заинтересовани страни от местната общност, идентифицирани в анализа на стратегията за ВОМР, включително уязвими групи и малцинства (когато е приложимо).</w:t>
            </w:r>
          </w:p>
        </w:tc>
        <w:tc>
          <w:tcPr>
            <w:tcW w:w="709" w:type="dxa"/>
            <w:tcBorders>
              <w:top w:val="single" w:sz="4" w:space="0" w:color="000000"/>
              <w:left w:val="single" w:sz="4" w:space="0" w:color="000000"/>
              <w:bottom w:val="single" w:sz="4" w:space="0" w:color="000000"/>
              <w:right w:val="single" w:sz="4" w:space="0" w:color="000000"/>
            </w:tcBorders>
          </w:tcPr>
          <w:p w14:paraId="7D642488"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05DA6AAC"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273B064D"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4A5570" w14:paraId="62A00F85"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6BA813EE" w14:textId="77777777" w:rsidR="00952584" w:rsidRPr="004A5570" w:rsidRDefault="009525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A119363"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Местна инициативна група, член на колективния й управителен орган, представляващ по закон и пълномощие член на колективния управителен орган на МИГ, включително и когато член e юридическо лице, член на контролния орган на МИГ, ако такъв орган е предвиден в устава на МИГ са декларирали, че отговарят на всички изисквания от декларацията в приложение № 2 от условията за кандидатстване.</w:t>
            </w:r>
          </w:p>
          <w:p w14:paraId="7F50159A" w14:textId="7B6108A5"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i/>
                <w:sz w:val="24"/>
                <w:szCs w:val="24"/>
              </w:rPr>
            </w:pPr>
            <w:r w:rsidRPr="00E17331">
              <w:rPr>
                <w:rFonts w:ascii="Times New Roman" w:hAnsi="Times New Roman" w:cs="Times New Roman"/>
                <w:i/>
                <w:sz w:val="24"/>
                <w:szCs w:val="24"/>
              </w:rPr>
              <w:t xml:space="preserve">Основанията за отстраняване се прилагат </w:t>
            </w:r>
            <w:r w:rsidR="00A96EBC">
              <w:rPr>
                <w:rFonts w:ascii="Times New Roman" w:hAnsi="Times New Roman" w:cs="Times New Roman"/>
                <w:i/>
                <w:sz w:val="24"/>
                <w:szCs w:val="24"/>
              </w:rPr>
              <w:t>при спазване</w:t>
            </w:r>
            <w:r w:rsidRPr="00E17331">
              <w:rPr>
                <w:rFonts w:ascii="Times New Roman" w:hAnsi="Times New Roman" w:cs="Times New Roman"/>
                <w:i/>
                <w:sz w:val="24"/>
                <w:szCs w:val="24"/>
              </w:rPr>
              <w:t xml:space="preserve"> на сроковете, посочени в чл. 57, ал. 3 от ЗОП.</w:t>
            </w:r>
          </w:p>
          <w:p w14:paraId="3E59B094"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i/>
                <w:sz w:val="24"/>
                <w:szCs w:val="24"/>
              </w:rPr>
            </w:pPr>
            <w:r w:rsidRPr="00E17331">
              <w:rPr>
                <w:rFonts w:ascii="Times New Roman" w:hAnsi="Times New Roman" w:cs="Times New Roman"/>
                <w:i/>
                <w:sz w:val="24"/>
                <w:szCs w:val="24"/>
              </w:rPr>
              <w:t>МИГ има право да представи доказателства при подаване на декларация съгласно приложение № 2 или в определения срок за предоставяне на документи от получаването на уведомление от Комисията за оценка за констатиране на обстоятелства по декларацията в приложение № 2 от условията за кандидатстване за предприети мерки които гарантират надеждността на съответното, въпреки наличието на съответното основание за отстраняване. За тази цел горепосочено лице може да:</w:t>
            </w:r>
          </w:p>
          <w:p w14:paraId="11D7EC85"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i/>
                <w:sz w:val="24"/>
                <w:szCs w:val="24"/>
              </w:rPr>
            </w:pPr>
            <w:r w:rsidRPr="00E17331">
              <w:rPr>
                <w:rFonts w:ascii="Times New Roman" w:hAnsi="Times New Roman" w:cs="Times New Roman"/>
                <w:i/>
                <w:sz w:val="24"/>
                <w:szCs w:val="24"/>
              </w:rPr>
              <w:t>1. е погасило задълженията си по т. 3 от декларацията, включително начислените лихви и/или глоби или че те са разсрочени, отсрочени или обезпечени;</w:t>
            </w:r>
          </w:p>
          <w:p w14:paraId="23995A1F"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i/>
                <w:sz w:val="24"/>
                <w:szCs w:val="24"/>
              </w:rPr>
            </w:pPr>
            <w:r w:rsidRPr="00E17331">
              <w:rPr>
                <w:rFonts w:ascii="Times New Roman" w:hAnsi="Times New Roman" w:cs="Times New Roman"/>
                <w:i/>
                <w:sz w:val="24"/>
                <w:szCs w:val="24"/>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14:paraId="4D232CC1" w14:textId="77777777" w:rsidR="00952584" w:rsidRPr="00E17331" w:rsidRDefault="009525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i/>
                <w:sz w:val="24"/>
                <w:szCs w:val="24"/>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tc>
        <w:tc>
          <w:tcPr>
            <w:tcW w:w="709" w:type="dxa"/>
            <w:tcBorders>
              <w:top w:val="single" w:sz="4" w:space="0" w:color="000000"/>
              <w:left w:val="single" w:sz="4" w:space="0" w:color="000000"/>
              <w:bottom w:val="single" w:sz="4" w:space="0" w:color="000000"/>
              <w:right w:val="single" w:sz="4" w:space="0" w:color="000000"/>
            </w:tcBorders>
          </w:tcPr>
          <w:p w14:paraId="5978CB9E"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0A284EA2"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475D5559" w14:textId="77777777" w:rsidR="00952584" w:rsidRPr="004A5570" w:rsidRDefault="00952584" w:rsidP="007F7CDC">
            <w:pPr>
              <w:overflowPunct w:val="0"/>
              <w:autoSpaceDE w:val="0"/>
              <w:autoSpaceDN w:val="0"/>
              <w:adjustRightInd w:val="0"/>
              <w:spacing w:before="120" w:after="0"/>
              <w:textAlignment w:val="baseline"/>
              <w:rPr>
                <w:rFonts w:ascii="Times New Roman" w:hAnsi="Times New Roman" w:cs="Times New Roman"/>
                <w:sz w:val="24"/>
                <w:szCs w:val="24"/>
              </w:rPr>
            </w:pPr>
          </w:p>
        </w:tc>
      </w:tr>
      <w:tr w:rsidR="002C1BB7" w:rsidRPr="00E17331" w14:paraId="240BBDA1" w14:textId="77777777" w:rsidTr="00C3347F">
        <w:tc>
          <w:tcPr>
            <w:tcW w:w="680" w:type="dxa"/>
            <w:tcBorders>
              <w:left w:val="single" w:sz="4" w:space="0" w:color="auto"/>
            </w:tcBorders>
            <w:vAlign w:val="center"/>
          </w:tcPr>
          <w:p w14:paraId="05054DB6" w14:textId="77777777" w:rsidR="002C1BB7" w:rsidRPr="00E17331" w:rsidRDefault="002C1BB7"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782F18B" w14:textId="77777777" w:rsidR="002C1BB7" w:rsidRPr="00E17331" w:rsidRDefault="002C1BB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Дейностите в проектното предложение се осъществяват в полза на местната общност и са съгласувани с нея.</w:t>
            </w:r>
          </w:p>
        </w:tc>
        <w:tc>
          <w:tcPr>
            <w:tcW w:w="709" w:type="dxa"/>
          </w:tcPr>
          <w:p w14:paraId="357944B4" w14:textId="77777777" w:rsidR="002C1BB7" w:rsidRPr="00FE73D2"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84D73C1"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E5E55BC"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952584" w:rsidRPr="00A438A4" w14:paraId="7E5C854B" w14:textId="77777777" w:rsidTr="00C3347F">
        <w:tc>
          <w:tcPr>
            <w:tcW w:w="680" w:type="dxa"/>
            <w:tcBorders>
              <w:top w:val="single" w:sz="4" w:space="0" w:color="000000"/>
              <w:left w:val="single" w:sz="4" w:space="0" w:color="auto"/>
              <w:bottom w:val="single" w:sz="4" w:space="0" w:color="000000"/>
              <w:right w:val="single" w:sz="4" w:space="0" w:color="000000"/>
            </w:tcBorders>
            <w:vAlign w:val="center"/>
          </w:tcPr>
          <w:p w14:paraId="71768308" w14:textId="77777777" w:rsidR="00952584" w:rsidRPr="00E17331" w:rsidRDefault="00952584" w:rsidP="00A438A4">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6A8DB6ED" w14:textId="0AE29FA0" w:rsidR="00952584" w:rsidRPr="00A438A4" w:rsidRDefault="00952584" w:rsidP="00933246">
            <w:pPr>
              <w:tabs>
                <w:tab w:val="left" w:pos="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A438A4">
              <w:rPr>
                <w:rFonts w:ascii="Times New Roman" w:hAnsi="Times New Roman" w:cs="Times New Roman"/>
                <w:sz w:val="24"/>
                <w:szCs w:val="24"/>
              </w:rPr>
              <w:t xml:space="preserve">Проектното предложение допринася за постигане на </w:t>
            </w:r>
            <w:r w:rsidRPr="00A438A4">
              <w:rPr>
                <w:rFonts w:ascii="Times New Roman" w:hAnsi="Times New Roman" w:cs="Times New Roman"/>
                <w:sz w:val="24"/>
                <w:szCs w:val="24"/>
              </w:rPr>
              <w:lastRenderedPageBreak/>
              <w:t>целите на ПРСР 2014 – 2020 г. и на приоритетите на стратегията за ВОМР на конкретната МИГ.</w:t>
            </w:r>
          </w:p>
        </w:tc>
        <w:tc>
          <w:tcPr>
            <w:tcW w:w="709" w:type="dxa"/>
            <w:tcBorders>
              <w:top w:val="single" w:sz="4" w:space="0" w:color="000000"/>
              <w:left w:val="single" w:sz="4" w:space="0" w:color="000000"/>
              <w:bottom w:val="single" w:sz="4" w:space="0" w:color="000000"/>
              <w:right w:val="single" w:sz="4" w:space="0" w:color="000000"/>
            </w:tcBorders>
          </w:tcPr>
          <w:p w14:paraId="59AF8706" w14:textId="77777777" w:rsidR="00952584" w:rsidRPr="00FE73D2" w:rsidRDefault="00952584" w:rsidP="00A438A4">
            <w:pPr>
              <w:tabs>
                <w:tab w:val="left" w:pos="0"/>
              </w:tabs>
              <w:overflowPunct w:val="0"/>
              <w:autoSpaceDE w:val="0"/>
              <w:autoSpaceDN w:val="0"/>
              <w:adjustRightInd w:val="0"/>
              <w:spacing w:before="120" w:after="0"/>
              <w:ind w:left="284"/>
              <w:textAlignment w:val="baseline"/>
              <w:rPr>
                <w:rFonts w:ascii="Times New Roman" w:hAnsi="Times New Roman" w:cs="Times New Roman"/>
                <w:sz w:val="24"/>
                <w:szCs w:val="24"/>
              </w:rPr>
            </w:pPr>
          </w:p>
        </w:tc>
        <w:tc>
          <w:tcPr>
            <w:tcW w:w="736" w:type="dxa"/>
            <w:tcBorders>
              <w:top w:val="single" w:sz="4" w:space="0" w:color="000000"/>
              <w:left w:val="single" w:sz="4" w:space="0" w:color="000000"/>
              <w:bottom w:val="single" w:sz="4" w:space="0" w:color="000000"/>
              <w:right w:val="single" w:sz="4" w:space="0" w:color="000000"/>
            </w:tcBorders>
          </w:tcPr>
          <w:p w14:paraId="3DDBE4B8" w14:textId="77777777" w:rsidR="00952584" w:rsidRPr="00E17331" w:rsidRDefault="00952584" w:rsidP="00A438A4">
            <w:p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000000"/>
              <w:left w:val="single" w:sz="4" w:space="0" w:color="000000"/>
              <w:bottom w:val="single" w:sz="4" w:space="0" w:color="000000"/>
              <w:right w:val="single" w:sz="4" w:space="0" w:color="000000"/>
            </w:tcBorders>
          </w:tcPr>
          <w:p w14:paraId="37E24421" w14:textId="77777777" w:rsidR="00952584" w:rsidRPr="00E17331" w:rsidRDefault="00952584" w:rsidP="00A438A4">
            <w:p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r>
      <w:tr w:rsidR="002C1BB7" w:rsidRPr="00E17331" w14:paraId="23676698" w14:textId="77777777" w:rsidTr="00C3347F">
        <w:tc>
          <w:tcPr>
            <w:tcW w:w="680" w:type="dxa"/>
            <w:tcBorders>
              <w:left w:val="single" w:sz="4" w:space="0" w:color="auto"/>
            </w:tcBorders>
            <w:vAlign w:val="center"/>
          </w:tcPr>
          <w:p w14:paraId="3E72903F" w14:textId="77777777" w:rsidR="002C1BB7" w:rsidRPr="00E17331" w:rsidRDefault="002C1BB7"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4C14A06B" w14:textId="77777777" w:rsidR="002C1BB7" w:rsidRPr="00E17331" w:rsidRDefault="002C1BB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Дейностите в проектното предложение са одобрени по процедурата за вземане на решения, предвидена в устава на МИГ.</w:t>
            </w:r>
          </w:p>
        </w:tc>
        <w:tc>
          <w:tcPr>
            <w:tcW w:w="709" w:type="dxa"/>
          </w:tcPr>
          <w:p w14:paraId="4E5B196A"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7EACA9B"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56B60A5"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F46C50" w:rsidRPr="00E17331" w14:paraId="7B0243DD" w14:textId="77777777" w:rsidTr="00C3347F">
        <w:tc>
          <w:tcPr>
            <w:tcW w:w="680" w:type="dxa"/>
            <w:tcBorders>
              <w:left w:val="single" w:sz="4" w:space="0" w:color="auto"/>
            </w:tcBorders>
            <w:vAlign w:val="center"/>
          </w:tcPr>
          <w:p w14:paraId="1051E89D" w14:textId="77777777" w:rsidR="00F46C50" w:rsidRPr="00E17331" w:rsidRDefault="00F46C50"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1558AAE" w14:textId="03183DC2" w:rsidR="00F46C50" w:rsidRPr="00E17331" w:rsidRDefault="00F46C5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Проектното предложение включва </w:t>
            </w:r>
            <w:r w:rsidRPr="00F46C50">
              <w:rPr>
                <w:rFonts w:ascii="Times New Roman" w:hAnsi="Times New Roman" w:cs="Times New Roman"/>
                <w:sz w:val="24"/>
                <w:szCs w:val="24"/>
              </w:rPr>
              <w:t>дейности, свързани с доброволно участие под формата на труд или финансиране, от представители на местната общност</w:t>
            </w:r>
            <w:r w:rsidR="00CB411F">
              <w:rPr>
                <w:rFonts w:ascii="Times New Roman" w:hAnsi="Times New Roman" w:cs="Times New Roman"/>
                <w:sz w:val="24"/>
                <w:szCs w:val="24"/>
              </w:rPr>
              <w:t>.</w:t>
            </w:r>
          </w:p>
        </w:tc>
        <w:tc>
          <w:tcPr>
            <w:tcW w:w="709" w:type="dxa"/>
          </w:tcPr>
          <w:p w14:paraId="39B5FF2A" w14:textId="77777777" w:rsidR="00F46C50" w:rsidRPr="00E17331" w:rsidRDefault="00F46C50"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60AD2D1" w14:textId="77777777" w:rsidR="00F46C50" w:rsidRPr="00E17331" w:rsidRDefault="00F46C50"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8464643" w14:textId="77777777" w:rsidR="00F46C50" w:rsidRPr="00E17331" w:rsidRDefault="00F46C50"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2C1BB7" w:rsidRPr="00E17331" w14:paraId="17A3BB98" w14:textId="77777777" w:rsidTr="00C3347F">
        <w:tc>
          <w:tcPr>
            <w:tcW w:w="680" w:type="dxa"/>
            <w:tcBorders>
              <w:left w:val="single" w:sz="4" w:space="0" w:color="auto"/>
            </w:tcBorders>
            <w:vAlign w:val="center"/>
          </w:tcPr>
          <w:p w14:paraId="50D7A817" w14:textId="77777777" w:rsidR="002C1BB7" w:rsidRPr="00E17331" w:rsidRDefault="002C1BB7"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C585025" w14:textId="77777777" w:rsidR="002C1BB7" w:rsidRPr="00E17331" w:rsidRDefault="002C1BB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Дейностите се реализират на територията на съответната МИГ.</w:t>
            </w:r>
          </w:p>
        </w:tc>
        <w:tc>
          <w:tcPr>
            <w:tcW w:w="709" w:type="dxa"/>
          </w:tcPr>
          <w:p w14:paraId="63079AD1" w14:textId="77777777" w:rsidR="002C1BB7" w:rsidRPr="00FE73D2"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35CB3C09"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0CB05A0" w14:textId="77777777" w:rsidR="002C1BB7" w:rsidRPr="00E17331"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792D94" w:rsidRPr="00E17331" w14:paraId="1CA1381F" w14:textId="77777777" w:rsidTr="00C3347F">
        <w:tc>
          <w:tcPr>
            <w:tcW w:w="680" w:type="dxa"/>
            <w:tcBorders>
              <w:left w:val="single" w:sz="4" w:space="0" w:color="auto"/>
            </w:tcBorders>
            <w:vAlign w:val="center"/>
          </w:tcPr>
          <w:p w14:paraId="052D22A0" w14:textId="77777777" w:rsidR="00792D94" w:rsidRPr="00E17331" w:rsidRDefault="00792D9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73A1C73" w14:textId="7C40DF55" w:rsidR="00792D94" w:rsidRDefault="00792D94" w:rsidP="00792D94">
            <w:pPr>
              <w:overflowPunct w:val="0"/>
              <w:autoSpaceDE w:val="0"/>
              <w:autoSpaceDN w:val="0"/>
              <w:adjustRightInd w:val="0"/>
              <w:spacing w:before="120" w:after="0"/>
              <w:jc w:val="both"/>
              <w:textAlignment w:val="baseline"/>
              <w:rPr>
                <w:rFonts w:ascii="Times New Roman" w:hAnsi="Times New Roman" w:cs="Times New Roman"/>
                <w:sz w:val="24"/>
                <w:szCs w:val="24"/>
              </w:rPr>
            </w:pPr>
            <w:r>
              <w:rPr>
                <w:rFonts w:ascii="Times New Roman" w:hAnsi="Times New Roman" w:cs="Times New Roman"/>
                <w:sz w:val="24"/>
                <w:szCs w:val="24"/>
              </w:rPr>
              <w:t>Проектното предложение не включва дейности, които:</w:t>
            </w:r>
          </w:p>
          <w:p w14:paraId="5EE6CC21" w14:textId="7C1175E2" w:rsidR="00792D94" w:rsidRPr="00792D94" w:rsidRDefault="00792D94" w:rsidP="00792D94">
            <w:pPr>
              <w:overflowPunct w:val="0"/>
              <w:autoSpaceDE w:val="0"/>
              <w:autoSpaceDN w:val="0"/>
              <w:adjustRightInd w:val="0"/>
              <w:spacing w:before="120" w:after="0"/>
              <w:jc w:val="both"/>
              <w:textAlignment w:val="baseline"/>
              <w:rPr>
                <w:rFonts w:ascii="Times New Roman" w:hAnsi="Times New Roman" w:cs="Times New Roman"/>
                <w:sz w:val="24"/>
                <w:szCs w:val="24"/>
              </w:rPr>
            </w:pPr>
            <w:r w:rsidRPr="00792D94">
              <w:rPr>
                <w:rFonts w:ascii="Times New Roman" w:hAnsi="Times New Roman" w:cs="Times New Roman"/>
                <w:sz w:val="24"/>
                <w:szCs w:val="24"/>
              </w:rPr>
              <w:t>- оказва</w:t>
            </w:r>
            <w:r>
              <w:rPr>
                <w:rFonts w:ascii="Times New Roman" w:hAnsi="Times New Roman" w:cs="Times New Roman"/>
                <w:sz w:val="24"/>
                <w:szCs w:val="24"/>
              </w:rPr>
              <w:t>т</w:t>
            </w:r>
            <w:r w:rsidRPr="00792D94">
              <w:rPr>
                <w:rFonts w:ascii="Times New Roman" w:hAnsi="Times New Roman" w:cs="Times New Roman"/>
                <w:sz w:val="24"/>
                <w:szCs w:val="24"/>
              </w:rPr>
              <w:t xml:space="preserve"> отрицателно въздействие върху околната среда;</w:t>
            </w:r>
          </w:p>
          <w:p w14:paraId="5731E80D" w14:textId="36F3E112" w:rsidR="00792D94" w:rsidRPr="00792D94" w:rsidRDefault="00792D94" w:rsidP="00792D94">
            <w:pPr>
              <w:overflowPunct w:val="0"/>
              <w:autoSpaceDE w:val="0"/>
              <w:autoSpaceDN w:val="0"/>
              <w:adjustRightInd w:val="0"/>
              <w:spacing w:before="120" w:after="0"/>
              <w:jc w:val="both"/>
              <w:textAlignment w:val="baseline"/>
              <w:rPr>
                <w:rFonts w:ascii="Times New Roman" w:hAnsi="Times New Roman" w:cs="Times New Roman"/>
                <w:sz w:val="24"/>
                <w:szCs w:val="24"/>
              </w:rPr>
            </w:pPr>
            <w:r w:rsidRPr="00792D94">
              <w:rPr>
                <w:rFonts w:ascii="Times New Roman" w:hAnsi="Times New Roman" w:cs="Times New Roman"/>
                <w:sz w:val="24"/>
                <w:szCs w:val="24"/>
              </w:rPr>
              <w:t>- включва</w:t>
            </w:r>
            <w:r>
              <w:rPr>
                <w:rFonts w:ascii="Times New Roman" w:hAnsi="Times New Roman" w:cs="Times New Roman"/>
                <w:sz w:val="24"/>
                <w:szCs w:val="24"/>
              </w:rPr>
              <w:t>т</w:t>
            </w:r>
            <w:r w:rsidRPr="00792D94">
              <w:rPr>
                <w:rFonts w:ascii="Times New Roman" w:hAnsi="Times New Roman" w:cs="Times New Roman"/>
                <w:sz w:val="24"/>
                <w:szCs w:val="24"/>
              </w:rPr>
              <w:t xml:space="preserve">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2F96020F" w14:textId="424C9643" w:rsidR="00792D94" w:rsidRPr="00E17331" w:rsidRDefault="00792D94" w:rsidP="00792D94">
            <w:pPr>
              <w:overflowPunct w:val="0"/>
              <w:autoSpaceDE w:val="0"/>
              <w:autoSpaceDN w:val="0"/>
              <w:adjustRightInd w:val="0"/>
              <w:spacing w:before="120" w:after="0"/>
              <w:jc w:val="both"/>
              <w:textAlignment w:val="baseline"/>
              <w:rPr>
                <w:rFonts w:ascii="Times New Roman" w:hAnsi="Times New Roman" w:cs="Times New Roman"/>
                <w:sz w:val="24"/>
                <w:szCs w:val="24"/>
              </w:rPr>
            </w:pPr>
            <w:r w:rsidRPr="00792D94">
              <w:rPr>
                <w:rFonts w:ascii="Times New Roman" w:hAnsi="Times New Roman" w:cs="Times New Roman"/>
                <w:sz w:val="24"/>
                <w:szCs w:val="24"/>
              </w:rPr>
              <w:t>- включва</w:t>
            </w:r>
            <w:r>
              <w:rPr>
                <w:rFonts w:ascii="Times New Roman" w:hAnsi="Times New Roman" w:cs="Times New Roman"/>
                <w:sz w:val="24"/>
                <w:szCs w:val="24"/>
              </w:rPr>
              <w:t>т</w:t>
            </w:r>
            <w:r w:rsidRPr="00792D94">
              <w:rPr>
                <w:rFonts w:ascii="Times New Roman" w:hAnsi="Times New Roman" w:cs="Times New Roman"/>
                <w:sz w:val="24"/>
                <w:szCs w:val="24"/>
              </w:rPr>
              <w:t xml:space="preserve"> изграждане или обновяване на инфраструктура или закупуване на оборудване за голф, скално катерене и лов</w:t>
            </w:r>
            <w:r>
              <w:rPr>
                <w:rFonts w:ascii="Times New Roman" w:hAnsi="Times New Roman" w:cs="Times New Roman"/>
                <w:sz w:val="24"/>
                <w:szCs w:val="24"/>
              </w:rPr>
              <w:t>.</w:t>
            </w:r>
          </w:p>
        </w:tc>
        <w:tc>
          <w:tcPr>
            <w:tcW w:w="709" w:type="dxa"/>
          </w:tcPr>
          <w:p w14:paraId="28D9BA30" w14:textId="77777777" w:rsidR="00792D94" w:rsidRPr="00FE73D2" w:rsidRDefault="00792D94"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3C89AE1" w14:textId="77777777" w:rsidR="00792D94" w:rsidRPr="00E17331" w:rsidRDefault="00792D94"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1EA829B" w14:textId="77777777" w:rsidR="00792D94" w:rsidRPr="00E17331" w:rsidRDefault="00792D94"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E52E84" w:rsidRPr="004A5570" w14:paraId="7A358102" w14:textId="77777777" w:rsidTr="00C3347F">
        <w:tc>
          <w:tcPr>
            <w:tcW w:w="680" w:type="dxa"/>
            <w:tcBorders>
              <w:left w:val="single" w:sz="4" w:space="0" w:color="auto"/>
            </w:tcBorders>
            <w:vAlign w:val="center"/>
          </w:tcPr>
          <w:p w14:paraId="7F608258" w14:textId="77777777" w:rsidR="00E52E84" w:rsidRPr="00E17331" w:rsidRDefault="00E52E84"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47558CA" w14:textId="77777777" w:rsidR="00E52E84" w:rsidRPr="00E17331" w:rsidRDefault="00E52E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Планирано е изпълнението на следните категории дейности:</w:t>
            </w:r>
          </w:p>
          <w:p w14:paraId="14DC09BD" w14:textId="77777777" w:rsidR="00E52E84" w:rsidRPr="00E17331" w:rsidRDefault="00E52E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1. Дейности и събития, свързани с популяризиране на местната идентичност и/или;</w:t>
            </w:r>
          </w:p>
          <w:p w14:paraId="586E4EA8" w14:textId="77777777" w:rsidR="00E52E84" w:rsidRPr="00E17331" w:rsidRDefault="00E52E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2. Придобиване на материални и нематериални активи в интерес на местната общност и/или;</w:t>
            </w:r>
          </w:p>
          <w:p w14:paraId="1ACC6950" w14:textId="77777777" w:rsidR="00E52E84" w:rsidRPr="00E17331" w:rsidRDefault="00E52E84"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3. Въвеждане на иновативни за местната общност практики.</w:t>
            </w:r>
          </w:p>
        </w:tc>
        <w:tc>
          <w:tcPr>
            <w:tcW w:w="709" w:type="dxa"/>
          </w:tcPr>
          <w:p w14:paraId="2EF0D338" w14:textId="77777777" w:rsidR="00E52E84" w:rsidRPr="004A5570" w:rsidRDefault="00E52E8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7E3C4D0" w14:textId="77777777" w:rsidR="00E52E84" w:rsidRPr="004A5570" w:rsidRDefault="00E52E8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802459E" w14:textId="77777777" w:rsidR="00E52E84" w:rsidRPr="004A5570" w:rsidRDefault="00E52E84"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2C1BB7" w:rsidRPr="004A5570" w14:paraId="1639B5FB" w14:textId="77777777" w:rsidTr="00C3347F">
        <w:tc>
          <w:tcPr>
            <w:tcW w:w="680" w:type="dxa"/>
            <w:tcBorders>
              <w:left w:val="single" w:sz="4" w:space="0" w:color="auto"/>
            </w:tcBorders>
            <w:vAlign w:val="center"/>
          </w:tcPr>
          <w:p w14:paraId="71A315EC" w14:textId="77777777" w:rsidR="002C1BB7" w:rsidRPr="004A5570" w:rsidRDefault="002C1BB7"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88CE3AA" w14:textId="77777777" w:rsidR="002C1BB7" w:rsidRPr="00E17331" w:rsidRDefault="002C1BB7"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Проектното предложение допринася за постигане на </w:t>
            </w:r>
            <w:r w:rsidR="00B43A67" w:rsidRPr="00E17331">
              <w:rPr>
                <w:rFonts w:ascii="Times New Roman" w:hAnsi="Times New Roman" w:cs="Times New Roman"/>
                <w:sz w:val="24"/>
                <w:szCs w:val="24"/>
              </w:rPr>
              <w:t xml:space="preserve">поне един от </w:t>
            </w:r>
            <w:r w:rsidRPr="00E17331">
              <w:rPr>
                <w:rFonts w:ascii="Times New Roman" w:hAnsi="Times New Roman" w:cs="Times New Roman"/>
                <w:sz w:val="24"/>
                <w:szCs w:val="24"/>
              </w:rPr>
              <w:t xml:space="preserve">резултатите, описани в условията за </w:t>
            </w:r>
            <w:proofErr w:type="spellStart"/>
            <w:r w:rsidRPr="00E17331">
              <w:rPr>
                <w:rFonts w:ascii="Times New Roman" w:hAnsi="Times New Roman" w:cs="Times New Roman"/>
                <w:sz w:val="24"/>
                <w:szCs w:val="24"/>
              </w:rPr>
              <w:t>кандидатсване</w:t>
            </w:r>
            <w:proofErr w:type="spellEnd"/>
            <w:r w:rsidR="00B43A67" w:rsidRPr="00E17331">
              <w:rPr>
                <w:rFonts w:ascii="Times New Roman" w:hAnsi="Times New Roman" w:cs="Times New Roman"/>
                <w:sz w:val="24"/>
                <w:szCs w:val="24"/>
              </w:rPr>
              <w:t>, а именно:</w:t>
            </w:r>
          </w:p>
          <w:p w14:paraId="7006BE02" w14:textId="77777777" w:rsidR="00B43A67" w:rsidRPr="00E17331" w:rsidRDefault="00B43A6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 xml:space="preserve">подходът ВОМР, местните инициативни групи и местната идентичност са популяризирани на териториите на прилагане на </w:t>
            </w:r>
            <w:proofErr w:type="spellStart"/>
            <w:r w:rsidRPr="00E17331">
              <w:rPr>
                <w:rFonts w:ascii="Times New Roman" w:hAnsi="Times New Roman" w:cs="Times New Roman"/>
                <w:sz w:val="24"/>
                <w:szCs w:val="24"/>
              </w:rPr>
              <w:t>подмярката</w:t>
            </w:r>
            <w:proofErr w:type="spellEnd"/>
            <w:r w:rsidRPr="00E17331">
              <w:rPr>
                <w:rFonts w:ascii="Times New Roman" w:hAnsi="Times New Roman" w:cs="Times New Roman"/>
                <w:sz w:val="24"/>
                <w:szCs w:val="24"/>
              </w:rPr>
              <w:t>;</w:t>
            </w:r>
          </w:p>
          <w:p w14:paraId="4DB436FB" w14:textId="77777777" w:rsidR="00B43A67" w:rsidRPr="00E17331" w:rsidRDefault="00B43A6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 xml:space="preserve">МИГ, допустими за подпомагане по </w:t>
            </w:r>
            <w:proofErr w:type="spellStart"/>
            <w:r w:rsidRPr="00E17331">
              <w:rPr>
                <w:rFonts w:ascii="Times New Roman" w:hAnsi="Times New Roman" w:cs="Times New Roman"/>
                <w:sz w:val="24"/>
                <w:szCs w:val="24"/>
              </w:rPr>
              <w:t>подмярката</w:t>
            </w:r>
            <w:proofErr w:type="spellEnd"/>
            <w:r w:rsidRPr="00E17331">
              <w:rPr>
                <w:rFonts w:ascii="Times New Roman" w:hAnsi="Times New Roman" w:cs="Times New Roman"/>
                <w:sz w:val="24"/>
                <w:szCs w:val="24"/>
              </w:rPr>
              <w:t xml:space="preserve"> </w:t>
            </w:r>
            <w:r w:rsidRPr="00E17331">
              <w:rPr>
                <w:rFonts w:ascii="Times New Roman" w:hAnsi="Times New Roman" w:cs="Times New Roman"/>
                <w:sz w:val="24"/>
                <w:szCs w:val="24"/>
              </w:rPr>
              <w:lastRenderedPageBreak/>
              <w:t>получават подкрепа и са запазени като действащи субекти на съответните територии на действие;</w:t>
            </w:r>
          </w:p>
          <w:p w14:paraId="15AE1686" w14:textId="77777777" w:rsidR="00B43A67" w:rsidRPr="00E17331" w:rsidRDefault="00B43A6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 xml:space="preserve">на териториите на прилагане на </w:t>
            </w:r>
            <w:proofErr w:type="spellStart"/>
            <w:r w:rsidRPr="00E17331">
              <w:rPr>
                <w:rFonts w:ascii="Times New Roman" w:hAnsi="Times New Roman" w:cs="Times New Roman"/>
                <w:sz w:val="24"/>
                <w:szCs w:val="24"/>
              </w:rPr>
              <w:t>подмярката</w:t>
            </w:r>
            <w:proofErr w:type="spellEnd"/>
            <w:r w:rsidRPr="00E17331">
              <w:rPr>
                <w:rFonts w:ascii="Times New Roman" w:hAnsi="Times New Roman" w:cs="Times New Roman"/>
                <w:sz w:val="24"/>
                <w:szCs w:val="24"/>
              </w:rPr>
              <w:t xml:space="preserve"> са въведени иновативни за местните общности дейности и практики.</w:t>
            </w:r>
          </w:p>
        </w:tc>
        <w:tc>
          <w:tcPr>
            <w:tcW w:w="709" w:type="dxa"/>
          </w:tcPr>
          <w:p w14:paraId="52A2D644"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C02C266"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0E898C6"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2C1BB7" w:rsidRPr="004A5570" w14:paraId="053F240C" w14:textId="77777777" w:rsidTr="00C3347F">
        <w:tc>
          <w:tcPr>
            <w:tcW w:w="680" w:type="dxa"/>
            <w:tcBorders>
              <w:left w:val="single" w:sz="4" w:space="0" w:color="auto"/>
            </w:tcBorders>
            <w:vAlign w:val="center"/>
          </w:tcPr>
          <w:p w14:paraId="3F070DB0" w14:textId="77777777" w:rsidR="002C1BB7" w:rsidRPr="004A5570" w:rsidRDefault="002C1BB7"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CA4F8ED" w14:textId="77777777" w:rsidR="002C1BB7" w:rsidRPr="00E17331" w:rsidRDefault="00EB013D"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Проектното предложение съдържа всички или част от изброените допустими разходи, свързани с изпълнение на дейности за</w:t>
            </w:r>
            <w:r w:rsidR="002C1BB7" w:rsidRPr="00E17331">
              <w:rPr>
                <w:rFonts w:ascii="Times New Roman" w:hAnsi="Times New Roman" w:cs="Times New Roman"/>
                <w:sz w:val="24"/>
                <w:szCs w:val="24"/>
              </w:rPr>
              <w:t>:</w:t>
            </w:r>
          </w:p>
          <w:p w14:paraId="2FEE435D" w14:textId="77777777" w:rsidR="002C1BB7" w:rsidRPr="00E17331" w:rsidRDefault="002C1BB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1.</w:t>
            </w:r>
            <w:r w:rsidRPr="00E17331">
              <w:rPr>
                <w:rFonts w:ascii="Times New Roman" w:hAnsi="Times New Roman" w:cs="Times New Roman"/>
                <w:sz w:val="24"/>
                <w:szCs w:val="24"/>
              </w:rPr>
              <w:tab/>
              <w:t>Дейности и събития, свързани с популяризиране на местната идентичност, в това число за популяризиране на местни традиции, културно и историческо наследство, традиционни местни продукти и други:</w:t>
            </w:r>
          </w:p>
          <w:p w14:paraId="629B0127"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изследвания и проучвания, директно свързани с популяризиране на местната идентичност;</w:t>
            </w:r>
          </w:p>
          <w:p w14:paraId="6F88221C"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възнаграждения за външни експерти – физически или юридически лица за изпълнение на дейности по проекта, различни от управление на проекта;</w:t>
            </w:r>
          </w:p>
          <w:p w14:paraId="5491906B"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r>
            <w:proofErr w:type="spellStart"/>
            <w:r w:rsidRPr="00E17331">
              <w:rPr>
                <w:rFonts w:ascii="Times New Roman" w:hAnsi="Times New Roman" w:cs="Times New Roman"/>
                <w:sz w:val="24"/>
                <w:szCs w:val="24"/>
              </w:rPr>
              <w:t>промоционални</w:t>
            </w:r>
            <w:proofErr w:type="spellEnd"/>
            <w:r w:rsidRPr="00E17331">
              <w:rPr>
                <w:rFonts w:ascii="Times New Roman" w:hAnsi="Times New Roman" w:cs="Times New Roman"/>
                <w:sz w:val="24"/>
                <w:szCs w:val="24"/>
              </w:rPr>
              <w:t xml:space="preserve"> кампании за свързани с популяризиране на местната идентичност;</w:t>
            </w:r>
          </w:p>
          <w:p w14:paraId="6F5E49A3" w14:textId="77777777" w:rsidR="002C1BB7"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организиране и провеждане на събития, свързани с изпълнението на проекта;</w:t>
            </w:r>
          </w:p>
          <w:p w14:paraId="0F3BDA38" w14:textId="77777777" w:rsidR="00DC5DE5" w:rsidRPr="00E17331" w:rsidRDefault="00DC5DE5"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Pr>
                <w:rFonts w:ascii="Times New Roman" w:hAnsi="Times New Roman" w:cs="Times New Roman"/>
                <w:sz w:val="24"/>
                <w:szCs w:val="24"/>
              </w:rPr>
              <w:t>- преводи;</w:t>
            </w:r>
          </w:p>
          <w:p w14:paraId="062F4E52"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 xml:space="preserve">информираност – създаване на интернет страница за проекта, публикации в регионални медии, информационни конференции; </w:t>
            </w:r>
          </w:p>
          <w:p w14:paraId="5FDC4733"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публичност – изготвяне, отпечатване и разпространение на информационни материали и осигуряване на публичност, в т. ч. информационни табели.</w:t>
            </w:r>
          </w:p>
          <w:p w14:paraId="20A45E33" w14:textId="77777777" w:rsidR="002C1BB7" w:rsidRPr="00E17331" w:rsidRDefault="002C1BB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2.</w:t>
            </w:r>
            <w:r w:rsidRPr="00E17331">
              <w:rPr>
                <w:rFonts w:ascii="Times New Roman" w:hAnsi="Times New Roman" w:cs="Times New Roman"/>
                <w:sz w:val="24"/>
                <w:szCs w:val="24"/>
              </w:rPr>
              <w:tab/>
              <w:t>Придобиване на материални и нематериални активи в интерес на местната общност:</w:t>
            </w:r>
          </w:p>
          <w:p w14:paraId="5CBE88DE" w14:textId="17D5DE44" w:rsidR="002C1BB7" w:rsidRPr="00E17331" w:rsidRDefault="00C808F0"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строително –</w:t>
            </w:r>
            <w:r w:rsidR="002F1322">
              <w:rPr>
                <w:rFonts w:ascii="Times New Roman" w:hAnsi="Times New Roman" w:cs="Times New Roman"/>
                <w:sz w:val="24"/>
                <w:szCs w:val="24"/>
              </w:rPr>
              <w:t xml:space="preserve"> </w:t>
            </w:r>
            <w:r w:rsidRPr="00E17331">
              <w:rPr>
                <w:rFonts w:ascii="Times New Roman" w:hAnsi="Times New Roman" w:cs="Times New Roman"/>
                <w:sz w:val="24"/>
                <w:szCs w:val="24"/>
              </w:rPr>
              <w:t>монтажни дейности</w:t>
            </w:r>
            <w:r w:rsidRPr="00FE73D2">
              <w:rPr>
                <w:rFonts w:ascii="Times New Roman" w:hAnsi="Times New Roman" w:cs="Times New Roman"/>
                <w:sz w:val="24"/>
                <w:szCs w:val="24"/>
              </w:rPr>
              <w:t xml:space="preserve">, </w:t>
            </w:r>
            <w:r w:rsidRPr="00E17331">
              <w:rPr>
                <w:rFonts w:ascii="Times New Roman" w:hAnsi="Times New Roman" w:cs="Times New Roman"/>
                <w:sz w:val="24"/>
                <w:szCs w:val="24"/>
              </w:rPr>
              <w:t>обновяване на сгради и/или поме</w:t>
            </w:r>
            <w:r w:rsidR="002F1322">
              <w:rPr>
                <w:rFonts w:ascii="Times New Roman" w:hAnsi="Times New Roman" w:cs="Times New Roman"/>
                <w:sz w:val="24"/>
                <w:szCs w:val="24"/>
              </w:rPr>
              <w:t>щ</w:t>
            </w:r>
            <w:r w:rsidRPr="00E17331">
              <w:rPr>
                <w:rFonts w:ascii="Times New Roman" w:hAnsi="Times New Roman" w:cs="Times New Roman"/>
                <w:sz w:val="24"/>
                <w:szCs w:val="24"/>
              </w:rPr>
              <w:t>ения;</w:t>
            </w:r>
          </w:p>
          <w:p w14:paraId="14958B49"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придобиване на материални активи които се използват в интерес на местната общност</w:t>
            </w:r>
            <w:r w:rsidR="00C808F0" w:rsidRPr="00E17331">
              <w:rPr>
                <w:rFonts w:ascii="Times New Roman" w:hAnsi="Times New Roman" w:cs="Times New Roman"/>
                <w:sz w:val="24"/>
                <w:szCs w:val="24"/>
              </w:rPr>
              <w:t>,</w:t>
            </w:r>
            <w:r w:rsidR="002F1322">
              <w:rPr>
                <w:rFonts w:ascii="Times New Roman" w:hAnsi="Times New Roman" w:cs="Times New Roman"/>
                <w:sz w:val="24"/>
                <w:szCs w:val="24"/>
              </w:rPr>
              <w:t xml:space="preserve"> </w:t>
            </w:r>
            <w:r w:rsidR="00C808F0" w:rsidRPr="00E17331">
              <w:rPr>
                <w:rFonts w:ascii="Times New Roman" w:hAnsi="Times New Roman" w:cs="Times New Roman"/>
                <w:sz w:val="24"/>
                <w:szCs w:val="24"/>
              </w:rPr>
              <w:t xml:space="preserve">включително оборудване, обзавеждане и </w:t>
            </w:r>
            <w:proofErr w:type="spellStart"/>
            <w:r w:rsidR="00C808F0" w:rsidRPr="00E17331">
              <w:rPr>
                <w:rFonts w:ascii="Times New Roman" w:hAnsi="Times New Roman" w:cs="Times New Roman"/>
                <w:sz w:val="24"/>
                <w:szCs w:val="24"/>
              </w:rPr>
              <w:t>преместваеми</w:t>
            </w:r>
            <w:proofErr w:type="spellEnd"/>
            <w:r w:rsidR="00C808F0" w:rsidRPr="00E17331">
              <w:rPr>
                <w:rFonts w:ascii="Times New Roman" w:hAnsi="Times New Roman" w:cs="Times New Roman"/>
                <w:sz w:val="24"/>
                <w:szCs w:val="24"/>
              </w:rPr>
              <w:t xml:space="preserve"> обекти</w:t>
            </w:r>
            <w:r w:rsidRPr="00E17331">
              <w:rPr>
                <w:rFonts w:ascii="Times New Roman" w:hAnsi="Times New Roman" w:cs="Times New Roman"/>
                <w:sz w:val="24"/>
                <w:szCs w:val="24"/>
              </w:rPr>
              <w:t>;</w:t>
            </w:r>
          </w:p>
          <w:p w14:paraId="480D32CE"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застраховки на закупените по проекта активи;</w:t>
            </w:r>
          </w:p>
          <w:p w14:paraId="3D62E705" w14:textId="77777777" w:rsidR="002C1BB7" w:rsidRPr="00E17331" w:rsidRDefault="002C1BB7" w:rsidP="00933246">
            <w:pPr>
              <w:tabs>
                <w:tab w:val="left" w:pos="198"/>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Pr="00E17331">
              <w:rPr>
                <w:rFonts w:ascii="Times New Roman" w:hAnsi="Times New Roman" w:cs="Times New Roman"/>
                <w:sz w:val="24"/>
                <w:szCs w:val="24"/>
              </w:rPr>
              <w:tab/>
              <w:t xml:space="preserve">нематериални активи – придобиване и разработване </w:t>
            </w:r>
            <w:r w:rsidRPr="00E17331">
              <w:rPr>
                <w:rFonts w:ascii="Times New Roman" w:hAnsi="Times New Roman" w:cs="Times New Roman"/>
                <w:sz w:val="24"/>
                <w:szCs w:val="24"/>
              </w:rPr>
              <w:lastRenderedPageBreak/>
              <w:t>на софтуер, авторски права, патенти, интелектуална собственост и други нематериални активи в полза на местната общност.</w:t>
            </w:r>
          </w:p>
          <w:p w14:paraId="16459105" w14:textId="429C08D5" w:rsidR="002C1BB7" w:rsidRPr="00E17331" w:rsidRDefault="002C1BB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3.</w:t>
            </w:r>
            <w:r w:rsidRPr="00E17331">
              <w:rPr>
                <w:rFonts w:ascii="Times New Roman" w:hAnsi="Times New Roman" w:cs="Times New Roman"/>
                <w:sz w:val="24"/>
                <w:szCs w:val="24"/>
              </w:rPr>
              <w:tab/>
              <w:t xml:space="preserve">Въвеждане на иновативни за местната общност дейности, </w:t>
            </w:r>
            <w:r w:rsidR="004A5570" w:rsidRPr="00E17331">
              <w:rPr>
                <w:rFonts w:ascii="Times New Roman" w:hAnsi="Times New Roman" w:cs="Times New Roman"/>
                <w:sz w:val="24"/>
                <w:szCs w:val="24"/>
              </w:rPr>
              <w:t>включително</w:t>
            </w:r>
            <w:r w:rsidRPr="00E17331">
              <w:rPr>
                <w:rFonts w:ascii="Times New Roman" w:hAnsi="Times New Roman" w:cs="Times New Roman"/>
                <w:sz w:val="24"/>
                <w:szCs w:val="24"/>
              </w:rPr>
              <w:t xml:space="preserve"> материални, нематериални активи, дейности свързани с творческо-артистична дейност, обучения на местни общности, </w:t>
            </w:r>
            <w:proofErr w:type="spellStart"/>
            <w:r w:rsidR="0075467E" w:rsidRPr="0075467E">
              <w:rPr>
                <w:rFonts w:ascii="Times New Roman" w:hAnsi="Times New Roman" w:cs="Times New Roman"/>
                <w:sz w:val="24"/>
                <w:szCs w:val="24"/>
              </w:rPr>
              <w:t>промотиране</w:t>
            </w:r>
            <w:proofErr w:type="spellEnd"/>
            <w:r w:rsidR="0075467E" w:rsidRPr="0075467E">
              <w:rPr>
                <w:rFonts w:ascii="Times New Roman" w:hAnsi="Times New Roman" w:cs="Times New Roman"/>
                <w:sz w:val="24"/>
                <w:szCs w:val="24"/>
              </w:rPr>
              <w:t xml:space="preserve"> на местната идентичност</w:t>
            </w:r>
            <w:r w:rsidRPr="00E17331">
              <w:rPr>
                <w:rFonts w:ascii="Times New Roman" w:hAnsi="Times New Roman" w:cs="Times New Roman"/>
                <w:sz w:val="24"/>
                <w:szCs w:val="24"/>
              </w:rPr>
              <w:t xml:space="preserve"> и др.;</w:t>
            </w:r>
          </w:p>
          <w:p w14:paraId="05D93D5E" w14:textId="77777777" w:rsidR="002C1BB7" w:rsidRPr="00E17331" w:rsidRDefault="002C1BB7" w:rsidP="00933246">
            <w:pPr>
              <w:tabs>
                <w:tab w:val="left" w:pos="340"/>
              </w:tabs>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4.</w:t>
            </w:r>
            <w:r w:rsidRPr="00E17331">
              <w:rPr>
                <w:rFonts w:ascii="Times New Roman" w:hAnsi="Times New Roman" w:cs="Times New Roman"/>
                <w:sz w:val="24"/>
                <w:szCs w:val="24"/>
              </w:rPr>
              <w:tab/>
              <w:t xml:space="preserve">Оперативни разходи в размер </w:t>
            </w:r>
            <w:r w:rsidR="008537C2" w:rsidRPr="00E17331">
              <w:rPr>
                <w:rFonts w:ascii="Times New Roman" w:hAnsi="Times New Roman" w:cs="Times New Roman"/>
                <w:sz w:val="24"/>
                <w:szCs w:val="24"/>
              </w:rPr>
              <w:t>до</w:t>
            </w:r>
            <w:r w:rsidRPr="00E17331">
              <w:rPr>
                <w:rFonts w:ascii="Times New Roman" w:hAnsi="Times New Roman" w:cs="Times New Roman"/>
                <w:sz w:val="24"/>
                <w:szCs w:val="24"/>
              </w:rPr>
              <w:t xml:space="preserve"> 5% от стойността на проекта. Оперативни са разходи</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отговарящи на определението в т. 6 от раздел 27 „Допълнителна информация“ от условия</w:t>
            </w:r>
            <w:r w:rsidR="00952584" w:rsidRPr="00E17331">
              <w:rPr>
                <w:rFonts w:ascii="Times New Roman" w:hAnsi="Times New Roman" w:cs="Times New Roman"/>
                <w:sz w:val="24"/>
                <w:szCs w:val="24"/>
              </w:rPr>
              <w:t xml:space="preserve">та за </w:t>
            </w:r>
            <w:r w:rsidR="004A5570" w:rsidRPr="00E17331">
              <w:rPr>
                <w:rFonts w:ascii="Times New Roman" w:hAnsi="Times New Roman" w:cs="Times New Roman"/>
                <w:sz w:val="24"/>
                <w:szCs w:val="24"/>
              </w:rPr>
              <w:t>кандидатстване</w:t>
            </w:r>
            <w:r w:rsidRPr="00E17331">
              <w:rPr>
                <w:rFonts w:ascii="Times New Roman" w:hAnsi="Times New Roman" w:cs="Times New Roman"/>
                <w:sz w:val="24"/>
                <w:szCs w:val="24"/>
              </w:rPr>
              <w:t>.</w:t>
            </w:r>
          </w:p>
        </w:tc>
        <w:tc>
          <w:tcPr>
            <w:tcW w:w="709" w:type="dxa"/>
          </w:tcPr>
          <w:p w14:paraId="7A13FCBC"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BD3C456"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62003D0" w14:textId="77777777" w:rsidR="002C1BB7" w:rsidRPr="004A5570" w:rsidRDefault="002C1BB7"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827846" w:rsidRPr="004A5570" w14:paraId="5CA03103" w14:textId="77777777" w:rsidTr="00C3347F">
        <w:tc>
          <w:tcPr>
            <w:tcW w:w="680" w:type="dxa"/>
            <w:tcBorders>
              <w:left w:val="single" w:sz="4" w:space="0" w:color="auto"/>
            </w:tcBorders>
            <w:vAlign w:val="center"/>
          </w:tcPr>
          <w:p w14:paraId="62569FE6" w14:textId="77777777" w:rsidR="00827846" w:rsidRPr="004A5570" w:rsidRDefault="00827846"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0411598" w14:textId="77777777" w:rsidR="00827846" w:rsidRPr="00E17331" w:rsidRDefault="00827846"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Планираните разходи не водят до двойно финансиране на едни и същи дейности.</w:t>
            </w:r>
          </w:p>
          <w:p w14:paraId="4BE6364B" w14:textId="77777777" w:rsidR="000115C1" w:rsidRPr="00E17331" w:rsidRDefault="000115C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На база на декларирани данни от кандидата </w:t>
            </w:r>
            <w:r w:rsidR="00BA6735" w:rsidRPr="00E17331">
              <w:rPr>
                <w:rFonts w:ascii="Times New Roman" w:hAnsi="Times New Roman" w:cs="Times New Roman"/>
                <w:sz w:val="24"/>
                <w:szCs w:val="24"/>
              </w:rPr>
              <w:t xml:space="preserve">във формуляра за кандидатстване </w:t>
            </w:r>
            <w:r w:rsidRPr="00E17331">
              <w:rPr>
                <w:rFonts w:ascii="Times New Roman" w:hAnsi="Times New Roman" w:cs="Times New Roman"/>
                <w:sz w:val="24"/>
                <w:szCs w:val="24"/>
              </w:rPr>
              <w:t xml:space="preserve">и чрез проверка в официални информационни системи (публичния модул в ИСУН и други източници) се установява дали дейностите по проекта не са финансирани / не се финансират по друг проект, програма или каквато и да е друга схема с източник националния бюджет, бюджета на ЕС или друга донорска програма. </w:t>
            </w:r>
          </w:p>
        </w:tc>
        <w:tc>
          <w:tcPr>
            <w:tcW w:w="709" w:type="dxa"/>
          </w:tcPr>
          <w:p w14:paraId="59BDBF6D" w14:textId="77777777" w:rsidR="00827846" w:rsidRPr="004A5570"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F658CD1" w14:textId="77777777" w:rsidR="00827846" w:rsidRPr="004A5570"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55D80E0F" w14:textId="77777777" w:rsidR="00827846" w:rsidRPr="004A5570"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827846" w:rsidRPr="00E17331" w14:paraId="647973EA" w14:textId="77777777" w:rsidTr="00C3347F">
        <w:tc>
          <w:tcPr>
            <w:tcW w:w="680" w:type="dxa"/>
            <w:tcBorders>
              <w:left w:val="single" w:sz="4" w:space="0" w:color="auto"/>
            </w:tcBorders>
            <w:vAlign w:val="center"/>
          </w:tcPr>
          <w:p w14:paraId="08851895" w14:textId="77777777" w:rsidR="00827846" w:rsidRPr="004A5570" w:rsidRDefault="00827846"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50CD375" w14:textId="77777777" w:rsidR="00827846" w:rsidRPr="00E17331" w:rsidRDefault="00827846"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В стойността на съответния разход е включен данък добавена стойност (ДДС) за кандидати, които не са регистрирани по Закона за данък върху добавената стойност, и не е включен ДДС – за кандидати, регистрирани по Закона за данък върху добавената стойност.</w:t>
            </w:r>
          </w:p>
        </w:tc>
        <w:tc>
          <w:tcPr>
            <w:tcW w:w="709" w:type="dxa"/>
          </w:tcPr>
          <w:p w14:paraId="08192CB6" w14:textId="77777777" w:rsidR="00827846" w:rsidRPr="00FE73D2"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8D509AC" w14:textId="77777777" w:rsidR="00827846" w:rsidRPr="00E17331"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2FE0F73C" w14:textId="77777777" w:rsidR="00827846" w:rsidRPr="00E17331" w:rsidRDefault="00827846"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E868AF" w:rsidRPr="004A5570" w14:paraId="466D999A" w14:textId="77777777" w:rsidTr="00C3347F">
        <w:tc>
          <w:tcPr>
            <w:tcW w:w="680" w:type="dxa"/>
            <w:tcBorders>
              <w:left w:val="single" w:sz="4" w:space="0" w:color="auto"/>
            </w:tcBorders>
            <w:vAlign w:val="center"/>
          </w:tcPr>
          <w:p w14:paraId="2260BDEA" w14:textId="77777777" w:rsidR="00E868AF" w:rsidRPr="00E17331" w:rsidRDefault="00E868AF"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4626EAE" w14:textId="77777777" w:rsidR="00E868AF" w:rsidRPr="00E17331" w:rsidRDefault="00E868A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Предложените за финансиране разходи по Раздел 14. „Категории разходи, допустими за финансиране” на Условията за кандидатстване по настоящата процедура са основателни след съпоставяне на предложените разходи с представени от кандидатите оферти и други документи.</w:t>
            </w:r>
          </w:p>
          <w:p w14:paraId="7F3CFDA5" w14:textId="77777777" w:rsidR="00E868AF" w:rsidRPr="00E17331" w:rsidRDefault="008537C2"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w:t>
            </w:r>
            <w:r w:rsidR="00E868AF" w:rsidRPr="00E17331">
              <w:rPr>
                <w:rFonts w:ascii="Times New Roman" w:hAnsi="Times New Roman" w:cs="Times New Roman"/>
                <w:sz w:val="24"/>
                <w:szCs w:val="24"/>
              </w:rPr>
              <w:t>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r w:rsidRPr="00E17331">
              <w:rPr>
                <w:rFonts w:ascii="Times New Roman" w:hAnsi="Times New Roman" w:cs="Times New Roman"/>
                <w:sz w:val="24"/>
                <w:szCs w:val="24"/>
              </w:rPr>
              <w:t>)</w:t>
            </w:r>
          </w:p>
        </w:tc>
        <w:tc>
          <w:tcPr>
            <w:tcW w:w="709" w:type="dxa"/>
          </w:tcPr>
          <w:p w14:paraId="61DBADA2"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3A10215"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2D9BE7E"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E868AF" w:rsidRPr="004A5570" w14:paraId="326EFE4D" w14:textId="77777777" w:rsidTr="00C3347F">
        <w:tc>
          <w:tcPr>
            <w:tcW w:w="680" w:type="dxa"/>
            <w:tcBorders>
              <w:left w:val="single" w:sz="4" w:space="0" w:color="auto"/>
            </w:tcBorders>
            <w:vAlign w:val="center"/>
          </w:tcPr>
          <w:p w14:paraId="75AA7AC4" w14:textId="77777777" w:rsidR="00E868AF" w:rsidRPr="004A5570" w:rsidRDefault="00E868AF"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28349888" w14:textId="694F148E" w:rsidR="00E868AF" w:rsidRPr="00E17331" w:rsidRDefault="00E868A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proofErr w:type="spellStart"/>
            <w:r w:rsidRPr="00E17331">
              <w:rPr>
                <w:rFonts w:ascii="Times New Roman" w:hAnsi="Times New Roman" w:cs="Times New Roman"/>
                <w:sz w:val="24"/>
                <w:szCs w:val="24"/>
              </w:rPr>
              <w:t>Оферентите</w:t>
            </w:r>
            <w:proofErr w:type="spellEnd"/>
            <w:r w:rsidRPr="00E17331">
              <w:rPr>
                <w:rFonts w:ascii="Times New Roman" w:hAnsi="Times New Roman" w:cs="Times New Roman"/>
                <w:sz w:val="24"/>
                <w:szCs w:val="24"/>
              </w:rPr>
              <w:t>, когато са местни лица</w:t>
            </w:r>
            <w:r w:rsidR="008537C2" w:rsidRPr="00E17331">
              <w:rPr>
                <w:rFonts w:ascii="Times New Roman" w:hAnsi="Times New Roman" w:cs="Times New Roman"/>
                <w:sz w:val="24"/>
                <w:szCs w:val="24"/>
              </w:rPr>
              <w:t>,</w:t>
            </w:r>
            <w:r w:rsidRPr="00E17331">
              <w:rPr>
                <w:rFonts w:ascii="Times New Roman" w:hAnsi="Times New Roman" w:cs="Times New Roman"/>
                <w:sz w:val="24"/>
                <w:szCs w:val="24"/>
              </w:rPr>
              <w:t xml:space="preserve"> са вписани в </w:t>
            </w:r>
            <w:r w:rsidRPr="00E17331">
              <w:rPr>
                <w:rFonts w:ascii="Times New Roman" w:hAnsi="Times New Roman" w:cs="Times New Roman"/>
                <w:sz w:val="24"/>
                <w:szCs w:val="24"/>
              </w:rPr>
              <w:lastRenderedPageBreak/>
              <w:t xml:space="preserve">Търговския регистър към Агенцията </w:t>
            </w:r>
            <w:r w:rsidR="002F1322">
              <w:rPr>
                <w:rFonts w:ascii="Times New Roman" w:hAnsi="Times New Roman" w:cs="Times New Roman"/>
                <w:sz w:val="24"/>
                <w:szCs w:val="24"/>
              </w:rPr>
              <w:t>по</w:t>
            </w:r>
            <w:r w:rsidRPr="00E17331">
              <w:rPr>
                <w:rFonts w:ascii="Times New Roman" w:hAnsi="Times New Roman" w:cs="Times New Roman"/>
                <w:sz w:val="24"/>
                <w:szCs w:val="24"/>
              </w:rPr>
              <w:t xml:space="preserve"> вписван</w:t>
            </w:r>
            <w:r w:rsidR="002F1322">
              <w:rPr>
                <w:rFonts w:ascii="Times New Roman" w:hAnsi="Times New Roman" w:cs="Times New Roman"/>
                <w:sz w:val="24"/>
                <w:szCs w:val="24"/>
              </w:rPr>
              <w:t>ията</w:t>
            </w:r>
            <w:r w:rsidRPr="00E17331">
              <w:rPr>
                <w:rFonts w:ascii="Times New Roman" w:hAnsi="Times New Roman" w:cs="Times New Roman"/>
                <w:sz w:val="24"/>
                <w:szCs w:val="24"/>
              </w:rPr>
              <w:t xml:space="preserve">, а </w:t>
            </w:r>
            <w:proofErr w:type="spellStart"/>
            <w:r w:rsidRPr="00E17331">
              <w:rPr>
                <w:rFonts w:ascii="Times New Roman" w:hAnsi="Times New Roman" w:cs="Times New Roman"/>
                <w:sz w:val="24"/>
                <w:szCs w:val="24"/>
              </w:rPr>
              <w:t>оферентите</w:t>
            </w:r>
            <w:proofErr w:type="spellEnd"/>
            <w:r w:rsidRPr="00E17331">
              <w:rPr>
                <w:rFonts w:ascii="Times New Roman" w:hAnsi="Times New Roman" w:cs="Times New Roman"/>
                <w:sz w:val="24"/>
                <w:szCs w:val="24"/>
              </w:rPr>
              <w:t xml:space="preserve"> – чуждестранни лица, са представили документ за </w:t>
            </w:r>
            <w:proofErr w:type="spellStart"/>
            <w:r w:rsidRPr="00E17331">
              <w:rPr>
                <w:rFonts w:ascii="Times New Roman" w:hAnsi="Times New Roman" w:cs="Times New Roman"/>
                <w:sz w:val="24"/>
                <w:szCs w:val="24"/>
              </w:rPr>
              <w:t>правосубектност</w:t>
            </w:r>
            <w:proofErr w:type="spellEnd"/>
            <w:r w:rsidRPr="00E17331">
              <w:rPr>
                <w:rFonts w:ascii="Times New Roman" w:hAnsi="Times New Roman" w:cs="Times New Roman"/>
                <w:sz w:val="24"/>
                <w:szCs w:val="24"/>
              </w:rPr>
              <w:t xml:space="preserve"> съгласно националното им законодателство. </w:t>
            </w:r>
            <w:proofErr w:type="spellStart"/>
            <w:r w:rsidRPr="00E17331">
              <w:rPr>
                <w:rFonts w:ascii="Times New Roman" w:hAnsi="Times New Roman" w:cs="Times New Roman"/>
                <w:sz w:val="24"/>
                <w:szCs w:val="24"/>
              </w:rPr>
              <w:t>Оферентите</w:t>
            </w:r>
            <w:proofErr w:type="spellEnd"/>
            <w:r w:rsidRPr="00E17331">
              <w:rPr>
                <w:rFonts w:ascii="Times New Roman" w:hAnsi="Times New Roman" w:cs="Times New Roman"/>
                <w:sz w:val="24"/>
                <w:szCs w:val="24"/>
              </w:rPr>
              <w:t xml:space="preserve"> на строително-монтажни работи, местни и чуждестранни лица са вписани в Централен професионален регистър на строителя съгласно Закона за Камарата на строителите и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tc>
        <w:tc>
          <w:tcPr>
            <w:tcW w:w="709" w:type="dxa"/>
          </w:tcPr>
          <w:p w14:paraId="04CC5F78"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2F772BB4"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9D45935" w14:textId="77777777" w:rsidR="00E868AF" w:rsidRPr="004A5570" w:rsidRDefault="00E868AF"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0003DB" w:rsidRPr="004A5570" w14:paraId="47C81A0B" w14:textId="77777777" w:rsidTr="00C3347F">
        <w:tc>
          <w:tcPr>
            <w:tcW w:w="680" w:type="dxa"/>
            <w:tcBorders>
              <w:left w:val="single" w:sz="4" w:space="0" w:color="auto"/>
            </w:tcBorders>
            <w:vAlign w:val="center"/>
          </w:tcPr>
          <w:p w14:paraId="671EA4B7" w14:textId="77777777" w:rsidR="000003DB" w:rsidRPr="004A5570" w:rsidRDefault="000003DB"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DA1EB08" w14:textId="77777777" w:rsidR="000003DB" w:rsidRPr="00E17331" w:rsidRDefault="000003DB"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Проектното предложение не включва някои от следните недопустими разходи:</w:t>
            </w:r>
          </w:p>
          <w:p w14:paraId="67C2509E"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 за дължими лихви;</w:t>
            </w:r>
          </w:p>
          <w:p w14:paraId="249BBEE0"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2. за лизинг;</w:t>
            </w:r>
          </w:p>
          <w:p w14:paraId="05F66C6C"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 xml:space="preserve">3. за закупуване на недвижими имоти; </w:t>
            </w:r>
          </w:p>
          <w:p w14:paraId="59AA24EE"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4. за закупуване на оборудване втора употреба;</w:t>
            </w:r>
          </w:p>
          <w:p w14:paraId="6F57930D"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5. за закупуване на моторни превозни средства;</w:t>
            </w:r>
          </w:p>
          <w:p w14:paraId="0DB15CB3"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6. за данък добавена стойност с изключение на невъзстановимия;</w:t>
            </w:r>
          </w:p>
          <w:p w14:paraId="683E05FB" w14:textId="549595A1" w:rsidR="003821BB"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 xml:space="preserve">7. </w:t>
            </w:r>
            <w:r w:rsidR="00DF01C5" w:rsidRPr="00DF01C5">
              <w:rPr>
                <w:rFonts w:ascii="Times New Roman" w:hAnsi="Times New Roman" w:cs="Times New Roman"/>
                <w:sz w:val="24"/>
                <w:szCs w:val="24"/>
              </w:rPr>
              <w:t>платени по-късно от крайния срок за подаване на искане за окончателно плащане пред ДФЗ</w:t>
            </w:r>
            <w:r w:rsidRPr="0001760E">
              <w:rPr>
                <w:rFonts w:ascii="Times New Roman" w:hAnsi="Times New Roman" w:cs="Times New Roman"/>
                <w:sz w:val="24"/>
                <w:szCs w:val="24"/>
              </w:rPr>
              <w:t>;</w:t>
            </w:r>
          </w:p>
          <w:p w14:paraId="2E786EE9" w14:textId="77777777" w:rsidR="003821BB" w:rsidRPr="003821BB" w:rsidRDefault="003821BB" w:rsidP="00933246">
            <w:pPr>
              <w:spacing w:before="120"/>
              <w:ind w:firstLine="177"/>
              <w:jc w:val="both"/>
              <w:textAlignment w:val="center"/>
              <w:rPr>
                <w:rFonts w:ascii="Times New Roman" w:hAnsi="Times New Roman" w:cs="Times New Roman"/>
                <w:sz w:val="24"/>
                <w:szCs w:val="24"/>
              </w:rPr>
            </w:pPr>
            <w:r w:rsidRPr="003821BB">
              <w:rPr>
                <w:rFonts w:ascii="Times New Roman" w:hAnsi="Times New Roman" w:cs="Times New Roman"/>
                <w:sz w:val="24"/>
                <w:szCs w:val="24"/>
              </w:rPr>
              <w:t>8. разходи</w:t>
            </w:r>
            <w:r w:rsidR="002F1322">
              <w:rPr>
                <w:rFonts w:ascii="Times New Roman" w:hAnsi="Times New Roman" w:cs="Times New Roman"/>
                <w:sz w:val="24"/>
                <w:szCs w:val="24"/>
              </w:rPr>
              <w:t>,</w:t>
            </w:r>
            <w:r w:rsidRPr="003821BB">
              <w:rPr>
                <w:rFonts w:ascii="Times New Roman" w:hAnsi="Times New Roman" w:cs="Times New Roman"/>
                <w:sz w:val="24"/>
                <w:szCs w:val="24"/>
              </w:rPr>
              <w:t xml:space="preserve"> платени в брой (с изключение на разходите за пощенски и куриерски услуги и такси за издаване на изискуеми документи);</w:t>
            </w:r>
          </w:p>
          <w:p w14:paraId="5D43BCBB" w14:textId="77777777" w:rsidR="003821BB" w:rsidRPr="003821BB" w:rsidRDefault="003821BB" w:rsidP="00933246">
            <w:pPr>
              <w:spacing w:before="120"/>
              <w:ind w:firstLine="177"/>
              <w:jc w:val="both"/>
              <w:textAlignment w:val="center"/>
              <w:rPr>
                <w:rFonts w:ascii="Times New Roman" w:hAnsi="Times New Roman" w:cs="Times New Roman"/>
                <w:sz w:val="24"/>
                <w:szCs w:val="24"/>
              </w:rPr>
            </w:pPr>
            <w:r w:rsidRPr="003821BB">
              <w:rPr>
                <w:rFonts w:ascii="Times New Roman" w:hAnsi="Times New Roman" w:cs="Times New Roman"/>
                <w:sz w:val="24"/>
                <w:szCs w:val="24"/>
              </w:rPr>
              <w:t>9. принос в натура;</w:t>
            </w:r>
          </w:p>
          <w:p w14:paraId="0AAC34D8" w14:textId="77777777" w:rsidR="003821BB" w:rsidRPr="003821BB" w:rsidRDefault="003821BB" w:rsidP="00933246">
            <w:pPr>
              <w:spacing w:before="120"/>
              <w:ind w:firstLine="177"/>
              <w:jc w:val="both"/>
              <w:textAlignment w:val="center"/>
              <w:rPr>
                <w:rFonts w:ascii="Times New Roman" w:hAnsi="Times New Roman" w:cs="Times New Roman"/>
                <w:sz w:val="24"/>
                <w:szCs w:val="24"/>
              </w:rPr>
            </w:pPr>
            <w:r w:rsidRPr="003821BB">
              <w:rPr>
                <w:rFonts w:ascii="Times New Roman" w:hAnsi="Times New Roman" w:cs="Times New Roman"/>
                <w:sz w:val="24"/>
                <w:szCs w:val="24"/>
              </w:rPr>
              <w:t>10. разходи, за които е получено финансиране от националния бюджет или бюджета на Европейския съюз, в т.</w:t>
            </w:r>
            <w:r w:rsidR="002F1322">
              <w:rPr>
                <w:rFonts w:ascii="Times New Roman" w:hAnsi="Times New Roman" w:cs="Times New Roman"/>
                <w:sz w:val="24"/>
                <w:szCs w:val="24"/>
              </w:rPr>
              <w:t xml:space="preserve"> </w:t>
            </w:r>
            <w:r w:rsidRPr="003821BB">
              <w:rPr>
                <w:rFonts w:ascii="Times New Roman" w:hAnsi="Times New Roman" w:cs="Times New Roman"/>
                <w:sz w:val="24"/>
                <w:szCs w:val="24"/>
              </w:rPr>
              <w:t xml:space="preserve">ч. по </w:t>
            </w:r>
            <w:proofErr w:type="spellStart"/>
            <w:r>
              <w:rPr>
                <w:rFonts w:ascii="Times New Roman" w:hAnsi="Times New Roman" w:cs="Times New Roman"/>
                <w:sz w:val="24"/>
                <w:szCs w:val="24"/>
              </w:rPr>
              <w:t>п</w:t>
            </w:r>
            <w:r w:rsidRPr="00F43DD7">
              <w:rPr>
                <w:rFonts w:ascii="Times New Roman" w:hAnsi="Times New Roman" w:cs="Times New Roman"/>
                <w:sz w:val="24"/>
                <w:szCs w:val="24"/>
              </w:rPr>
              <w:t>одмярка</w:t>
            </w:r>
            <w:proofErr w:type="spellEnd"/>
            <w:r w:rsidRPr="00F43DD7">
              <w:rPr>
                <w:rFonts w:ascii="Times New Roman" w:hAnsi="Times New Roman" w:cs="Times New Roman"/>
                <w:sz w:val="24"/>
                <w:szCs w:val="24"/>
              </w:rPr>
              <w:t xml:space="preserve"> 19.3</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и по </w:t>
            </w:r>
            <w:proofErr w:type="spellStart"/>
            <w:r w:rsidRPr="003821BB">
              <w:rPr>
                <w:rFonts w:ascii="Times New Roman" w:hAnsi="Times New Roman" w:cs="Times New Roman"/>
                <w:sz w:val="24"/>
                <w:szCs w:val="24"/>
              </w:rPr>
              <w:t>подмярка</w:t>
            </w:r>
            <w:proofErr w:type="spellEnd"/>
            <w:r w:rsidRPr="003821BB">
              <w:rPr>
                <w:rFonts w:ascii="Times New Roman" w:hAnsi="Times New Roman" w:cs="Times New Roman"/>
                <w:sz w:val="24"/>
                <w:szCs w:val="24"/>
              </w:rPr>
              <w:t xml:space="preserve"> 19.4 „Текущи разходи и популяризиране на стратегия за Водено от общностите местно развитие“ от ПРСР 2014 – 2020 г.;</w:t>
            </w:r>
          </w:p>
          <w:p w14:paraId="0B73ECF5" w14:textId="77777777" w:rsidR="003821BB" w:rsidRPr="003821BB" w:rsidRDefault="003821BB" w:rsidP="00933246">
            <w:pPr>
              <w:spacing w:before="120"/>
              <w:ind w:firstLine="177"/>
              <w:jc w:val="both"/>
              <w:textAlignment w:val="center"/>
              <w:rPr>
                <w:rFonts w:ascii="Times New Roman" w:hAnsi="Times New Roman" w:cs="Times New Roman"/>
                <w:sz w:val="24"/>
                <w:szCs w:val="24"/>
              </w:rPr>
            </w:pPr>
            <w:r w:rsidRPr="003821BB">
              <w:rPr>
                <w:rFonts w:ascii="Times New Roman" w:hAnsi="Times New Roman" w:cs="Times New Roman"/>
                <w:sz w:val="24"/>
                <w:szCs w:val="24"/>
              </w:rPr>
              <w:t>11. банкови такси;</w:t>
            </w:r>
          </w:p>
          <w:p w14:paraId="7956261A"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sidRPr="003821BB">
              <w:rPr>
                <w:rFonts w:ascii="Times New Roman" w:hAnsi="Times New Roman" w:cs="Times New Roman"/>
                <w:sz w:val="24"/>
                <w:szCs w:val="24"/>
              </w:rPr>
              <w:t xml:space="preserve">12. разходи за информираност и публичност, които не отговарят на изискванията, посочени в Единния </w:t>
            </w:r>
            <w:r w:rsidRPr="003821BB">
              <w:rPr>
                <w:rFonts w:ascii="Times New Roman" w:hAnsi="Times New Roman" w:cs="Times New Roman"/>
                <w:sz w:val="24"/>
                <w:szCs w:val="24"/>
              </w:rPr>
              <w:lastRenderedPageBreak/>
              <w:t>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7900AF00" w14:textId="77777777" w:rsidR="003821BB" w:rsidRPr="0001760E" w:rsidRDefault="003821BB" w:rsidP="00933246">
            <w:pPr>
              <w:spacing w:before="120"/>
              <w:ind w:firstLine="177"/>
              <w:jc w:val="both"/>
              <w:textAlignment w:val="center"/>
              <w:rPr>
                <w:rFonts w:ascii="Times New Roman" w:hAnsi="Times New Roman" w:cs="Times New Roman"/>
                <w:sz w:val="24"/>
                <w:szCs w:val="24"/>
              </w:rPr>
            </w:pPr>
            <w:r>
              <w:rPr>
                <w:rFonts w:ascii="Times New Roman" w:hAnsi="Times New Roman" w:cs="Times New Roman"/>
                <w:sz w:val="24"/>
                <w:szCs w:val="24"/>
              </w:rPr>
              <w:t>13</w:t>
            </w:r>
            <w:r w:rsidRPr="0001760E">
              <w:rPr>
                <w:rFonts w:ascii="Times New Roman" w:hAnsi="Times New Roman" w:cs="Times New Roman"/>
                <w:sz w:val="24"/>
                <w:szCs w:val="24"/>
              </w:rPr>
              <w:t>. хранителни стоки;</w:t>
            </w:r>
          </w:p>
          <w:p w14:paraId="2A468112" w14:textId="03ABAA83" w:rsidR="00FF6FA1" w:rsidRDefault="003821BB" w:rsidP="00933246">
            <w:pPr>
              <w:spacing w:before="120"/>
              <w:ind w:firstLine="177"/>
              <w:jc w:val="both"/>
              <w:textAlignment w:val="center"/>
              <w:rPr>
                <w:rFonts w:ascii="Times New Roman" w:hAnsi="Times New Roman" w:cs="Times New Roman"/>
                <w:sz w:val="24"/>
                <w:szCs w:val="24"/>
              </w:rPr>
            </w:pPr>
            <w:r>
              <w:rPr>
                <w:rFonts w:ascii="Times New Roman" w:hAnsi="Times New Roman" w:cs="Times New Roman"/>
                <w:sz w:val="24"/>
                <w:szCs w:val="24"/>
              </w:rPr>
              <w:t>14</w:t>
            </w:r>
            <w:r w:rsidRPr="0001760E">
              <w:rPr>
                <w:rFonts w:ascii="Times New Roman" w:hAnsi="Times New Roman" w:cs="Times New Roman"/>
                <w:sz w:val="24"/>
                <w:szCs w:val="24"/>
              </w:rPr>
              <w:t>. закупуване на материали за еднократна употреба</w:t>
            </w:r>
            <w:r w:rsidR="00DF01C5" w:rsidRPr="00DF01C5">
              <w:rPr>
                <w:rFonts w:ascii="Times New Roman" w:hAnsi="Times New Roman" w:cs="Times New Roman"/>
                <w:sz w:val="24"/>
                <w:szCs w:val="24"/>
              </w:rPr>
              <w:t xml:space="preserve"> с изключение на разходи за офис консумативи и канцеларски материали</w:t>
            </w:r>
            <w:r w:rsidRPr="0001760E">
              <w:rPr>
                <w:rFonts w:ascii="Times New Roman" w:hAnsi="Times New Roman" w:cs="Times New Roman"/>
                <w:sz w:val="24"/>
                <w:szCs w:val="24"/>
              </w:rPr>
              <w:t>;</w:t>
            </w:r>
          </w:p>
          <w:p w14:paraId="6DD262EF" w14:textId="77777777" w:rsidR="00FF6FA1"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w:t>
            </w:r>
            <w:r>
              <w:rPr>
                <w:rFonts w:ascii="Times New Roman" w:hAnsi="Times New Roman" w:cs="Times New Roman"/>
                <w:sz w:val="24"/>
                <w:szCs w:val="24"/>
              </w:rPr>
              <w:t>5</w:t>
            </w:r>
            <w:r w:rsidRPr="0001760E">
              <w:rPr>
                <w:rFonts w:ascii="Times New Roman" w:hAnsi="Times New Roman" w:cs="Times New Roman"/>
                <w:sz w:val="24"/>
                <w:szCs w:val="24"/>
              </w:rPr>
              <w:t>. командировки, в това число пътни, дневни и квартирни;</w:t>
            </w:r>
          </w:p>
          <w:p w14:paraId="3B2A4B08" w14:textId="77777777" w:rsidR="00FF6FA1"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w:t>
            </w:r>
            <w:r>
              <w:rPr>
                <w:rFonts w:ascii="Times New Roman" w:hAnsi="Times New Roman" w:cs="Times New Roman"/>
                <w:sz w:val="24"/>
                <w:szCs w:val="24"/>
              </w:rPr>
              <w:t>6</w:t>
            </w:r>
            <w:r w:rsidRPr="0001760E">
              <w:rPr>
                <w:rFonts w:ascii="Times New Roman" w:hAnsi="Times New Roman" w:cs="Times New Roman"/>
                <w:sz w:val="24"/>
                <w:szCs w:val="24"/>
              </w:rPr>
              <w:t>. наем на оборудване и съоръжения;</w:t>
            </w:r>
          </w:p>
          <w:p w14:paraId="608D546F" w14:textId="77777777" w:rsidR="00FF6FA1"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w:t>
            </w:r>
            <w:r>
              <w:rPr>
                <w:rFonts w:ascii="Times New Roman" w:hAnsi="Times New Roman" w:cs="Times New Roman"/>
                <w:sz w:val="24"/>
                <w:szCs w:val="24"/>
              </w:rPr>
              <w:t>7</w:t>
            </w:r>
            <w:r w:rsidRPr="0001760E">
              <w:rPr>
                <w:rFonts w:ascii="Times New Roman" w:hAnsi="Times New Roman" w:cs="Times New Roman"/>
                <w:sz w:val="24"/>
                <w:szCs w:val="24"/>
              </w:rPr>
              <w:t>. изготвяне на проект;</w:t>
            </w:r>
          </w:p>
          <w:p w14:paraId="28ED210F" w14:textId="77777777" w:rsidR="00FF6FA1"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w:t>
            </w:r>
            <w:r>
              <w:rPr>
                <w:rFonts w:ascii="Times New Roman" w:hAnsi="Times New Roman" w:cs="Times New Roman"/>
                <w:sz w:val="24"/>
                <w:szCs w:val="24"/>
              </w:rPr>
              <w:t>8</w:t>
            </w:r>
            <w:r w:rsidRPr="0001760E">
              <w:rPr>
                <w:rFonts w:ascii="Times New Roman" w:hAnsi="Times New Roman" w:cs="Times New Roman"/>
                <w:sz w:val="24"/>
                <w:szCs w:val="24"/>
              </w:rPr>
              <w:t>. управление на проект;</w:t>
            </w:r>
          </w:p>
          <w:p w14:paraId="2C1A0428" w14:textId="77777777" w:rsidR="00FF6FA1" w:rsidRDefault="003821BB" w:rsidP="00933246">
            <w:pPr>
              <w:spacing w:before="120"/>
              <w:ind w:firstLine="177"/>
              <w:jc w:val="both"/>
              <w:textAlignment w:val="center"/>
              <w:rPr>
                <w:rFonts w:ascii="Times New Roman" w:hAnsi="Times New Roman" w:cs="Times New Roman"/>
                <w:sz w:val="24"/>
                <w:szCs w:val="24"/>
              </w:rPr>
            </w:pPr>
            <w:r w:rsidRPr="0001760E">
              <w:rPr>
                <w:rFonts w:ascii="Times New Roman" w:hAnsi="Times New Roman" w:cs="Times New Roman"/>
                <w:sz w:val="24"/>
                <w:szCs w:val="24"/>
              </w:rPr>
              <w:t>1</w:t>
            </w:r>
            <w:r>
              <w:rPr>
                <w:rFonts w:ascii="Times New Roman" w:hAnsi="Times New Roman" w:cs="Times New Roman"/>
                <w:sz w:val="24"/>
                <w:szCs w:val="24"/>
              </w:rPr>
              <w:t>9</w:t>
            </w:r>
            <w:r w:rsidRPr="0001760E">
              <w:rPr>
                <w:rFonts w:ascii="Times New Roman" w:hAnsi="Times New Roman" w:cs="Times New Roman"/>
                <w:sz w:val="24"/>
                <w:szCs w:val="24"/>
              </w:rPr>
              <w:t>. оперативни разходи, надвишаващи 5 на сто от общата стойност на проекта;</w:t>
            </w:r>
          </w:p>
          <w:p w14:paraId="4B9A5472" w14:textId="77777777" w:rsidR="00DF01C5" w:rsidRDefault="003821BB" w:rsidP="00933246">
            <w:pPr>
              <w:spacing w:before="120"/>
              <w:ind w:firstLine="177"/>
              <w:jc w:val="both"/>
              <w:textAlignment w:val="center"/>
              <w:rPr>
                <w:rFonts w:ascii="Times New Roman" w:hAnsi="Times New Roman" w:cs="Times New Roman"/>
                <w:sz w:val="24"/>
                <w:szCs w:val="24"/>
              </w:rPr>
            </w:pPr>
            <w:r>
              <w:rPr>
                <w:rFonts w:ascii="Times New Roman" w:hAnsi="Times New Roman" w:cs="Times New Roman"/>
                <w:sz w:val="24"/>
                <w:szCs w:val="24"/>
              </w:rPr>
              <w:t>20</w:t>
            </w:r>
            <w:r w:rsidRPr="0001760E">
              <w:rPr>
                <w:rFonts w:ascii="Times New Roman" w:hAnsi="Times New Roman" w:cs="Times New Roman"/>
                <w:sz w:val="24"/>
                <w:szCs w:val="24"/>
              </w:rPr>
              <w:t>. разходи, извършени преди подаване на проектното предложение</w:t>
            </w:r>
            <w:r w:rsidR="00DF01C5">
              <w:rPr>
                <w:rFonts w:ascii="Times New Roman" w:hAnsi="Times New Roman" w:cs="Times New Roman"/>
                <w:sz w:val="24"/>
                <w:szCs w:val="24"/>
              </w:rPr>
              <w:t>;</w:t>
            </w:r>
          </w:p>
          <w:p w14:paraId="5E90B817" w14:textId="5E5CA7D9" w:rsidR="00DF01C5" w:rsidRDefault="00DF01C5" w:rsidP="007052A7">
            <w:pPr>
              <w:spacing w:before="120"/>
              <w:ind w:firstLine="177"/>
              <w:jc w:val="both"/>
              <w:textAlignment w:val="center"/>
              <w:rPr>
                <w:rFonts w:ascii="Times New Roman" w:hAnsi="Times New Roman" w:cs="Times New Roman"/>
                <w:sz w:val="24"/>
                <w:szCs w:val="24"/>
              </w:rPr>
            </w:pPr>
            <w:r>
              <w:rPr>
                <w:rFonts w:ascii="Times New Roman" w:hAnsi="Times New Roman" w:cs="Times New Roman"/>
                <w:sz w:val="24"/>
                <w:szCs w:val="24"/>
              </w:rPr>
              <w:t xml:space="preserve">21. </w:t>
            </w:r>
            <w:r w:rsidRPr="0024232B">
              <w:rPr>
                <w:rFonts w:ascii="Times New Roman" w:hAnsi="Times New Roman" w:cs="Times New Roman"/>
                <w:sz w:val="24"/>
                <w:szCs w:val="24"/>
              </w:rPr>
              <w:t>за оби</w:t>
            </w:r>
            <w:r w:rsidR="007052A7">
              <w:rPr>
                <w:rFonts w:ascii="Times New Roman" w:hAnsi="Times New Roman" w:cs="Times New Roman"/>
                <w:sz w:val="24"/>
                <w:szCs w:val="24"/>
              </w:rPr>
              <w:t>кновена подмяна</w:t>
            </w:r>
            <w:r>
              <w:rPr>
                <w:rFonts w:ascii="Times New Roman" w:hAnsi="Times New Roman" w:cs="Times New Roman"/>
                <w:sz w:val="24"/>
                <w:szCs w:val="24"/>
              </w:rPr>
              <w:t>;</w:t>
            </w:r>
          </w:p>
          <w:p w14:paraId="7D1E45D9" w14:textId="099A2CB7" w:rsidR="000003DB" w:rsidRPr="00E17331" w:rsidRDefault="00DF01C5" w:rsidP="00DF01C5">
            <w:pPr>
              <w:spacing w:before="120"/>
              <w:ind w:firstLine="177"/>
              <w:jc w:val="both"/>
              <w:textAlignment w:val="center"/>
              <w:rPr>
                <w:rFonts w:ascii="Times New Roman" w:hAnsi="Times New Roman" w:cs="Times New Roman"/>
                <w:sz w:val="24"/>
                <w:szCs w:val="24"/>
              </w:rPr>
            </w:pPr>
            <w:r>
              <w:rPr>
                <w:rFonts w:ascii="Times New Roman" w:hAnsi="Times New Roman" w:cs="Times New Roman"/>
                <w:sz w:val="24"/>
                <w:szCs w:val="24"/>
              </w:rPr>
              <w:t xml:space="preserve">22. </w:t>
            </w:r>
            <w:r w:rsidRPr="0024232B">
              <w:rPr>
                <w:rFonts w:ascii="Times New Roman" w:hAnsi="Times New Roman" w:cs="Times New Roman"/>
                <w:sz w:val="24"/>
                <w:szCs w:val="24"/>
              </w:rPr>
              <w:t>за изграждане и ремонт на места за настаняване</w:t>
            </w:r>
            <w:r>
              <w:rPr>
                <w:rFonts w:ascii="Times New Roman" w:hAnsi="Times New Roman" w:cs="Times New Roman"/>
                <w:sz w:val="24"/>
                <w:szCs w:val="24"/>
              </w:rPr>
              <w:t>.</w:t>
            </w:r>
          </w:p>
        </w:tc>
        <w:tc>
          <w:tcPr>
            <w:tcW w:w="709" w:type="dxa"/>
          </w:tcPr>
          <w:p w14:paraId="0D6A9570"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CF3AA0D"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ACF8FB0"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0003DB" w:rsidRPr="004A5570" w14:paraId="0FB601C7" w14:textId="77777777" w:rsidTr="00C3347F">
        <w:tc>
          <w:tcPr>
            <w:tcW w:w="680" w:type="dxa"/>
            <w:tcBorders>
              <w:left w:val="single" w:sz="4" w:space="0" w:color="auto"/>
            </w:tcBorders>
            <w:vAlign w:val="center"/>
          </w:tcPr>
          <w:p w14:paraId="629C004B" w14:textId="77777777" w:rsidR="000003DB" w:rsidRPr="004A5570" w:rsidRDefault="000003DB"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5C43775" w14:textId="77777777" w:rsidR="00913112" w:rsidRPr="00E17331" w:rsidRDefault="000003DB"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Финансовото подпомагане по дейностите по </w:t>
            </w:r>
            <w:proofErr w:type="spellStart"/>
            <w:r w:rsidRPr="00E17331">
              <w:rPr>
                <w:rFonts w:ascii="Times New Roman" w:hAnsi="Times New Roman" w:cs="Times New Roman"/>
                <w:sz w:val="24"/>
                <w:szCs w:val="24"/>
              </w:rPr>
              <w:t>подмярката</w:t>
            </w:r>
            <w:proofErr w:type="spellEnd"/>
            <w:r w:rsidRPr="00E17331">
              <w:rPr>
                <w:rFonts w:ascii="Times New Roman" w:hAnsi="Times New Roman" w:cs="Times New Roman"/>
                <w:sz w:val="24"/>
                <w:szCs w:val="24"/>
              </w:rPr>
              <w:t xml:space="preserve"> не представлява „държавна помощ“ по </w:t>
            </w:r>
            <w:r w:rsidRPr="00E17331">
              <w:rPr>
                <w:rFonts w:ascii="Times New Roman" w:hAnsi="Times New Roman" w:cs="Times New Roman"/>
                <w:sz w:val="24"/>
                <w:szCs w:val="24"/>
              </w:rPr>
              <w:lastRenderedPageBreak/>
              <w:t>смисъла</w:t>
            </w:r>
            <w:r w:rsidR="00913112" w:rsidRPr="00E17331">
              <w:rPr>
                <w:rFonts w:ascii="Times New Roman" w:hAnsi="Times New Roman" w:cs="Times New Roman"/>
                <w:sz w:val="24"/>
                <w:szCs w:val="24"/>
              </w:rPr>
              <w:t xml:space="preserve"> на чл. 107, параграф 1 от ДФЕС.</w:t>
            </w:r>
          </w:p>
          <w:p w14:paraId="239040CC" w14:textId="77777777" w:rsidR="00913112" w:rsidRPr="00E17331" w:rsidRDefault="00913112" w:rsidP="00933246">
            <w:pPr>
              <w:spacing w:before="120" w:after="0"/>
              <w:jc w:val="both"/>
              <w:rPr>
                <w:rFonts w:ascii="Times New Roman" w:hAnsi="Times New Roman" w:cs="Times New Roman"/>
                <w:sz w:val="24"/>
                <w:szCs w:val="24"/>
              </w:rPr>
            </w:pPr>
            <w:r w:rsidRPr="00E17331">
              <w:rPr>
                <w:rFonts w:ascii="Times New Roman" w:hAnsi="Times New Roman" w:cs="Times New Roman"/>
                <w:sz w:val="24"/>
                <w:szCs w:val="24"/>
              </w:rPr>
              <w:t>Проверката се осъществява въз основа на декларация</w:t>
            </w:r>
            <w:r w:rsidR="00BA6735" w:rsidRPr="00E17331">
              <w:rPr>
                <w:rFonts w:ascii="Times New Roman" w:hAnsi="Times New Roman" w:cs="Times New Roman"/>
                <w:sz w:val="24"/>
                <w:szCs w:val="24"/>
              </w:rPr>
              <w:t xml:space="preserve"> в свободен текст</w:t>
            </w:r>
            <w:r w:rsidRPr="00E17331">
              <w:rPr>
                <w:rFonts w:ascii="Times New Roman" w:hAnsi="Times New Roman" w:cs="Times New Roman"/>
                <w:sz w:val="24"/>
                <w:szCs w:val="24"/>
              </w:rPr>
              <w:t>, която включа съответствието на дейностите със следните шест хипотези:</w:t>
            </w:r>
          </w:p>
          <w:p w14:paraId="70129BE9"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са със свободен обществен достъп и с неикономически характер;</w:t>
            </w:r>
          </w:p>
          <w:p w14:paraId="14F436A1"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са организирани по нетърговски начин и са от нестопанско естество;</w:t>
            </w:r>
          </w:p>
          <w:p w14:paraId="77E07110"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785E63F3"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водят до подобряване на условията за живот само на територията на МИГ;</w:t>
            </w:r>
          </w:p>
          <w:p w14:paraId="582D6C45"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 xml:space="preserve">имат чисто местно въздействие и следователно не оказват въздействие върху търговията между държавите членки. В тези случаи </w:t>
            </w:r>
            <w:r w:rsidR="00C876C1" w:rsidRPr="00E17331">
              <w:rPr>
                <w:rFonts w:ascii="Times New Roman" w:hAnsi="Times New Roman" w:cs="Times New Roman"/>
                <w:sz w:val="24"/>
                <w:szCs w:val="24"/>
                <w:shd w:val="clear" w:color="auto" w:fill="FEFEFE"/>
              </w:rPr>
              <w:t>МИГ, изпълнителите и подизпълнителите</w:t>
            </w:r>
            <w:r w:rsidR="002F1322">
              <w:rPr>
                <w:rFonts w:ascii="Times New Roman" w:hAnsi="Times New Roman" w:cs="Times New Roman"/>
                <w:sz w:val="24"/>
                <w:szCs w:val="24"/>
                <w:shd w:val="clear" w:color="auto" w:fill="FEFEFE"/>
              </w:rPr>
              <w:t xml:space="preserve"> </w:t>
            </w:r>
            <w:r w:rsidRPr="00E17331">
              <w:rPr>
                <w:rFonts w:ascii="Times New Roman" w:hAnsi="Times New Roman" w:cs="Times New Roman"/>
                <w:sz w:val="24"/>
                <w:szCs w:val="24"/>
                <w:shd w:val="clear" w:color="auto" w:fill="FEFEFE"/>
              </w:rPr>
              <w:t>доставя</w:t>
            </w:r>
            <w:r w:rsidR="00C876C1" w:rsidRPr="00E17331">
              <w:rPr>
                <w:rFonts w:ascii="Times New Roman" w:hAnsi="Times New Roman" w:cs="Times New Roman"/>
                <w:sz w:val="24"/>
                <w:szCs w:val="24"/>
                <w:shd w:val="clear" w:color="auto" w:fill="FEFEFE"/>
              </w:rPr>
              <w:t>т</w:t>
            </w:r>
            <w:r w:rsidRPr="00E17331">
              <w:rPr>
                <w:rFonts w:ascii="Times New Roman" w:hAnsi="Times New Roman" w:cs="Times New Roman"/>
                <w:sz w:val="24"/>
                <w:szCs w:val="24"/>
                <w:shd w:val="clear" w:color="auto" w:fill="FEFEFE"/>
              </w:rPr>
              <w:t xml:space="preserve">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14:paraId="619F6ACE" w14:textId="77777777" w:rsidR="00913112" w:rsidRPr="00E17331" w:rsidRDefault="00913112" w:rsidP="00933246">
            <w:pPr>
              <w:pStyle w:val="ListParagraph"/>
              <w:numPr>
                <w:ilvl w:val="0"/>
                <w:numId w:val="8"/>
              </w:numPr>
              <w:spacing w:before="120" w:after="0"/>
              <w:ind w:left="340"/>
              <w:jc w:val="both"/>
              <w:rPr>
                <w:rFonts w:ascii="Times New Roman" w:hAnsi="Times New Roman" w:cs="Times New Roman"/>
                <w:sz w:val="24"/>
                <w:szCs w:val="24"/>
                <w:shd w:val="clear" w:color="auto" w:fill="FEFEFE"/>
              </w:rPr>
            </w:pPr>
            <w:r w:rsidRPr="00E17331">
              <w:rPr>
                <w:rFonts w:ascii="Times New Roman" w:hAnsi="Times New Roman" w:cs="Times New Roman"/>
                <w:sz w:val="24"/>
                <w:szCs w:val="24"/>
                <w:shd w:val="clear" w:color="auto" w:fill="FEFEFE"/>
              </w:rPr>
              <w:t xml:space="preserve">са само за нестопански дейности от лица, регистрирани по реда на Закона за юридическите лица с нестопанска цел. </w:t>
            </w:r>
          </w:p>
        </w:tc>
        <w:tc>
          <w:tcPr>
            <w:tcW w:w="709" w:type="dxa"/>
          </w:tcPr>
          <w:p w14:paraId="3BD15593"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8CCC217"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23ED675" w14:textId="77777777" w:rsidR="000003DB" w:rsidRPr="004A5570" w:rsidRDefault="000003DB" w:rsidP="009A3E7C">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1B5E34EB" w14:textId="77777777" w:rsidTr="00C3347F">
        <w:tc>
          <w:tcPr>
            <w:tcW w:w="680" w:type="dxa"/>
            <w:tcBorders>
              <w:left w:val="single" w:sz="4" w:space="0" w:color="auto"/>
            </w:tcBorders>
            <w:vAlign w:val="center"/>
          </w:tcPr>
          <w:p w14:paraId="546ED668" w14:textId="77777777" w:rsidR="00705561" w:rsidRPr="004A5570" w:rsidRDefault="00705561"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B242694" w14:textId="77777777" w:rsidR="006F1810" w:rsidRPr="00E17331" w:rsidRDefault="006F1810"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В точка „Допълнителна информация</w:t>
            </w:r>
            <w:r w:rsidR="002F1322">
              <w:rPr>
                <w:rFonts w:ascii="Times New Roman" w:hAnsi="Times New Roman" w:cs="Times New Roman"/>
                <w:sz w:val="24"/>
                <w:szCs w:val="24"/>
              </w:rPr>
              <w:t>,</w:t>
            </w:r>
            <w:r w:rsidRPr="00E17331">
              <w:rPr>
                <w:rFonts w:ascii="Times New Roman" w:hAnsi="Times New Roman" w:cs="Times New Roman"/>
                <w:sz w:val="24"/>
                <w:szCs w:val="24"/>
              </w:rPr>
              <w:t xml:space="preserve"> необходима за оценка на проектното предложение“ от формуляра за кандидатстване е описано съответствието на проектното предложение с поне една от следните политики на ЕС:</w:t>
            </w:r>
          </w:p>
          <w:p w14:paraId="74E8CA96" w14:textId="77777777" w:rsidR="00BF67AF" w:rsidRPr="00E17331" w:rsidRDefault="00BF67A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1. Равенство между половете и липса на дискриминация;</w:t>
            </w:r>
          </w:p>
          <w:p w14:paraId="21B0DFFE" w14:textId="77777777" w:rsidR="00BF67AF" w:rsidRPr="00E17331" w:rsidRDefault="00BF67A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2. Устойчиво развитие (защита на околната среда);</w:t>
            </w:r>
          </w:p>
          <w:p w14:paraId="198DE4B9" w14:textId="77777777" w:rsidR="00705561" w:rsidRPr="004A5570" w:rsidRDefault="00BF67A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3. Насърчаване на заетостта и конкурентоспособността.</w:t>
            </w:r>
          </w:p>
        </w:tc>
        <w:tc>
          <w:tcPr>
            <w:tcW w:w="709" w:type="dxa"/>
          </w:tcPr>
          <w:p w14:paraId="738C51B0"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6926CDE3"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10B56E89"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270338DC" w14:textId="77777777" w:rsidTr="00C3347F">
        <w:tc>
          <w:tcPr>
            <w:tcW w:w="680" w:type="dxa"/>
            <w:tcBorders>
              <w:left w:val="single" w:sz="4" w:space="0" w:color="auto"/>
            </w:tcBorders>
            <w:vAlign w:val="center"/>
          </w:tcPr>
          <w:p w14:paraId="0820E93A" w14:textId="77777777" w:rsidR="00705561" w:rsidRPr="004A5570" w:rsidRDefault="00705561"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719FFEFA" w14:textId="6E6977C0" w:rsidR="00705561" w:rsidRPr="004A5570" w:rsidRDefault="00236C42" w:rsidP="00061A78">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Максималната продължителност за изпълнението </w:t>
            </w:r>
            <w:r w:rsidR="00061A78" w:rsidRPr="00061A78">
              <w:rPr>
                <w:rFonts w:ascii="Times New Roman" w:hAnsi="Times New Roman" w:cs="Times New Roman"/>
                <w:sz w:val="24"/>
                <w:szCs w:val="24"/>
              </w:rPr>
              <w:t>на дейностите по малък пилотен проект е до 6 месеца</w:t>
            </w:r>
            <w:r w:rsidR="00061A78">
              <w:rPr>
                <w:rFonts w:ascii="Times New Roman" w:hAnsi="Times New Roman" w:cs="Times New Roman"/>
                <w:sz w:val="24"/>
                <w:szCs w:val="24"/>
              </w:rPr>
              <w:t>.</w:t>
            </w:r>
          </w:p>
        </w:tc>
        <w:tc>
          <w:tcPr>
            <w:tcW w:w="709" w:type="dxa"/>
          </w:tcPr>
          <w:p w14:paraId="2205C3C5"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52341549"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33217E9E"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92E4F" w:rsidRPr="004A5570" w14:paraId="208BF931" w14:textId="77777777" w:rsidTr="00C3347F">
        <w:tc>
          <w:tcPr>
            <w:tcW w:w="680" w:type="dxa"/>
            <w:tcBorders>
              <w:left w:val="single" w:sz="4" w:space="0" w:color="auto"/>
            </w:tcBorders>
            <w:vAlign w:val="center"/>
          </w:tcPr>
          <w:p w14:paraId="41A91202" w14:textId="77777777" w:rsidR="00B92E4F" w:rsidRPr="004A5570" w:rsidRDefault="00B92E4F"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0E24B883" w14:textId="77777777" w:rsidR="00B92E4F" w:rsidRPr="00E17331" w:rsidRDefault="00040758"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Pr>
                <w:rFonts w:ascii="Times New Roman" w:hAnsi="Times New Roman" w:cs="Times New Roman"/>
                <w:sz w:val="24"/>
                <w:szCs w:val="24"/>
              </w:rPr>
              <w:t>По отношение на кандидата</w:t>
            </w:r>
            <w:r w:rsidRPr="00040758">
              <w:rPr>
                <w:rFonts w:ascii="Times New Roman" w:hAnsi="Times New Roman" w:cs="Times New Roman"/>
                <w:sz w:val="24"/>
                <w:szCs w:val="24"/>
              </w:rPr>
              <w:t xml:space="preserve"> е установено, че не е създал изкуствено условия, необходими за получаване на предимство, в противоречие с целите на </w:t>
            </w:r>
            <w:r w:rsidRPr="00040758">
              <w:rPr>
                <w:rFonts w:ascii="Times New Roman" w:hAnsi="Times New Roman" w:cs="Times New Roman"/>
                <w:sz w:val="24"/>
                <w:szCs w:val="24"/>
              </w:rPr>
              <w:lastRenderedPageBreak/>
              <w:t>европейското право и българското законодателство в областта на допустимите за подпомагане дейности по Условия</w:t>
            </w:r>
            <w:r>
              <w:rPr>
                <w:rFonts w:ascii="Times New Roman" w:hAnsi="Times New Roman" w:cs="Times New Roman"/>
                <w:sz w:val="24"/>
                <w:szCs w:val="24"/>
              </w:rPr>
              <w:t>та</w:t>
            </w:r>
            <w:r w:rsidRPr="00040758">
              <w:rPr>
                <w:rFonts w:ascii="Times New Roman" w:hAnsi="Times New Roman" w:cs="Times New Roman"/>
                <w:sz w:val="24"/>
                <w:szCs w:val="24"/>
              </w:rPr>
              <w:t xml:space="preserve"> за кандидатстване.</w:t>
            </w:r>
          </w:p>
        </w:tc>
        <w:tc>
          <w:tcPr>
            <w:tcW w:w="709" w:type="dxa"/>
          </w:tcPr>
          <w:p w14:paraId="31C72EA4" w14:textId="77777777" w:rsidR="00B92E4F" w:rsidRPr="004A5570" w:rsidRDefault="00B92E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41551422" w14:textId="77777777" w:rsidR="00B92E4F" w:rsidRPr="004A5570" w:rsidRDefault="00B92E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7F22BEC" w14:textId="77777777" w:rsidR="00B92E4F" w:rsidRPr="004A5570" w:rsidRDefault="00B92E4F"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05561" w:rsidRPr="004A5570" w14:paraId="0BDA2279" w14:textId="77777777" w:rsidTr="00C3347F">
        <w:tc>
          <w:tcPr>
            <w:tcW w:w="680" w:type="dxa"/>
            <w:tcBorders>
              <w:left w:val="single" w:sz="4" w:space="0" w:color="auto"/>
            </w:tcBorders>
            <w:vAlign w:val="center"/>
          </w:tcPr>
          <w:p w14:paraId="34E39B67" w14:textId="77777777" w:rsidR="00705561" w:rsidRPr="004A5570" w:rsidRDefault="00705561" w:rsidP="00943770">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1ACD86A7" w14:textId="77777777" w:rsidR="00B55453" w:rsidRPr="00A438A4" w:rsidRDefault="00FF6FA1" w:rsidP="00933246">
            <w:pPr>
              <w:overflowPunct w:val="0"/>
              <w:autoSpaceDE w:val="0"/>
              <w:autoSpaceDN w:val="0"/>
              <w:adjustRightInd w:val="0"/>
              <w:spacing w:before="120" w:after="0"/>
              <w:jc w:val="both"/>
              <w:textAlignment w:val="baseline"/>
              <w:rPr>
                <w:rFonts w:ascii="Times New Roman" w:hAnsi="Times New Roman" w:cs="Times New Roman"/>
                <w:sz w:val="24"/>
                <w:szCs w:val="24"/>
                <w:shd w:val="clear" w:color="auto" w:fill="FEFEFE"/>
              </w:rPr>
            </w:pPr>
            <w:r w:rsidRPr="00A438A4">
              <w:rPr>
                <w:rFonts w:ascii="Times New Roman" w:hAnsi="Times New Roman" w:cs="Times New Roman"/>
                <w:sz w:val="24"/>
                <w:szCs w:val="24"/>
                <w:shd w:val="clear" w:color="auto" w:fill="FEFEFE"/>
              </w:rPr>
              <w:t>В случай на строително-монтажни дейности е налице съответствие между заявените от кандидата и реалните данни.</w:t>
            </w:r>
          </w:p>
          <w:p w14:paraId="53449E63" w14:textId="15DAD09A" w:rsidR="00705561" w:rsidRPr="004A5570" w:rsidRDefault="00FF6FA1"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A438A4">
              <w:rPr>
                <w:rFonts w:ascii="Times New Roman" w:hAnsi="Times New Roman" w:cs="Times New Roman"/>
                <w:sz w:val="24"/>
                <w:szCs w:val="24"/>
                <w:shd w:val="clear" w:color="auto" w:fill="FEFEFE"/>
              </w:rPr>
              <w:t>При преценка на комисията се извършва посещение на място от поне двама члена на комисията, в рамките на което се подписва протокол.</w:t>
            </w:r>
          </w:p>
        </w:tc>
        <w:tc>
          <w:tcPr>
            <w:tcW w:w="709" w:type="dxa"/>
          </w:tcPr>
          <w:p w14:paraId="0A7D253E"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7E0A76DD"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27EF717" w14:textId="77777777" w:rsidR="00705561" w:rsidRPr="004A5570" w:rsidRDefault="0070556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F6655" w:rsidRPr="004A5570" w14:paraId="58D7D742" w14:textId="77777777" w:rsidTr="00C3347F">
        <w:tc>
          <w:tcPr>
            <w:tcW w:w="680" w:type="dxa"/>
            <w:tcBorders>
              <w:left w:val="single" w:sz="4" w:space="0" w:color="auto"/>
            </w:tcBorders>
            <w:vAlign w:val="center"/>
          </w:tcPr>
          <w:p w14:paraId="4A692BD6" w14:textId="77777777" w:rsidR="00EF6655" w:rsidRPr="004A5570" w:rsidRDefault="00EF6655" w:rsidP="00EF6655">
            <w:pPr>
              <w:numPr>
                <w:ilvl w:val="0"/>
                <w:numId w:val="9"/>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5981" w:type="dxa"/>
            <w:vAlign w:val="center"/>
          </w:tcPr>
          <w:p w14:paraId="3FC38D34" w14:textId="77777777" w:rsidR="00EF6655" w:rsidRPr="00E17331" w:rsidRDefault="00EF6655"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Необходимо е извършването на корекции в бюджета на проектното предложение съгласно чл. 19, ал. 7 от ПМС № 162.</w:t>
            </w:r>
          </w:p>
        </w:tc>
        <w:tc>
          <w:tcPr>
            <w:tcW w:w="709" w:type="dxa"/>
          </w:tcPr>
          <w:p w14:paraId="4C0CE346" w14:textId="77777777" w:rsidR="00EF6655" w:rsidRPr="004A5570" w:rsidRDefault="00EF6655" w:rsidP="00973EB0">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2577D70A" w14:textId="77777777" w:rsidR="00EF6655" w:rsidRPr="004A5570" w:rsidRDefault="00EF6655" w:rsidP="00973EB0">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1814F9C" w14:textId="77777777" w:rsidR="00EF6655" w:rsidRPr="004A5570" w:rsidRDefault="00EF6655" w:rsidP="00973EB0">
            <w:pPr>
              <w:overflowPunct w:val="0"/>
              <w:autoSpaceDE w:val="0"/>
              <w:autoSpaceDN w:val="0"/>
              <w:adjustRightInd w:val="0"/>
              <w:spacing w:before="120" w:after="0"/>
              <w:textAlignment w:val="baseline"/>
              <w:rPr>
                <w:rFonts w:ascii="Times New Roman" w:hAnsi="Times New Roman" w:cs="Times New Roman"/>
                <w:sz w:val="24"/>
                <w:szCs w:val="24"/>
              </w:rPr>
            </w:pPr>
          </w:p>
        </w:tc>
      </w:tr>
    </w:tbl>
    <w:p w14:paraId="6B69D2AC" w14:textId="77777777" w:rsidR="004D1CA3" w:rsidRPr="004A5570" w:rsidRDefault="004D1CA3"/>
    <w:p w14:paraId="55C3F1AA" w14:textId="77777777" w:rsidR="00C3347F" w:rsidRPr="004A5570" w:rsidRDefault="00C3347F"/>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981"/>
        <w:gridCol w:w="709"/>
        <w:gridCol w:w="736"/>
        <w:gridCol w:w="1788"/>
      </w:tblGrid>
      <w:tr w:rsidR="00C3347F" w:rsidRPr="004A5570" w14:paraId="70159648" w14:textId="77777777" w:rsidTr="00973EB0">
        <w:tc>
          <w:tcPr>
            <w:tcW w:w="709" w:type="dxa"/>
            <w:tcBorders>
              <w:top w:val="nil"/>
              <w:left w:val="nil"/>
              <w:bottom w:val="single" w:sz="4" w:space="0" w:color="auto"/>
              <w:right w:val="single" w:sz="4" w:space="0" w:color="auto"/>
            </w:tcBorders>
            <w:vAlign w:val="center"/>
          </w:tcPr>
          <w:p w14:paraId="591AF739" w14:textId="77777777" w:rsidR="00C3347F" w:rsidRPr="004A5570" w:rsidRDefault="00C3347F" w:rsidP="00C3347F">
            <w:pPr>
              <w:tabs>
                <w:tab w:val="left" w:pos="0"/>
              </w:tabs>
              <w:overflowPunct w:val="0"/>
              <w:spacing w:before="120"/>
              <w:ind w:left="644"/>
              <w:textAlignment w:val="baseline"/>
              <w:rPr>
                <w:rFonts w:ascii="Times New Roman" w:hAnsi="Times New Roman" w:cs="Times New Roman"/>
                <w:b/>
                <w:sz w:val="24"/>
                <w:szCs w:val="24"/>
              </w:rPr>
            </w:pPr>
          </w:p>
        </w:tc>
        <w:tc>
          <w:tcPr>
            <w:tcW w:w="5981" w:type="dxa"/>
            <w:tcBorders>
              <w:top w:val="single" w:sz="4" w:space="0" w:color="auto"/>
              <w:left w:val="single" w:sz="4" w:space="0" w:color="auto"/>
              <w:bottom w:val="single" w:sz="4" w:space="0" w:color="auto"/>
              <w:right w:val="single" w:sz="4" w:space="0" w:color="auto"/>
            </w:tcBorders>
            <w:vAlign w:val="center"/>
          </w:tcPr>
          <w:p w14:paraId="7A8B3832" w14:textId="77777777" w:rsidR="00C3347F" w:rsidRPr="004A5570" w:rsidRDefault="00C3347F" w:rsidP="00C3347F">
            <w:pPr>
              <w:widowControl w:val="0"/>
              <w:autoSpaceDE w:val="0"/>
              <w:autoSpaceDN w:val="0"/>
              <w:adjustRightInd w:val="0"/>
              <w:spacing w:after="0" w:line="240" w:lineRule="auto"/>
              <w:jc w:val="both"/>
              <w:rPr>
                <w:rFonts w:ascii="Times New Roman" w:eastAsia="Times New Roman" w:hAnsi="Times New Roman" w:cs="Times New Roman"/>
                <w:b/>
                <w:sz w:val="24"/>
                <w:szCs w:val="24"/>
                <w:shd w:val="clear" w:color="auto" w:fill="FEFEFE"/>
              </w:rPr>
            </w:pPr>
            <w:r w:rsidRPr="004A5570">
              <w:rPr>
                <w:rFonts w:ascii="Times New Roman" w:eastAsia="Times New Roman" w:hAnsi="Times New Roman" w:cs="Times New Roman"/>
                <w:b/>
                <w:sz w:val="24"/>
                <w:szCs w:val="24"/>
                <w:shd w:val="clear" w:color="auto" w:fill="FEFEFE"/>
              </w:rPr>
              <w:t>ЗАКЛЮЧЕНИЯ:</w:t>
            </w:r>
          </w:p>
        </w:tc>
        <w:tc>
          <w:tcPr>
            <w:tcW w:w="709" w:type="dxa"/>
            <w:tcBorders>
              <w:top w:val="single" w:sz="4" w:space="0" w:color="auto"/>
              <w:left w:val="single" w:sz="4" w:space="0" w:color="auto"/>
              <w:bottom w:val="single" w:sz="4" w:space="0" w:color="auto"/>
              <w:right w:val="single" w:sz="4" w:space="0" w:color="auto"/>
            </w:tcBorders>
            <w:vAlign w:val="center"/>
          </w:tcPr>
          <w:p w14:paraId="49F7C4FC" w14:textId="77777777" w:rsidR="00C3347F" w:rsidRPr="004A5570" w:rsidRDefault="00C3347F" w:rsidP="00C3347F">
            <w:pPr>
              <w:widowControl w:val="0"/>
              <w:autoSpaceDE w:val="0"/>
              <w:autoSpaceDN w:val="0"/>
              <w:adjustRightInd w:val="0"/>
              <w:spacing w:after="0" w:line="240" w:lineRule="auto"/>
              <w:rPr>
                <w:rFonts w:ascii="Times New Roman" w:eastAsia="Times New Roman" w:hAnsi="Times New Roman" w:cs="Times New Roman"/>
                <w:b/>
                <w:sz w:val="24"/>
                <w:szCs w:val="24"/>
              </w:rPr>
            </w:pPr>
            <w:r w:rsidRPr="004A5570">
              <w:rPr>
                <w:rFonts w:ascii="Times New Roman" w:eastAsia="Times New Roman" w:hAnsi="Times New Roman" w:cs="Times New Roman"/>
                <w:b/>
                <w:sz w:val="24"/>
                <w:szCs w:val="24"/>
              </w:rPr>
              <w:t>ДА</w:t>
            </w:r>
          </w:p>
        </w:tc>
        <w:tc>
          <w:tcPr>
            <w:tcW w:w="736" w:type="dxa"/>
            <w:tcBorders>
              <w:top w:val="single" w:sz="4" w:space="0" w:color="auto"/>
              <w:left w:val="single" w:sz="4" w:space="0" w:color="auto"/>
              <w:bottom w:val="single" w:sz="4" w:space="0" w:color="auto"/>
              <w:right w:val="single" w:sz="4" w:space="0" w:color="auto"/>
            </w:tcBorders>
            <w:vAlign w:val="center"/>
          </w:tcPr>
          <w:p w14:paraId="414CC3E6" w14:textId="77777777" w:rsidR="00C3347F" w:rsidRPr="004A5570" w:rsidRDefault="00C3347F" w:rsidP="00C3347F">
            <w:pPr>
              <w:widowControl w:val="0"/>
              <w:autoSpaceDE w:val="0"/>
              <w:autoSpaceDN w:val="0"/>
              <w:adjustRightInd w:val="0"/>
              <w:spacing w:after="0" w:line="240" w:lineRule="auto"/>
              <w:rPr>
                <w:rFonts w:ascii="Times New Roman" w:eastAsia="Times New Roman" w:hAnsi="Times New Roman" w:cs="Times New Roman"/>
                <w:b/>
                <w:sz w:val="24"/>
                <w:szCs w:val="24"/>
              </w:rPr>
            </w:pPr>
            <w:r w:rsidRPr="004A5570">
              <w:rPr>
                <w:rFonts w:ascii="Times New Roman" w:eastAsia="Times New Roman" w:hAnsi="Times New Roman" w:cs="Times New Roman"/>
                <w:b/>
                <w:sz w:val="24"/>
                <w:szCs w:val="24"/>
              </w:rPr>
              <w:t>НЕ</w:t>
            </w:r>
          </w:p>
        </w:tc>
        <w:tc>
          <w:tcPr>
            <w:tcW w:w="1788" w:type="dxa"/>
            <w:tcBorders>
              <w:top w:val="single" w:sz="4" w:space="0" w:color="auto"/>
              <w:left w:val="single" w:sz="4" w:space="0" w:color="auto"/>
              <w:bottom w:val="single" w:sz="4" w:space="0" w:color="auto"/>
              <w:right w:val="single" w:sz="4" w:space="0" w:color="auto"/>
            </w:tcBorders>
            <w:vAlign w:val="center"/>
          </w:tcPr>
          <w:p w14:paraId="39042BEB" w14:textId="77777777" w:rsidR="00C3347F" w:rsidRPr="004A5570" w:rsidRDefault="00C3347F" w:rsidP="00C3347F">
            <w:pPr>
              <w:widowControl w:val="0"/>
              <w:autoSpaceDE w:val="0"/>
              <w:autoSpaceDN w:val="0"/>
              <w:adjustRightInd w:val="0"/>
              <w:spacing w:after="0" w:line="240" w:lineRule="auto"/>
              <w:rPr>
                <w:rFonts w:ascii="Times New Roman" w:eastAsia="Times New Roman" w:hAnsi="Times New Roman" w:cs="Times New Roman"/>
                <w:b/>
                <w:sz w:val="24"/>
                <w:szCs w:val="24"/>
              </w:rPr>
            </w:pPr>
            <w:r w:rsidRPr="004A5570">
              <w:rPr>
                <w:rFonts w:ascii="Times New Roman" w:eastAsia="Times New Roman" w:hAnsi="Times New Roman" w:cs="Times New Roman"/>
                <w:b/>
                <w:sz w:val="24"/>
                <w:szCs w:val="24"/>
              </w:rPr>
              <w:t>Неприложимо</w:t>
            </w:r>
          </w:p>
        </w:tc>
      </w:tr>
      <w:tr w:rsidR="00C3347F" w:rsidRPr="004A5570" w14:paraId="771F6813" w14:textId="77777777" w:rsidTr="00973EB0">
        <w:tc>
          <w:tcPr>
            <w:tcW w:w="709" w:type="dxa"/>
            <w:tcBorders>
              <w:top w:val="single" w:sz="4" w:space="0" w:color="auto"/>
              <w:left w:val="single" w:sz="4" w:space="0" w:color="auto"/>
              <w:bottom w:val="single" w:sz="4" w:space="0" w:color="auto"/>
              <w:right w:val="single" w:sz="4" w:space="0" w:color="auto"/>
            </w:tcBorders>
            <w:vAlign w:val="center"/>
          </w:tcPr>
          <w:p w14:paraId="0733460A" w14:textId="77777777" w:rsidR="00C3347F" w:rsidRPr="00E17331" w:rsidRDefault="00C3347F" w:rsidP="00C3347F">
            <w:pPr>
              <w:widowControl w:val="0"/>
              <w:numPr>
                <w:ilvl w:val="0"/>
                <w:numId w:val="11"/>
              </w:numPr>
              <w:tabs>
                <w:tab w:val="left" w:pos="0"/>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5981" w:type="dxa"/>
            <w:tcBorders>
              <w:top w:val="single" w:sz="4" w:space="0" w:color="auto"/>
              <w:left w:val="single" w:sz="4" w:space="0" w:color="auto"/>
              <w:bottom w:val="single" w:sz="4" w:space="0" w:color="auto"/>
              <w:right w:val="single" w:sz="4" w:space="0" w:color="auto"/>
            </w:tcBorders>
            <w:vAlign w:val="center"/>
          </w:tcPr>
          <w:p w14:paraId="5512A71A" w14:textId="77777777" w:rsidR="00C3347F" w:rsidRPr="00E17331" w:rsidRDefault="00C3347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Налице е необходимост за изпращане на уведомление до МИГ във връзка с констатирани липса на документи и/или неяснота, или неточност на представените документи;</w:t>
            </w:r>
          </w:p>
        </w:tc>
        <w:tc>
          <w:tcPr>
            <w:tcW w:w="709" w:type="dxa"/>
            <w:tcBorders>
              <w:top w:val="single" w:sz="4" w:space="0" w:color="auto"/>
              <w:left w:val="single" w:sz="4" w:space="0" w:color="auto"/>
            </w:tcBorders>
          </w:tcPr>
          <w:p w14:paraId="47A1767F" w14:textId="77777777" w:rsidR="00C3347F" w:rsidRPr="00E17331"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Borders>
              <w:top w:val="single" w:sz="4" w:space="0" w:color="auto"/>
            </w:tcBorders>
          </w:tcPr>
          <w:p w14:paraId="184BCF1D" w14:textId="77777777" w:rsidR="00C3347F" w:rsidRPr="00E17331"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Borders>
              <w:top w:val="single" w:sz="4" w:space="0" w:color="auto"/>
            </w:tcBorders>
          </w:tcPr>
          <w:p w14:paraId="2F55515F" w14:textId="77777777" w:rsidR="00C3347F" w:rsidRPr="00E17331"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r>
      <w:tr w:rsidR="00C3347F" w:rsidRPr="004A5570" w14:paraId="6A22728C" w14:textId="77777777" w:rsidTr="00973EB0">
        <w:tc>
          <w:tcPr>
            <w:tcW w:w="709" w:type="dxa"/>
            <w:tcBorders>
              <w:top w:val="single" w:sz="4" w:space="0" w:color="auto"/>
              <w:left w:val="single" w:sz="4" w:space="0" w:color="auto"/>
            </w:tcBorders>
            <w:vAlign w:val="center"/>
          </w:tcPr>
          <w:p w14:paraId="0AE89472" w14:textId="77777777" w:rsidR="00C3347F" w:rsidRPr="00E17331" w:rsidRDefault="00C3347F" w:rsidP="00C3347F">
            <w:pPr>
              <w:widowControl w:val="0"/>
              <w:numPr>
                <w:ilvl w:val="0"/>
                <w:numId w:val="11"/>
              </w:numPr>
              <w:tabs>
                <w:tab w:val="left" w:pos="0"/>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5981" w:type="dxa"/>
            <w:tcBorders>
              <w:top w:val="single" w:sz="4" w:space="0" w:color="auto"/>
            </w:tcBorders>
            <w:vAlign w:val="center"/>
          </w:tcPr>
          <w:p w14:paraId="1793907D" w14:textId="77777777" w:rsidR="00C3347F" w:rsidRPr="004A5570" w:rsidRDefault="00C3347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 xml:space="preserve">В случай на изпратено уведомление до МИГ във връзка с констатирани липса на документи и/или неяснота, или неточност на представените документи МИГ е представил чрез ИСУН допълнителната информация и/или документи </w:t>
            </w:r>
            <w:r w:rsidRPr="008B4A38">
              <w:rPr>
                <w:rFonts w:ascii="Times New Roman" w:hAnsi="Times New Roman" w:cs="Times New Roman"/>
                <w:sz w:val="24"/>
                <w:szCs w:val="24"/>
              </w:rPr>
              <w:t>в срок до 10 работни дни от</w:t>
            </w:r>
            <w:r w:rsidRPr="00E17331">
              <w:rPr>
                <w:rFonts w:ascii="Times New Roman" w:hAnsi="Times New Roman" w:cs="Times New Roman"/>
                <w:sz w:val="24"/>
                <w:szCs w:val="24"/>
              </w:rPr>
              <w:t xml:space="preserve"> датата на уведомяването.</w:t>
            </w:r>
          </w:p>
        </w:tc>
        <w:tc>
          <w:tcPr>
            <w:tcW w:w="709" w:type="dxa"/>
          </w:tcPr>
          <w:p w14:paraId="131AD24C"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07025AA5"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005C25CA"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r>
      <w:tr w:rsidR="00C3347F" w:rsidRPr="004A5570" w14:paraId="0C86B77F" w14:textId="77777777" w:rsidTr="00973EB0">
        <w:tc>
          <w:tcPr>
            <w:tcW w:w="709" w:type="dxa"/>
            <w:tcBorders>
              <w:left w:val="single" w:sz="4" w:space="0" w:color="auto"/>
            </w:tcBorders>
            <w:vAlign w:val="center"/>
          </w:tcPr>
          <w:p w14:paraId="46915F98" w14:textId="77777777" w:rsidR="00C3347F" w:rsidRPr="00E17331" w:rsidRDefault="00C3347F" w:rsidP="00C3347F">
            <w:pPr>
              <w:widowControl w:val="0"/>
              <w:numPr>
                <w:ilvl w:val="0"/>
                <w:numId w:val="11"/>
              </w:numPr>
              <w:tabs>
                <w:tab w:val="left" w:pos="0"/>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5981" w:type="dxa"/>
            <w:vAlign w:val="center"/>
          </w:tcPr>
          <w:p w14:paraId="520D2050" w14:textId="77777777" w:rsidR="00C3347F" w:rsidRPr="00E17331" w:rsidRDefault="00C3347F" w:rsidP="00933246">
            <w:pPr>
              <w:overflowPunct w:val="0"/>
              <w:autoSpaceDE w:val="0"/>
              <w:autoSpaceDN w:val="0"/>
              <w:adjustRightInd w:val="0"/>
              <w:spacing w:before="120" w:after="0"/>
              <w:jc w:val="both"/>
              <w:textAlignment w:val="baseline"/>
              <w:rPr>
                <w:rFonts w:ascii="Times New Roman" w:hAnsi="Times New Roman" w:cs="Times New Roman"/>
                <w:sz w:val="24"/>
                <w:szCs w:val="24"/>
              </w:rPr>
            </w:pPr>
            <w:r w:rsidRPr="00E17331">
              <w:rPr>
                <w:rFonts w:ascii="Times New Roman" w:hAnsi="Times New Roman" w:cs="Times New Roman"/>
                <w:sz w:val="24"/>
                <w:szCs w:val="24"/>
              </w:rPr>
              <w:t>Проектното предложение преминава етап на административно съответствие и допустимост</w:t>
            </w:r>
          </w:p>
        </w:tc>
        <w:tc>
          <w:tcPr>
            <w:tcW w:w="709" w:type="dxa"/>
          </w:tcPr>
          <w:p w14:paraId="5C9D6B96"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736" w:type="dxa"/>
          </w:tcPr>
          <w:p w14:paraId="1E35411F"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c>
          <w:tcPr>
            <w:tcW w:w="1788" w:type="dxa"/>
          </w:tcPr>
          <w:p w14:paraId="7C0FFDC0" w14:textId="77777777" w:rsidR="00C3347F" w:rsidRPr="004A5570" w:rsidRDefault="00C3347F" w:rsidP="00C3347F">
            <w:pPr>
              <w:overflowPunct w:val="0"/>
              <w:autoSpaceDE w:val="0"/>
              <w:autoSpaceDN w:val="0"/>
              <w:adjustRightInd w:val="0"/>
              <w:spacing w:before="120" w:after="0"/>
              <w:textAlignment w:val="baseline"/>
              <w:rPr>
                <w:rFonts w:ascii="Times New Roman" w:hAnsi="Times New Roman" w:cs="Times New Roman"/>
                <w:sz w:val="24"/>
                <w:szCs w:val="24"/>
              </w:rPr>
            </w:pPr>
          </w:p>
        </w:tc>
      </w:tr>
    </w:tbl>
    <w:p w14:paraId="273A49A5" w14:textId="77777777" w:rsidR="00C3347F" w:rsidRPr="004A5570" w:rsidRDefault="00C3347F"/>
    <w:sectPr w:rsidR="00C3347F" w:rsidRPr="004A5570" w:rsidSect="000C538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9B73A" w14:textId="77777777" w:rsidR="00CE0A6B" w:rsidRDefault="00CE0A6B" w:rsidP="001652A7">
      <w:pPr>
        <w:spacing w:after="0" w:line="240" w:lineRule="auto"/>
      </w:pPr>
      <w:r>
        <w:separator/>
      </w:r>
    </w:p>
  </w:endnote>
  <w:endnote w:type="continuationSeparator" w:id="0">
    <w:p w14:paraId="59E79CE4" w14:textId="77777777" w:rsidR="00CE0A6B" w:rsidRDefault="00CE0A6B" w:rsidP="0016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461839"/>
      <w:docPartObj>
        <w:docPartGallery w:val="Page Numbers (Bottom of Page)"/>
        <w:docPartUnique/>
      </w:docPartObj>
    </w:sdtPr>
    <w:sdtEndPr>
      <w:rPr>
        <w:noProof/>
      </w:rPr>
    </w:sdtEndPr>
    <w:sdtContent>
      <w:p w14:paraId="19C03912" w14:textId="3BB4D01B" w:rsidR="007C32B5" w:rsidRDefault="00FF6FA1">
        <w:pPr>
          <w:pStyle w:val="Footer"/>
          <w:jc w:val="right"/>
        </w:pPr>
        <w:r>
          <w:fldChar w:fldCharType="begin"/>
        </w:r>
        <w:r w:rsidR="007C32B5">
          <w:instrText xml:space="preserve"> PAGE   \* MERGEFORMAT </w:instrText>
        </w:r>
        <w:r>
          <w:fldChar w:fldCharType="separate"/>
        </w:r>
        <w:r w:rsidR="005728CC">
          <w:rPr>
            <w:noProof/>
          </w:rPr>
          <w:t>10</w:t>
        </w:r>
        <w:r>
          <w:rPr>
            <w:noProof/>
          </w:rPr>
          <w:fldChar w:fldCharType="end"/>
        </w:r>
      </w:p>
    </w:sdtContent>
  </w:sdt>
  <w:p w14:paraId="7E5A1ED5" w14:textId="77777777" w:rsidR="007C32B5" w:rsidRDefault="007C3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EBE51" w14:textId="77777777" w:rsidR="00CE0A6B" w:rsidRDefault="00CE0A6B" w:rsidP="001652A7">
      <w:pPr>
        <w:spacing w:after="0" w:line="240" w:lineRule="auto"/>
      </w:pPr>
      <w:r>
        <w:separator/>
      </w:r>
    </w:p>
  </w:footnote>
  <w:footnote w:type="continuationSeparator" w:id="0">
    <w:p w14:paraId="2A39D0C9" w14:textId="77777777" w:rsidR="00CE0A6B" w:rsidRDefault="00CE0A6B" w:rsidP="001652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36A7D"/>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nsid w:val="22931AD7"/>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nsid w:val="25E85BB1"/>
    <w:multiLevelType w:val="hybridMultilevel"/>
    <w:tmpl w:val="FF282CC6"/>
    <w:lvl w:ilvl="0" w:tplc="0402000F">
      <w:start w:val="1"/>
      <w:numFmt w:val="decimal"/>
      <w:lvlText w:val="%1."/>
      <w:lvlJc w:val="left"/>
      <w:pPr>
        <w:tabs>
          <w:tab w:val="num" w:pos="360"/>
        </w:tabs>
        <w:ind w:left="36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nsid w:val="3547126F"/>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35D8693C"/>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3E0E5AE6"/>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FA251B"/>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43B94692"/>
    <w:multiLevelType w:val="hybridMultilevel"/>
    <w:tmpl w:val="3FDC269A"/>
    <w:lvl w:ilvl="0" w:tplc="87C4021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0AC2EB8"/>
    <w:multiLevelType w:val="hybridMultilevel"/>
    <w:tmpl w:val="BAD4F41C"/>
    <w:lvl w:ilvl="0" w:tplc="0402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D583347"/>
    <w:multiLevelType w:val="hybridMultilevel"/>
    <w:tmpl w:val="BDB670E6"/>
    <w:lvl w:ilvl="0" w:tplc="6ACEC67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64974BFA"/>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0"/>
  </w:num>
  <w:num w:numId="3">
    <w:abstractNumId w:val="7"/>
  </w:num>
  <w:num w:numId="4">
    <w:abstractNumId w:val="4"/>
  </w:num>
  <w:num w:numId="5">
    <w:abstractNumId w:val="0"/>
  </w:num>
  <w:num w:numId="6">
    <w:abstractNumId w:val="5"/>
  </w:num>
  <w:num w:numId="7">
    <w:abstractNumId w:val="9"/>
  </w:num>
  <w:num w:numId="8">
    <w:abstractNumId w:val="8"/>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F22"/>
    <w:rsid w:val="000003DB"/>
    <w:rsid w:val="0000588B"/>
    <w:rsid w:val="000115C1"/>
    <w:rsid w:val="00013852"/>
    <w:rsid w:val="00020465"/>
    <w:rsid w:val="000257B5"/>
    <w:rsid w:val="00040537"/>
    <w:rsid w:val="00040758"/>
    <w:rsid w:val="00041B30"/>
    <w:rsid w:val="00045FF3"/>
    <w:rsid w:val="00061A78"/>
    <w:rsid w:val="00075C08"/>
    <w:rsid w:val="00083271"/>
    <w:rsid w:val="00086EA8"/>
    <w:rsid w:val="000B09C4"/>
    <w:rsid w:val="000B4100"/>
    <w:rsid w:val="000C1A5E"/>
    <w:rsid w:val="000C538E"/>
    <w:rsid w:val="0013383B"/>
    <w:rsid w:val="0014619B"/>
    <w:rsid w:val="0015449E"/>
    <w:rsid w:val="00156EAC"/>
    <w:rsid w:val="001652A7"/>
    <w:rsid w:val="001672A4"/>
    <w:rsid w:val="001777A2"/>
    <w:rsid w:val="001836F2"/>
    <w:rsid w:val="00186818"/>
    <w:rsid w:val="00193DDC"/>
    <w:rsid w:val="001A79D7"/>
    <w:rsid w:val="001B21C8"/>
    <w:rsid w:val="001C7410"/>
    <w:rsid w:val="001C7A6B"/>
    <w:rsid w:val="001E2FAA"/>
    <w:rsid w:val="001E413E"/>
    <w:rsid w:val="001F535F"/>
    <w:rsid w:val="00206569"/>
    <w:rsid w:val="00211FF8"/>
    <w:rsid w:val="002264C4"/>
    <w:rsid w:val="00236C42"/>
    <w:rsid w:val="00267BA6"/>
    <w:rsid w:val="002877C5"/>
    <w:rsid w:val="00290254"/>
    <w:rsid w:val="002A4F22"/>
    <w:rsid w:val="002B3953"/>
    <w:rsid w:val="002C0D58"/>
    <w:rsid w:val="002C1BB7"/>
    <w:rsid w:val="002D0AAF"/>
    <w:rsid w:val="002D1E25"/>
    <w:rsid w:val="002D4963"/>
    <w:rsid w:val="002F1322"/>
    <w:rsid w:val="002F3647"/>
    <w:rsid w:val="00303660"/>
    <w:rsid w:val="003059C3"/>
    <w:rsid w:val="00310C53"/>
    <w:rsid w:val="003220A2"/>
    <w:rsid w:val="00327726"/>
    <w:rsid w:val="0034394B"/>
    <w:rsid w:val="0035656E"/>
    <w:rsid w:val="003821BB"/>
    <w:rsid w:val="004172DA"/>
    <w:rsid w:val="0043109E"/>
    <w:rsid w:val="00444F35"/>
    <w:rsid w:val="004531AC"/>
    <w:rsid w:val="00470271"/>
    <w:rsid w:val="00482003"/>
    <w:rsid w:val="00483803"/>
    <w:rsid w:val="00485354"/>
    <w:rsid w:val="00497F2B"/>
    <w:rsid w:val="004A5570"/>
    <w:rsid w:val="004B464B"/>
    <w:rsid w:val="004D1CA3"/>
    <w:rsid w:val="004D239B"/>
    <w:rsid w:val="004D3F6C"/>
    <w:rsid w:val="004D6BBF"/>
    <w:rsid w:val="004E4941"/>
    <w:rsid w:val="004F63C3"/>
    <w:rsid w:val="00517298"/>
    <w:rsid w:val="0052483C"/>
    <w:rsid w:val="0054577A"/>
    <w:rsid w:val="0055326D"/>
    <w:rsid w:val="005703E3"/>
    <w:rsid w:val="00571089"/>
    <w:rsid w:val="005728CC"/>
    <w:rsid w:val="00584C31"/>
    <w:rsid w:val="005879BD"/>
    <w:rsid w:val="005A43ED"/>
    <w:rsid w:val="005E0448"/>
    <w:rsid w:val="005F4ACC"/>
    <w:rsid w:val="00607DA8"/>
    <w:rsid w:val="006530D1"/>
    <w:rsid w:val="00664D91"/>
    <w:rsid w:val="006662EA"/>
    <w:rsid w:val="00687427"/>
    <w:rsid w:val="00690140"/>
    <w:rsid w:val="006E43D9"/>
    <w:rsid w:val="006F1810"/>
    <w:rsid w:val="006F530C"/>
    <w:rsid w:val="007052A7"/>
    <w:rsid w:val="00705487"/>
    <w:rsid w:val="00705561"/>
    <w:rsid w:val="00717A2D"/>
    <w:rsid w:val="00726F3A"/>
    <w:rsid w:val="007273C8"/>
    <w:rsid w:val="00730EEA"/>
    <w:rsid w:val="007446C7"/>
    <w:rsid w:val="0074611D"/>
    <w:rsid w:val="0075467E"/>
    <w:rsid w:val="00763FF3"/>
    <w:rsid w:val="00786140"/>
    <w:rsid w:val="00792D94"/>
    <w:rsid w:val="007B31EA"/>
    <w:rsid w:val="007B3F88"/>
    <w:rsid w:val="007C32B5"/>
    <w:rsid w:val="007E035D"/>
    <w:rsid w:val="007E42BC"/>
    <w:rsid w:val="007E4B7E"/>
    <w:rsid w:val="007F5901"/>
    <w:rsid w:val="0080112A"/>
    <w:rsid w:val="00804372"/>
    <w:rsid w:val="00827846"/>
    <w:rsid w:val="00850029"/>
    <w:rsid w:val="008518D9"/>
    <w:rsid w:val="008537C2"/>
    <w:rsid w:val="00885C95"/>
    <w:rsid w:val="008917EC"/>
    <w:rsid w:val="008B4A38"/>
    <w:rsid w:val="008C4A0B"/>
    <w:rsid w:val="008D3AC3"/>
    <w:rsid w:val="008D3FC9"/>
    <w:rsid w:val="008E6F01"/>
    <w:rsid w:val="008E76F6"/>
    <w:rsid w:val="00904E6E"/>
    <w:rsid w:val="00913112"/>
    <w:rsid w:val="00933246"/>
    <w:rsid w:val="00943770"/>
    <w:rsid w:val="00952584"/>
    <w:rsid w:val="0095555B"/>
    <w:rsid w:val="009A3E7C"/>
    <w:rsid w:val="009C7E0E"/>
    <w:rsid w:val="009D375A"/>
    <w:rsid w:val="00A438A4"/>
    <w:rsid w:val="00A77F2C"/>
    <w:rsid w:val="00A82E64"/>
    <w:rsid w:val="00A84684"/>
    <w:rsid w:val="00A96EBC"/>
    <w:rsid w:val="00A970CB"/>
    <w:rsid w:val="00AC18C2"/>
    <w:rsid w:val="00AD605F"/>
    <w:rsid w:val="00AE12DA"/>
    <w:rsid w:val="00B06B95"/>
    <w:rsid w:val="00B15F22"/>
    <w:rsid w:val="00B17AC7"/>
    <w:rsid w:val="00B43A67"/>
    <w:rsid w:val="00B51AB3"/>
    <w:rsid w:val="00B54BD9"/>
    <w:rsid w:val="00B55453"/>
    <w:rsid w:val="00B55B76"/>
    <w:rsid w:val="00B775AE"/>
    <w:rsid w:val="00B92E4F"/>
    <w:rsid w:val="00BA6735"/>
    <w:rsid w:val="00BE2307"/>
    <w:rsid w:val="00BF67AF"/>
    <w:rsid w:val="00C0665C"/>
    <w:rsid w:val="00C173AA"/>
    <w:rsid w:val="00C305FB"/>
    <w:rsid w:val="00C3347F"/>
    <w:rsid w:val="00C56AA1"/>
    <w:rsid w:val="00C808F0"/>
    <w:rsid w:val="00C876C1"/>
    <w:rsid w:val="00CA1293"/>
    <w:rsid w:val="00CB17C7"/>
    <w:rsid w:val="00CB411F"/>
    <w:rsid w:val="00CC6864"/>
    <w:rsid w:val="00CD6FBF"/>
    <w:rsid w:val="00CE0A6B"/>
    <w:rsid w:val="00CE23A1"/>
    <w:rsid w:val="00D14421"/>
    <w:rsid w:val="00D22F2A"/>
    <w:rsid w:val="00D46F45"/>
    <w:rsid w:val="00D70295"/>
    <w:rsid w:val="00D810FD"/>
    <w:rsid w:val="00DB66D7"/>
    <w:rsid w:val="00DB6FFB"/>
    <w:rsid w:val="00DC5DE5"/>
    <w:rsid w:val="00DD47BF"/>
    <w:rsid w:val="00DD6807"/>
    <w:rsid w:val="00DF01C5"/>
    <w:rsid w:val="00DF51DA"/>
    <w:rsid w:val="00E10D3A"/>
    <w:rsid w:val="00E15878"/>
    <w:rsid w:val="00E17331"/>
    <w:rsid w:val="00E17B20"/>
    <w:rsid w:val="00E228FC"/>
    <w:rsid w:val="00E42E61"/>
    <w:rsid w:val="00E45868"/>
    <w:rsid w:val="00E52E84"/>
    <w:rsid w:val="00E55ACF"/>
    <w:rsid w:val="00E823D0"/>
    <w:rsid w:val="00E868AF"/>
    <w:rsid w:val="00EB013D"/>
    <w:rsid w:val="00EB23EC"/>
    <w:rsid w:val="00EC50C2"/>
    <w:rsid w:val="00ED6EA6"/>
    <w:rsid w:val="00EE7EAB"/>
    <w:rsid w:val="00EF6655"/>
    <w:rsid w:val="00F13562"/>
    <w:rsid w:val="00F26749"/>
    <w:rsid w:val="00F41123"/>
    <w:rsid w:val="00F46C50"/>
    <w:rsid w:val="00F536BA"/>
    <w:rsid w:val="00F90D2D"/>
    <w:rsid w:val="00FC44A4"/>
    <w:rsid w:val="00FE73D2"/>
    <w:rsid w:val="00FE74C7"/>
    <w:rsid w:val="00FF07B9"/>
    <w:rsid w:val="00FF3729"/>
    <w:rsid w:val="00FF3DC4"/>
    <w:rsid w:val="00FF6FA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4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rsid w:val="00705561"/>
    <w:pPr>
      <w:ind w:left="720"/>
      <w:contextualSpacing/>
    </w:p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locked/>
    <w:rsid w:val="00705561"/>
  </w:style>
  <w:style w:type="paragraph" w:styleId="BalloonText">
    <w:name w:val="Balloon Text"/>
    <w:basedOn w:val="Normal"/>
    <w:link w:val="BalloonTextChar"/>
    <w:uiPriority w:val="99"/>
    <w:semiHidden/>
    <w:unhideWhenUsed/>
    <w:rsid w:val="00705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561"/>
    <w:rPr>
      <w:rFonts w:ascii="Tahoma" w:hAnsi="Tahoma" w:cs="Tahoma"/>
      <w:sz w:val="16"/>
      <w:szCs w:val="16"/>
    </w:rPr>
  </w:style>
  <w:style w:type="paragraph" w:styleId="Header">
    <w:name w:val="header"/>
    <w:basedOn w:val="Normal"/>
    <w:link w:val="HeaderChar"/>
    <w:uiPriority w:val="99"/>
    <w:unhideWhenUsed/>
    <w:rsid w:val="001652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52A7"/>
  </w:style>
  <w:style w:type="paragraph" w:styleId="Footer">
    <w:name w:val="footer"/>
    <w:basedOn w:val="Normal"/>
    <w:link w:val="FooterChar"/>
    <w:uiPriority w:val="99"/>
    <w:unhideWhenUsed/>
    <w:rsid w:val="001652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52A7"/>
  </w:style>
  <w:style w:type="paragraph" w:styleId="Revision">
    <w:name w:val="Revision"/>
    <w:hidden/>
    <w:uiPriority w:val="99"/>
    <w:semiHidden/>
    <w:rsid w:val="00FC44A4"/>
    <w:pPr>
      <w:spacing w:after="0" w:line="240" w:lineRule="auto"/>
    </w:pPr>
  </w:style>
  <w:style w:type="character" w:styleId="CommentReference">
    <w:name w:val="annotation reference"/>
    <w:basedOn w:val="DefaultParagraphFont"/>
    <w:uiPriority w:val="99"/>
    <w:semiHidden/>
    <w:unhideWhenUsed/>
    <w:rsid w:val="008537C2"/>
    <w:rPr>
      <w:sz w:val="16"/>
      <w:szCs w:val="16"/>
    </w:rPr>
  </w:style>
  <w:style w:type="paragraph" w:styleId="CommentText">
    <w:name w:val="annotation text"/>
    <w:basedOn w:val="Normal"/>
    <w:link w:val="CommentTextChar"/>
    <w:uiPriority w:val="99"/>
    <w:semiHidden/>
    <w:unhideWhenUsed/>
    <w:rsid w:val="008537C2"/>
    <w:pPr>
      <w:spacing w:line="240" w:lineRule="auto"/>
    </w:pPr>
    <w:rPr>
      <w:sz w:val="20"/>
      <w:szCs w:val="20"/>
    </w:rPr>
  </w:style>
  <w:style w:type="character" w:customStyle="1" w:styleId="CommentTextChar">
    <w:name w:val="Comment Text Char"/>
    <w:basedOn w:val="DefaultParagraphFont"/>
    <w:link w:val="CommentText"/>
    <w:uiPriority w:val="99"/>
    <w:semiHidden/>
    <w:rsid w:val="008537C2"/>
    <w:rPr>
      <w:sz w:val="20"/>
      <w:szCs w:val="20"/>
    </w:rPr>
  </w:style>
  <w:style w:type="paragraph" w:styleId="CommentSubject">
    <w:name w:val="annotation subject"/>
    <w:basedOn w:val="CommentText"/>
    <w:next w:val="CommentText"/>
    <w:link w:val="CommentSubjectChar"/>
    <w:uiPriority w:val="99"/>
    <w:semiHidden/>
    <w:unhideWhenUsed/>
    <w:rsid w:val="008537C2"/>
    <w:rPr>
      <w:b/>
      <w:bCs/>
    </w:rPr>
  </w:style>
  <w:style w:type="character" w:customStyle="1" w:styleId="CommentSubjectChar">
    <w:name w:val="Comment Subject Char"/>
    <w:basedOn w:val="CommentTextChar"/>
    <w:link w:val="CommentSubject"/>
    <w:uiPriority w:val="99"/>
    <w:semiHidden/>
    <w:rsid w:val="008537C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rsid w:val="00705561"/>
    <w:pPr>
      <w:ind w:left="720"/>
      <w:contextualSpacing/>
    </w:p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locked/>
    <w:rsid w:val="00705561"/>
  </w:style>
  <w:style w:type="paragraph" w:styleId="BalloonText">
    <w:name w:val="Balloon Text"/>
    <w:basedOn w:val="Normal"/>
    <w:link w:val="BalloonTextChar"/>
    <w:uiPriority w:val="99"/>
    <w:semiHidden/>
    <w:unhideWhenUsed/>
    <w:rsid w:val="00705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561"/>
    <w:rPr>
      <w:rFonts w:ascii="Tahoma" w:hAnsi="Tahoma" w:cs="Tahoma"/>
      <w:sz w:val="16"/>
      <w:szCs w:val="16"/>
    </w:rPr>
  </w:style>
  <w:style w:type="paragraph" w:styleId="Header">
    <w:name w:val="header"/>
    <w:basedOn w:val="Normal"/>
    <w:link w:val="HeaderChar"/>
    <w:uiPriority w:val="99"/>
    <w:unhideWhenUsed/>
    <w:rsid w:val="001652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52A7"/>
  </w:style>
  <w:style w:type="paragraph" w:styleId="Footer">
    <w:name w:val="footer"/>
    <w:basedOn w:val="Normal"/>
    <w:link w:val="FooterChar"/>
    <w:uiPriority w:val="99"/>
    <w:unhideWhenUsed/>
    <w:rsid w:val="001652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52A7"/>
  </w:style>
  <w:style w:type="paragraph" w:styleId="Revision">
    <w:name w:val="Revision"/>
    <w:hidden/>
    <w:uiPriority w:val="99"/>
    <w:semiHidden/>
    <w:rsid w:val="00FC44A4"/>
    <w:pPr>
      <w:spacing w:after="0" w:line="240" w:lineRule="auto"/>
    </w:pPr>
  </w:style>
  <w:style w:type="character" w:styleId="CommentReference">
    <w:name w:val="annotation reference"/>
    <w:basedOn w:val="DefaultParagraphFont"/>
    <w:uiPriority w:val="99"/>
    <w:semiHidden/>
    <w:unhideWhenUsed/>
    <w:rsid w:val="008537C2"/>
    <w:rPr>
      <w:sz w:val="16"/>
      <w:szCs w:val="16"/>
    </w:rPr>
  </w:style>
  <w:style w:type="paragraph" w:styleId="CommentText">
    <w:name w:val="annotation text"/>
    <w:basedOn w:val="Normal"/>
    <w:link w:val="CommentTextChar"/>
    <w:uiPriority w:val="99"/>
    <w:semiHidden/>
    <w:unhideWhenUsed/>
    <w:rsid w:val="008537C2"/>
    <w:pPr>
      <w:spacing w:line="240" w:lineRule="auto"/>
    </w:pPr>
    <w:rPr>
      <w:sz w:val="20"/>
      <w:szCs w:val="20"/>
    </w:rPr>
  </w:style>
  <w:style w:type="character" w:customStyle="1" w:styleId="CommentTextChar">
    <w:name w:val="Comment Text Char"/>
    <w:basedOn w:val="DefaultParagraphFont"/>
    <w:link w:val="CommentText"/>
    <w:uiPriority w:val="99"/>
    <w:semiHidden/>
    <w:rsid w:val="008537C2"/>
    <w:rPr>
      <w:sz w:val="20"/>
      <w:szCs w:val="20"/>
    </w:rPr>
  </w:style>
  <w:style w:type="paragraph" w:styleId="CommentSubject">
    <w:name w:val="annotation subject"/>
    <w:basedOn w:val="CommentText"/>
    <w:next w:val="CommentText"/>
    <w:link w:val="CommentSubjectChar"/>
    <w:uiPriority w:val="99"/>
    <w:semiHidden/>
    <w:unhideWhenUsed/>
    <w:rsid w:val="008537C2"/>
    <w:rPr>
      <w:b/>
      <w:bCs/>
    </w:rPr>
  </w:style>
  <w:style w:type="character" w:customStyle="1" w:styleId="CommentSubjectChar">
    <w:name w:val="Comment Subject Char"/>
    <w:basedOn w:val="CommentTextChar"/>
    <w:link w:val="CommentSubject"/>
    <w:uiPriority w:val="99"/>
    <w:semiHidden/>
    <w:rsid w:val="008537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4414</Words>
  <Characters>25161</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Kameliya Nikova</dc:creator>
  <cp:lastModifiedBy>Milena Chirpanlieva</cp:lastModifiedBy>
  <cp:revision>3</cp:revision>
  <dcterms:created xsi:type="dcterms:W3CDTF">2020-09-29T15:44:00Z</dcterms:created>
  <dcterms:modified xsi:type="dcterms:W3CDTF">2020-10-12T14:55:00Z</dcterms:modified>
</cp:coreProperties>
</file>