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017F" w14:textId="12C4F2DA" w:rsidR="005A6A85" w:rsidRPr="00080C5D" w:rsidRDefault="009B2C25" w:rsidP="00017CAF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320"/>
          <w:tab w:val="right" w:pos="8640"/>
        </w:tabs>
        <w:autoSpaceDE w:val="0"/>
        <w:autoSpaceDN w:val="0"/>
        <w:adjustRightInd w:val="0"/>
        <w:spacing w:after="0" w:line="276" w:lineRule="auto"/>
        <w:rPr>
          <w:rFonts w:eastAsia="Times New Roman" w:cs="Times New Roman"/>
          <w:szCs w:val="24"/>
          <w:u w:val="single"/>
        </w:rPr>
      </w:pPr>
      <w:r w:rsidRPr="00080C5D">
        <w:rPr>
          <w:rFonts w:eastAsia="Times New Roman" w:cs="Times New Roman"/>
          <w:noProof/>
          <w:szCs w:val="24"/>
        </w:rPr>
        <w:t xml:space="preserve">      </w:t>
      </w:r>
      <w:r w:rsidR="00A0248E" w:rsidRPr="00080C5D">
        <w:rPr>
          <w:rFonts w:eastAsia="Times New Roman" w:cs="Times New Roman"/>
          <w:noProof/>
          <w:szCs w:val="24"/>
        </w:rPr>
        <w:t xml:space="preserve"> </w:t>
      </w:r>
      <w:r w:rsidRPr="00080C5D">
        <w:rPr>
          <w:rFonts w:eastAsia="Times New Roman" w:cs="Times New Roman"/>
          <w:noProof/>
          <w:szCs w:val="24"/>
        </w:rPr>
        <w:t xml:space="preserve">  </w:t>
      </w:r>
      <w:r w:rsidR="005A6A85" w:rsidRPr="00080C5D">
        <w:rPr>
          <w:rFonts w:eastAsia="Times New Roman" w:cs="Times New Roman"/>
          <w:noProof/>
          <w:szCs w:val="24"/>
        </w:rPr>
        <w:t xml:space="preserve">  </w:t>
      </w:r>
      <w:r w:rsidR="005A6A85" w:rsidRPr="00080C5D">
        <w:rPr>
          <w:rFonts w:eastAsia="Times New Roman" w:cs="Times New Roman"/>
          <w:noProof/>
          <w:szCs w:val="24"/>
          <w:u w:val="single"/>
          <w:lang w:eastAsia="bg-BG"/>
        </w:rPr>
        <w:drawing>
          <wp:inline distT="0" distB="0" distL="0" distR="0" wp14:anchorId="262A40C0" wp14:editId="3E02D639">
            <wp:extent cx="666750" cy="482330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68" cy="48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6A85" w:rsidRPr="00080C5D">
        <w:rPr>
          <w:rFonts w:eastAsia="Times New Roman" w:cs="Times New Roman"/>
          <w:noProof/>
          <w:szCs w:val="24"/>
          <w:u w:val="single"/>
        </w:rPr>
        <w:t xml:space="preserve">     </w:t>
      </w:r>
      <w:r w:rsidR="008A5CED" w:rsidRPr="00080C5D">
        <w:rPr>
          <w:rFonts w:eastAsia="Times New Roman" w:cs="Times New Roman"/>
          <w:noProof/>
          <w:szCs w:val="24"/>
          <w:u w:val="single"/>
        </w:rPr>
        <w:t xml:space="preserve">      </w:t>
      </w:r>
      <w:r w:rsidR="005A6A85" w:rsidRPr="00080C5D">
        <w:rPr>
          <w:rFonts w:eastAsia="Times New Roman" w:cs="Times New Roman"/>
          <w:noProof/>
          <w:szCs w:val="24"/>
          <w:u w:val="single"/>
        </w:rPr>
        <w:t xml:space="preserve">     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eastAsia="bg-BG"/>
        </w:rPr>
        <w:drawing>
          <wp:inline distT="0" distB="0" distL="0" distR="0" wp14:anchorId="0DE125B2" wp14:editId="116FE11A">
            <wp:extent cx="581025" cy="443974"/>
            <wp:effectExtent l="19050" t="19050" r="9525" b="13335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66" cy="44492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5A6A85" w:rsidRPr="00080C5D">
        <w:rPr>
          <w:rFonts w:eastAsia="Times New Roman" w:cs="Times New Roman"/>
          <w:i/>
          <w:noProof/>
          <w:szCs w:val="24"/>
          <w:u w:val="single"/>
        </w:rPr>
        <w:t xml:space="preserve">  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ru-RU"/>
        </w:rPr>
        <w:t xml:space="preserve">  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en-US"/>
        </w:rPr>
        <w:t xml:space="preserve"> </w:t>
      </w:r>
      <w:r w:rsidR="008A5CED" w:rsidRPr="00080C5D">
        <w:rPr>
          <w:rFonts w:eastAsia="Times New Roman" w:cs="Times New Roman"/>
          <w:i/>
          <w:noProof/>
          <w:szCs w:val="24"/>
          <w:u w:val="single"/>
        </w:rPr>
        <w:t xml:space="preserve">      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ru-RU"/>
        </w:rPr>
        <w:t xml:space="preserve">   </w:t>
      </w:r>
      <w:r w:rsidR="0081207F" w:rsidRPr="00080C5D">
        <w:rPr>
          <w:rFonts w:eastAsia="Times New Roman" w:cs="Times New Roman"/>
          <w:i/>
          <w:noProof/>
          <w:szCs w:val="24"/>
          <w:u w:val="single"/>
          <w:lang w:eastAsia="bg-BG"/>
        </w:rPr>
        <w:drawing>
          <wp:inline distT="0" distB="0" distL="0" distR="0" wp14:anchorId="67430330" wp14:editId="0036FF4C">
            <wp:extent cx="548249" cy="464820"/>
            <wp:effectExtent l="0" t="0" r="444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15" cy="4686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ru-RU"/>
        </w:rPr>
        <w:t xml:space="preserve">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en-US"/>
        </w:rPr>
        <w:t xml:space="preserve">   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ru-RU"/>
        </w:rPr>
        <w:t xml:space="preserve"> </w:t>
      </w:r>
      <w:r w:rsidR="008A5CED" w:rsidRPr="00080C5D">
        <w:rPr>
          <w:rFonts w:eastAsia="Times New Roman" w:cs="Times New Roman"/>
          <w:i/>
          <w:noProof/>
          <w:szCs w:val="24"/>
          <w:u w:val="single"/>
          <w:lang w:val="ru-RU"/>
        </w:rPr>
        <w:t xml:space="preserve">    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en-US"/>
        </w:rPr>
        <w:t xml:space="preserve">    </w:t>
      </w:r>
      <w:r w:rsidR="008A5CED" w:rsidRPr="00080C5D">
        <w:rPr>
          <w:rFonts w:eastAsia="Times New Roman" w:cs="Times New Roman"/>
          <w:i/>
          <w:noProof/>
          <w:szCs w:val="24"/>
          <w:u w:val="single"/>
        </w:rPr>
        <w:t xml:space="preserve">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en-US"/>
        </w:rPr>
        <w:t xml:space="preserve">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ru-RU"/>
        </w:rPr>
        <w:t xml:space="preserve">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eastAsia="bg-BG"/>
        </w:rPr>
        <w:drawing>
          <wp:inline distT="0" distB="0" distL="0" distR="0" wp14:anchorId="57EB2C7E" wp14:editId="7416BAAF">
            <wp:extent cx="1147555" cy="485775"/>
            <wp:effectExtent l="19050" t="19050" r="14605" b="9525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039" cy="48513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ru-RU"/>
        </w:rPr>
        <w:t xml:space="preserve">  </w:t>
      </w:r>
      <w:r w:rsidR="005A6A85" w:rsidRPr="00080C5D">
        <w:rPr>
          <w:rFonts w:eastAsia="Times New Roman" w:cs="Times New Roman"/>
          <w:i/>
          <w:noProof/>
          <w:szCs w:val="24"/>
          <w:u w:val="single"/>
        </w:rPr>
        <w:t xml:space="preserve">   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ru-RU"/>
        </w:rPr>
        <w:t xml:space="preserve"> </w:t>
      </w:r>
      <w:r w:rsidR="008A5CED" w:rsidRPr="00080C5D">
        <w:rPr>
          <w:rFonts w:eastAsia="Times New Roman" w:cs="Times New Roman"/>
          <w:i/>
          <w:noProof/>
          <w:szCs w:val="24"/>
          <w:u w:val="single"/>
          <w:lang w:val="ru-RU"/>
        </w:rPr>
        <w:t xml:space="preserve">       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en-US"/>
        </w:rPr>
        <w:t xml:space="preserve">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ru-RU"/>
        </w:rPr>
        <w:t xml:space="preserve">  </w:t>
      </w:r>
      <w:r w:rsidR="005A6A85" w:rsidRPr="00080C5D">
        <w:rPr>
          <w:rFonts w:eastAsia="Times New Roman" w:cs="Times New Roman"/>
          <w:i/>
          <w:noProof/>
          <w:szCs w:val="24"/>
          <w:u w:val="single"/>
        </w:rPr>
        <w:t xml:space="preserve"> </w:t>
      </w:r>
      <w:r w:rsidR="005A6A85" w:rsidRPr="00080C5D">
        <w:rPr>
          <w:rFonts w:eastAsia="Times New Roman" w:cs="Times New Roman"/>
          <w:noProof/>
          <w:szCs w:val="24"/>
          <w:u w:val="single"/>
          <w:lang w:eastAsia="bg-BG"/>
        </w:rPr>
        <w:drawing>
          <wp:inline distT="0" distB="0" distL="0" distR="0" wp14:anchorId="2704AE68" wp14:editId="79A395BB">
            <wp:extent cx="628650" cy="462854"/>
            <wp:effectExtent l="19050" t="19050" r="19050" b="1397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08" cy="458994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C5614B8" w14:textId="77777777" w:rsidR="005A6A85" w:rsidRPr="00080C5D" w:rsidRDefault="005A6A85" w:rsidP="00017CAF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320"/>
          <w:tab w:val="right" w:pos="8640"/>
        </w:tabs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szCs w:val="24"/>
        </w:rPr>
      </w:pPr>
      <w:r w:rsidRPr="00080C5D">
        <w:rPr>
          <w:rFonts w:eastAsia="Times New Roman" w:cs="Times New Roman"/>
          <w:szCs w:val="24"/>
        </w:rPr>
        <w:t>„Европейски земеделски фонд за развитие на селските райони – Европа инвестира в селските райони”</w:t>
      </w:r>
    </w:p>
    <w:p w14:paraId="5D65976E" w14:textId="77777777" w:rsidR="005A6A85" w:rsidRPr="00080C5D" w:rsidRDefault="005A6A85" w:rsidP="00017CAF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320"/>
          <w:tab w:val="right" w:pos="8640"/>
        </w:tabs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b/>
          <w:szCs w:val="24"/>
        </w:rPr>
      </w:pPr>
      <w:r w:rsidRPr="00080C5D">
        <w:rPr>
          <w:rFonts w:eastAsia="Times New Roman" w:cs="Times New Roman"/>
          <w:b/>
          <w:szCs w:val="24"/>
        </w:rPr>
        <w:t>ПРОГРАМА ЗА РАЗВИТИЕ НА СЕЛСКИТЕ РАЙОНИ 2014 – 2020 г.</w:t>
      </w:r>
    </w:p>
    <w:p w14:paraId="1D6F46D5" w14:textId="0A7DEC32" w:rsidR="005A6A85" w:rsidRPr="00080C5D" w:rsidRDefault="005A6A85" w:rsidP="00017CA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b/>
          <w:iCs/>
          <w:color w:val="000000"/>
          <w:spacing w:val="3"/>
          <w:szCs w:val="24"/>
          <w:lang w:eastAsia="bg-BG"/>
        </w:rPr>
      </w:pPr>
      <w:r w:rsidRPr="00080C5D">
        <w:rPr>
          <w:rFonts w:eastAsia="Times New Roman" w:cs="Times New Roman"/>
          <w:b/>
          <w:iCs/>
          <w:color w:val="000000"/>
          <w:spacing w:val="3"/>
          <w:szCs w:val="24"/>
          <w:lang w:eastAsia="bg-BG"/>
        </w:rPr>
        <w:t xml:space="preserve">Сдружение „МИГ </w:t>
      </w:r>
      <w:r w:rsidR="0081207F" w:rsidRPr="00080C5D">
        <w:rPr>
          <w:rFonts w:eastAsia="Times New Roman" w:cs="Times New Roman"/>
          <w:b/>
          <w:iCs/>
          <w:color w:val="000000"/>
          <w:spacing w:val="3"/>
          <w:szCs w:val="24"/>
          <w:lang w:eastAsia="bg-BG"/>
        </w:rPr>
        <w:t>Луковит-Роман</w:t>
      </w:r>
      <w:r w:rsidRPr="00080C5D">
        <w:rPr>
          <w:rFonts w:eastAsia="Times New Roman" w:cs="Times New Roman"/>
          <w:b/>
          <w:iCs/>
          <w:color w:val="000000"/>
          <w:spacing w:val="3"/>
          <w:szCs w:val="24"/>
          <w:lang w:eastAsia="bg-BG"/>
        </w:rPr>
        <w:t xml:space="preserve">” </w:t>
      </w:r>
    </w:p>
    <w:p w14:paraId="50FD141F" w14:textId="74E57281" w:rsidR="00617FB6" w:rsidRPr="00080C5D" w:rsidRDefault="005A6A85" w:rsidP="00017CA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b/>
          <w:iCs/>
          <w:color w:val="000000"/>
          <w:spacing w:val="3"/>
          <w:szCs w:val="24"/>
          <w:lang w:eastAsia="bg-BG"/>
        </w:rPr>
      </w:pPr>
      <w:r w:rsidRPr="00080C5D">
        <w:rPr>
          <w:rFonts w:eastAsia="Times New Roman" w:cs="Times New Roman"/>
          <w:b/>
          <w:iCs/>
          <w:color w:val="000000"/>
          <w:spacing w:val="3"/>
          <w:szCs w:val="24"/>
          <w:lang w:eastAsia="bg-BG"/>
        </w:rPr>
        <w:t xml:space="preserve">Споразумение </w:t>
      </w:r>
      <w:r w:rsidR="0081207F" w:rsidRPr="00080C5D">
        <w:rPr>
          <w:rFonts w:eastAsia="Times New Roman" w:cs="Times New Roman"/>
          <w:b/>
          <w:iCs/>
          <w:color w:val="000000"/>
          <w:spacing w:val="3"/>
          <w:szCs w:val="24"/>
          <w:lang w:eastAsia="bg-BG"/>
        </w:rPr>
        <w:t>за изпълнение на СВОМР №РД50-22/25.03.2019 г</w:t>
      </w:r>
      <w:r w:rsidRPr="00080C5D">
        <w:rPr>
          <w:rFonts w:eastAsia="Times New Roman" w:cs="Times New Roman"/>
          <w:b/>
          <w:iCs/>
          <w:color w:val="000000"/>
          <w:spacing w:val="3"/>
          <w:szCs w:val="24"/>
          <w:lang w:eastAsia="bg-BG"/>
        </w:rPr>
        <w:t>.</w:t>
      </w:r>
    </w:p>
    <w:p w14:paraId="17F9D2B0" w14:textId="77777777" w:rsidR="00870182" w:rsidRPr="00080C5D" w:rsidRDefault="00870182" w:rsidP="00017CAF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eastAsia="Times New Roman" w:cs="Times New Roman"/>
          <w:b/>
          <w:iCs/>
          <w:color w:val="000000"/>
          <w:spacing w:val="3"/>
          <w:szCs w:val="24"/>
          <w:lang w:eastAsia="bg-BG"/>
        </w:rPr>
      </w:pPr>
    </w:p>
    <w:p w14:paraId="66147337" w14:textId="7E329B8B" w:rsidR="008A5CED" w:rsidRPr="00080C5D" w:rsidRDefault="0081207F" w:rsidP="00017CAF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eastAsia="Times New Roman" w:cs="Times New Roman"/>
          <w:b/>
          <w:i/>
          <w:iCs/>
          <w:color w:val="000000"/>
          <w:spacing w:val="3"/>
          <w:szCs w:val="24"/>
          <w:lang w:eastAsia="bg-BG"/>
        </w:rPr>
      </w:pPr>
      <w:r w:rsidRPr="00080C5D">
        <w:rPr>
          <w:rFonts w:eastAsia="Times New Roman" w:cs="Times New Roman"/>
          <w:b/>
          <w:i/>
          <w:iCs/>
          <w:color w:val="000000"/>
          <w:spacing w:val="3"/>
          <w:szCs w:val="24"/>
          <w:lang w:eastAsia="bg-BG"/>
        </w:rPr>
        <w:t xml:space="preserve"> </w:t>
      </w:r>
    </w:p>
    <w:p w14:paraId="3994F78C" w14:textId="77777777" w:rsidR="00870182" w:rsidRPr="00080C5D" w:rsidRDefault="00870182" w:rsidP="00017CAF">
      <w:pPr>
        <w:spacing w:after="0" w:line="276" w:lineRule="auto"/>
        <w:jc w:val="center"/>
        <w:outlineLvl w:val="0"/>
        <w:rPr>
          <w:rFonts w:cs="Times New Roman"/>
          <w:b/>
          <w:szCs w:val="24"/>
          <w:u w:val="single"/>
        </w:rPr>
      </w:pPr>
      <w:bookmarkStart w:id="0" w:name="_Toc175379528"/>
      <w:bookmarkStart w:id="1" w:name="_Toc175470698"/>
      <w:bookmarkStart w:id="2" w:name="_Toc175573961"/>
    </w:p>
    <w:p w14:paraId="22E98549" w14:textId="77777777" w:rsidR="00D3123F" w:rsidRPr="00080C5D" w:rsidRDefault="00D3123F" w:rsidP="00017CAF">
      <w:pPr>
        <w:spacing w:after="0" w:line="276" w:lineRule="auto"/>
        <w:jc w:val="center"/>
        <w:outlineLvl w:val="0"/>
        <w:rPr>
          <w:rFonts w:cs="Times New Roman"/>
          <w:b/>
          <w:szCs w:val="24"/>
          <w:u w:val="single"/>
        </w:rPr>
      </w:pPr>
      <w:r w:rsidRPr="00080C5D">
        <w:rPr>
          <w:rFonts w:cs="Times New Roman"/>
          <w:b/>
          <w:szCs w:val="24"/>
          <w:u w:val="single"/>
        </w:rPr>
        <w:t>О Б Я В А</w:t>
      </w:r>
    </w:p>
    <w:p w14:paraId="73AB09AC" w14:textId="77777777" w:rsidR="008051B1" w:rsidRPr="00080C5D" w:rsidRDefault="008051B1" w:rsidP="00017CAF">
      <w:pPr>
        <w:spacing w:after="0" w:line="276" w:lineRule="auto"/>
        <w:jc w:val="center"/>
        <w:outlineLvl w:val="0"/>
        <w:rPr>
          <w:rFonts w:cs="Times New Roman"/>
          <w:b/>
          <w:color w:val="385623" w:themeColor="accent6" w:themeShade="80"/>
          <w:szCs w:val="24"/>
          <w:u w:val="single"/>
        </w:rPr>
      </w:pPr>
    </w:p>
    <w:p w14:paraId="039F089E" w14:textId="6AA2A860" w:rsidR="008051B1" w:rsidRPr="00080C5D" w:rsidRDefault="008051B1" w:rsidP="00017CAF">
      <w:pPr>
        <w:spacing w:after="0" w:line="276" w:lineRule="auto"/>
        <w:jc w:val="center"/>
        <w:outlineLvl w:val="0"/>
        <w:rPr>
          <w:rFonts w:cs="Times New Roman"/>
          <w:b/>
          <w:szCs w:val="24"/>
        </w:rPr>
      </w:pPr>
      <w:r w:rsidRPr="00080C5D">
        <w:rPr>
          <w:rFonts w:cs="Times New Roman"/>
          <w:b/>
          <w:szCs w:val="24"/>
        </w:rPr>
        <w:t xml:space="preserve">За прием на проектни предложения към Стратегията за водено от общностите местно развитие на Сдружение „Местна инициативна група </w:t>
      </w:r>
      <w:r w:rsidR="0081207F" w:rsidRPr="00080C5D">
        <w:rPr>
          <w:rFonts w:cs="Times New Roman"/>
          <w:b/>
          <w:szCs w:val="24"/>
        </w:rPr>
        <w:t>Луковит-Роман</w:t>
      </w:r>
      <w:r w:rsidRPr="00080C5D">
        <w:rPr>
          <w:rFonts w:cs="Times New Roman"/>
          <w:b/>
          <w:szCs w:val="24"/>
        </w:rPr>
        <w:t>“, финансирана чрез „Програма за развитие на селските райони 2014 – 2020 г.</w:t>
      </w:r>
    </w:p>
    <w:p w14:paraId="071A5611" w14:textId="77777777" w:rsidR="00D3123F" w:rsidRPr="00080C5D" w:rsidRDefault="00D3123F" w:rsidP="00017CAF">
      <w:pPr>
        <w:spacing w:after="0" w:line="276" w:lineRule="auto"/>
        <w:jc w:val="center"/>
        <w:outlineLvl w:val="0"/>
        <w:rPr>
          <w:rFonts w:cs="Times New Roman"/>
          <w:b/>
          <w:szCs w:val="24"/>
        </w:rPr>
      </w:pPr>
    </w:p>
    <w:p w14:paraId="1864744A" w14:textId="56169624" w:rsidR="00D3123F" w:rsidRPr="00080C5D" w:rsidRDefault="005A6A85" w:rsidP="00017CAF">
      <w:pPr>
        <w:spacing w:after="0" w:line="276" w:lineRule="auto"/>
        <w:jc w:val="center"/>
        <w:outlineLvl w:val="0"/>
        <w:rPr>
          <w:rFonts w:cs="Times New Roman"/>
          <w:b/>
          <w:szCs w:val="24"/>
        </w:rPr>
      </w:pPr>
      <w:r w:rsidRPr="00080C5D">
        <w:rPr>
          <w:rFonts w:cs="Times New Roman"/>
          <w:b/>
          <w:szCs w:val="24"/>
        </w:rPr>
        <w:t>СДРУЖЕНИЕ „</w:t>
      </w:r>
      <w:r w:rsidR="00D3123F" w:rsidRPr="00080C5D">
        <w:rPr>
          <w:rFonts w:cs="Times New Roman"/>
          <w:b/>
          <w:szCs w:val="24"/>
        </w:rPr>
        <w:t xml:space="preserve">МЕСТНА ИНИЦИАТИВНА ГРУПА </w:t>
      </w:r>
      <w:r w:rsidR="0081207F" w:rsidRPr="00080C5D">
        <w:rPr>
          <w:rFonts w:cs="Times New Roman"/>
          <w:b/>
          <w:szCs w:val="24"/>
        </w:rPr>
        <w:t>ЛУКОВИТ-РОМАН</w:t>
      </w:r>
      <w:r w:rsidRPr="00080C5D">
        <w:rPr>
          <w:rFonts w:cs="Times New Roman"/>
          <w:b/>
          <w:szCs w:val="24"/>
        </w:rPr>
        <w:t>“</w:t>
      </w:r>
    </w:p>
    <w:p w14:paraId="60CDF181" w14:textId="77777777" w:rsidR="00D3123F" w:rsidRPr="00080C5D" w:rsidRDefault="00D3123F" w:rsidP="00017CAF">
      <w:pPr>
        <w:spacing w:after="0" w:line="276" w:lineRule="auto"/>
        <w:jc w:val="center"/>
        <w:outlineLvl w:val="0"/>
        <w:rPr>
          <w:rFonts w:cs="Times New Roman"/>
          <w:b/>
          <w:szCs w:val="24"/>
        </w:rPr>
      </w:pPr>
      <w:r w:rsidRPr="00080C5D">
        <w:rPr>
          <w:rFonts w:cs="Times New Roman"/>
          <w:b/>
          <w:caps/>
          <w:szCs w:val="24"/>
        </w:rPr>
        <w:t>Открива процедура за подбор на проектни предложения</w:t>
      </w:r>
    </w:p>
    <w:p w14:paraId="57B6CBA9" w14:textId="77777777" w:rsidR="00D3123F" w:rsidRPr="00080C5D" w:rsidRDefault="00D3123F" w:rsidP="00017CAF">
      <w:pPr>
        <w:spacing w:after="0" w:line="276" w:lineRule="auto"/>
        <w:jc w:val="center"/>
        <w:outlineLvl w:val="0"/>
        <w:rPr>
          <w:rFonts w:cs="Times New Roman"/>
          <w:b/>
          <w:caps/>
          <w:szCs w:val="24"/>
        </w:rPr>
      </w:pPr>
      <w:r w:rsidRPr="00080C5D">
        <w:rPr>
          <w:rFonts w:cs="Times New Roman"/>
          <w:b/>
          <w:caps/>
          <w:szCs w:val="24"/>
        </w:rPr>
        <w:t>за предОставяне на безвъзмездна финансова помощ</w:t>
      </w:r>
    </w:p>
    <w:p w14:paraId="1AAFFE85" w14:textId="77777777" w:rsidR="00C10A47" w:rsidRPr="00080C5D" w:rsidRDefault="00C10A47" w:rsidP="00017CAF">
      <w:pPr>
        <w:spacing w:after="0" w:line="276" w:lineRule="auto"/>
        <w:jc w:val="center"/>
        <w:outlineLvl w:val="0"/>
        <w:rPr>
          <w:rFonts w:cs="Times New Roman"/>
          <w:b/>
          <w:caps/>
          <w:szCs w:val="24"/>
          <w:lang w:val="en-US"/>
        </w:rPr>
      </w:pPr>
    </w:p>
    <w:tbl>
      <w:tblPr>
        <w:tblStyle w:val="a8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63"/>
      </w:tblGrid>
      <w:tr w:rsidR="008051B1" w:rsidRPr="00080C5D" w14:paraId="003BE79E" w14:textId="77777777" w:rsidTr="008C33D1">
        <w:tc>
          <w:tcPr>
            <w:tcW w:w="10881" w:type="dxa"/>
            <w:shd w:val="clear" w:color="auto" w:fill="F2F2F2" w:themeFill="background1" w:themeFillShade="F2"/>
          </w:tcPr>
          <w:p w14:paraId="6CC3EBE9" w14:textId="7D7FA5A8" w:rsidR="00C10A47" w:rsidRPr="00080C5D" w:rsidRDefault="008051B1" w:rsidP="00017CAF">
            <w:pPr>
              <w:spacing w:line="276" w:lineRule="auto"/>
              <w:jc w:val="center"/>
              <w:outlineLvl w:val="0"/>
              <w:rPr>
                <w:rStyle w:val="indented"/>
                <w:rFonts w:cs="Times New Roman"/>
                <w:b/>
                <w:szCs w:val="24"/>
              </w:rPr>
            </w:pPr>
            <w:r w:rsidRPr="00080C5D">
              <w:rPr>
                <w:rStyle w:val="indented"/>
                <w:rFonts w:cs="Times New Roman"/>
                <w:b/>
                <w:szCs w:val="24"/>
              </w:rPr>
              <w:t>Процедура з</w:t>
            </w:r>
            <w:r w:rsidR="000942A1" w:rsidRPr="00080C5D">
              <w:rPr>
                <w:rStyle w:val="indented"/>
                <w:rFonts w:cs="Times New Roman"/>
                <w:b/>
                <w:szCs w:val="24"/>
              </w:rPr>
              <w:t>а подбор на проектни предложения</w:t>
            </w:r>
            <w:r w:rsidRPr="00080C5D">
              <w:rPr>
                <w:rStyle w:val="indented"/>
                <w:rFonts w:cs="Times New Roman"/>
                <w:b/>
                <w:szCs w:val="24"/>
              </w:rPr>
              <w:t xml:space="preserve">: </w:t>
            </w:r>
          </w:p>
          <w:p w14:paraId="48D07596" w14:textId="3856A33C" w:rsidR="008051B1" w:rsidRPr="006E49B3" w:rsidRDefault="003F7A0D" w:rsidP="006E49B3">
            <w:pPr>
              <w:spacing w:line="276" w:lineRule="auto"/>
              <w:jc w:val="center"/>
              <w:outlineLvl w:val="0"/>
              <w:rPr>
                <w:b/>
              </w:rPr>
            </w:pPr>
            <w:r w:rsidRPr="003F7A0D">
              <w:rPr>
                <w:rStyle w:val="indented"/>
                <w:b/>
              </w:rPr>
              <w:t xml:space="preserve"> </w:t>
            </w:r>
            <w:r w:rsidR="006E49B3" w:rsidRPr="006E49B3">
              <w:rPr>
                <w:rStyle w:val="indented"/>
                <w:b/>
              </w:rPr>
              <w:t xml:space="preserve">BG06RDNP001-19.510 „МИГ Луковит-Роман“ - мярка 19-7.5 „Инвестиции за публично ползване в инфраструктура за отдих, туристическа инфраструктура“ </w:t>
            </w:r>
            <w:r w:rsidRPr="003F7A0D">
              <w:rPr>
                <w:rStyle w:val="indented"/>
                <w:b/>
              </w:rPr>
              <w:t>от Стратегия за водено от общностите местно развитие на „Местна инициативна група Луковит-Роман”</w:t>
            </w:r>
          </w:p>
        </w:tc>
      </w:tr>
    </w:tbl>
    <w:p w14:paraId="15315000" w14:textId="77777777" w:rsidR="00A575D1" w:rsidRPr="00080C5D" w:rsidRDefault="00A575D1" w:rsidP="00017CAF">
      <w:pPr>
        <w:spacing w:line="276" w:lineRule="auto"/>
        <w:jc w:val="both"/>
        <w:outlineLvl w:val="0"/>
        <w:rPr>
          <w:rFonts w:cs="Times New Roman"/>
          <w:b/>
          <w:szCs w:val="24"/>
        </w:rPr>
      </w:pPr>
    </w:p>
    <w:p w14:paraId="1FD6BAF0" w14:textId="77777777" w:rsidR="00D3123F" w:rsidRPr="00080C5D" w:rsidRDefault="00D3123F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  <w:r w:rsidRPr="00080C5D">
        <w:rPr>
          <w:rFonts w:cs="Times New Roman"/>
          <w:b/>
          <w:szCs w:val="24"/>
          <w:lang w:eastAsia="bg-BG"/>
        </w:rPr>
        <w:t>1. НАИМЕНОВАНИЕ НА МЯРКАТА ОТ СТРАТЕГИЯТА ЗА ВОМР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C10A47" w:rsidRPr="00080C5D" w14:paraId="0497215A" w14:textId="77777777" w:rsidTr="008C33D1">
        <w:tc>
          <w:tcPr>
            <w:tcW w:w="10881" w:type="dxa"/>
          </w:tcPr>
          <w:p w14:paraId="0BCE4E1B" w14:textId="7FB369DE" w:rsidR="00C10A47" w:rsidRPr="00080C5D" w:rsidRDefault="00B54ECE" w:rsidP="003F7A0D">
            <w:pPr>
              <w:shd w:val="clear" w:color="auto" w:fill="FEFEFE"/>
              <w:spacing w:line="276" w:lineRule="auto"/>
              <w:rPr>
                <w:rStyle w:val="indented"/>
                <w:rFonts w:cs="Times New Roman"/>
                <w:b/>
                <w:szCs w:val="24"/>
              </w:rPr>
            </w:pPr>
            <w:r>
              <w:rPr>
                <w:rStyle w:val="indented"/>
                <w:rFonts w:cs="Times New Roman"/>
                <w:b/>
                <w:szCs w:val="24"/>
              </w:rPr>
              <w:t>19-</w:t>
            </w:r>
            <w:r w:rsidR="003F7A0D">
              <w:t xml:space="preserve"> </w:t>
            </w:r>
            <w:r w:rsidR="006E49B3">
              <w:rPr>
                <w:rStyle w:val="indented"/>
                <w:rFonts w:cs="Times New Roman"/>
                <w:b/>
                <w:szCs w:val="24"/>
              </w:rPr>
              <w:t>7.5</w:t>
            </w:r>
            <w:r w:rsidR="003F7A0D" w:rsidRPr="003F7A0D">
              <w:rPr>
                <w:rStyle w:val="indented"/>
                <w:rFonts w:cs="Times New Roman"/>
                <w:b/>
                <w:szCs w:val="24"/>
              </w:rPr>
              <w:t>. „</w:t>
            </w:r>
            <w:r w:rsidR="006E49B3" w:rsidRPr="006E49B3">
              <w:rPr>
                <w:rStyle w:val="indented"/>
                <w:rFonts w:cs="Times New Roman"/>
                <w:b/>
                <w:szCs w:val="24"/>
              </w:rPr>
              <w:t>Инвестиции за публично ползване в инфраструктура за отдих, туристическа инфраструктура</w:t>
            </w:r>
            <w:r w:rsidR="003F7A0D" w:rsidRPr="003F7A0D">
              <w:rPr>
                <w:rStyle w:val="indented"/>
                <w:rFonts w:cs="Times New Roman"/>
                <w:b/>
                <w:szCs w:val="24"/>
              </w:rPr>
              <w:t>“</w:t>
            </w:r>
          </w:p>
        </w:tc>
      </w:tr>
    </w:tbl>
    <w:p w14:paraId="34E72E5F" w14:textId="77777777" w:rsidR="00C10A47" w:rsidRPr="00080C5D" w:rsidRDefault="00C10A47" w:rsidP="00017CAF">
      <w:pPr>
        <w:shd w:val="clear" w:color="auto" w:fill="FEFEFE"/>
        <w:spacing w:after="0" w:line="276" w:lineRule="auto"/>
        <w:rPr>
          <w:rStyle w:val="indented"/>
          <w:rFonts w:cs="Times New Roman"/>
          <w:b/>
          <w:szCs w:val="24"/>
          <w:lang w:val="en-US" w:eastAsia="bg-BG"/>
        </w:rPr>
      </w:pPr>
    </w:p>
    <w:p w14:paraId="23EAC097" w14:textId="77777777" w:rsidR="00D3123F" w:rsidRPr="00080C5D" w:rsidRDefault="00D3123F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  <w:r w:rsidRPr="00080C5D">
        <w:rPr>
          <w:rFonts w:cs="Times New Roman"/>
          <w:b/>
          <w:szCs w:val="24"/>
          <w:lang w:eastAsia="bg-BG"/>
        </w:rPr>
        <w:t>2. ДОПУСТИМИ КАНДИДАТИ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8A5CED" w:rsidRPr="00080C5D" w14:paraId="644513E2" w14:textId="77777777" w:rsidTr="008C33D1">
        <w:tc>
          <w:tcPr>
            <w:tcW w:w="10881" w:type="dxa"/>
          </w:tcPr>
          <w:p w14:paraId="5426D500" w14:textId="609CCD41" w:rsidR="004E7092" w:rsidRPr="00080C5D" w:rsidRDefault="00537199" w:rsidP="00017CAF">
            <w:pPr>
              <w:shd w:val="clear" w:color="auto" w:fill="FEFEFE"/>
              <w:spacing w:line="276" w:lineRule="auto"/>
              <w:jc w:val="both"/>
              <w:rPr>
                <w:rFonts w:cs="Times New Roman"/>
                <w:b/>
                <w:szCs w:val="24"/>
                <w:shd w:val="clear" w:color="auto" w:fill="FEFEFE"/>
                <w:lang w:val="en-US"/>
              </w:rPr>
            </w:pPr>
            <w:r w:rsidRPr="00080C5D">
              <w:rPr>
                <w:rFonts w:cs="Times New Roman"/>
                <w:b/>
                <w:szCs w:val="24"/>
                <w:shd w:val="clear" w:color="auto" w:fill="FEFEFE"/>
              </w:rPr>
              <w:t>Допустими кандидати по настоящата процедура за предоставяне на БФП са:</w:t>
            </w:r>
          </w:p>
          <w:p w14:paraId="36F3E7A9" w14:textId="361BC334" w:rsidR="006E49B3" w:rsidRPr="006E49B3" w:rsidRDefault="006E49B3" w:rsidP="006E49B3">
            <w:pPr>
              <w:pStyle w:val="a9"/>
              <w:numPr>
                <w:ilvl w:val="0"/>
                <w:numId w:val="36"/>
              </w:numPr>
              <w:tabs>
                <w:tab w:val="left" w:pos="299"/>
              </w:tabs>
              <w:suppressAutoHyphens/>
              <w:autoSpaceDN w:val="0"/>
              <w:spacing w:line="276" w:lineRule="auto"/>
              <w:jc w:val="both"/>
              <w:rPr>
                <w:szCs w:val="24"/>
              </w:rPr>
            </w:pPr>
            <w:r w:rsidRPr="006E49B3">
              <w:rPr>
                <w:szCs w:val="24"/>
              </w:rPr>
              <w:t>Общините от територията на МИГ – община Луковит и община Роман;</w:t>
            </w:r>
          </w:p>
          <w:p w14:paraId="02D94552" w14:textId="25E8F2E8" w:rsidR="004E7092" w:rsidRPr="006E49B3" w:rsidRDefault="006E49B3" w:rsidP="006E49B3">
            <w:pPr>
              <w:pStyle w:val="a9"/>
              <w:tabs>
                <w:tab w:val="left" w:pos="299"/>
              </w:tabs>
              <w:suppressAutoHyphens/>
              <w:autoSpaceDN w:val="0"/>
              <w:spacing w:line="276" w:lineRule="auto"/>
              <w:ind w:left="0"/>
              <w:contextualSpacing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2.   Юридически лица с нестопанска цел (ЮЛНЦ) от територията на МИГ.</w:t>
            </w:r>
          </w:p>
        </w:tc>
      </w:tr>
    </w:tbl>
    <w:p w14:paraId="4918AEAD" w14:textId="77777777" w:rsidR="008A5CED" w:rsidRPr="00080C5D" w:rsidRDefault="008A5CED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</w:p>
    <w:p w14:paraId="52F21111" w14:textId="77777777" w:rsidR="00D3123F" w:rsidRPr="00080C5D" w:rsidRDefault="00D3123F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  <w:r w:rsidRPr="00080C5D">
        <w:rPr>
          <w:rFonts w:cs="Times New Roman"/>
          <w:b/>
          <w:szCs w:val="24"/>
          <w:lang w:eastAsia="bg-BG"/>
        </w:rPr>
        <w:t>3. ДОПУСТИМИ ДЕЙНОСТИ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8A5CED" w:rsidRPr="00080C5D" w14:paraId="5153581F" w14:textId="77777777" w:rsidTr="008C33D1">
        <w:tc>
          <w:tcPr>
            <w:tcW w:w="10881" w:type="dxa"/>
          </w:tcPr>
          <w:p w14:paraId="46AB434D" w14:textId="74D817C8" w:rsidR="003F7A0D" w:rsidRPr="006E49B3" w:rsidRDefault="003F7A0D" w:rsidP="006E49B3">
            <w:pPr>
              <w:autoSpaceDE w:val="0"/>
              <w:adjustRightInd w:val="0"/>
              <w:spacing w:line="276" w:lineRule="auto"/>
              <w:ind w:left="290"/>
              <w:jc w:val="both"/>
              <w:rPr>
                <w:rFonts w:eastAsia="Times New Roman"/>
                <w:b/>
                <w:color w:val="000000"/>
                <w:szCs w:val="24"/>
                <w:lang w:eastAsia="bg-BG"/>
              </w:rPr>
            </w:pPr>
            <w:r>
              <w:rPr>
                <w:rFonts w:cs="Times New Roman"/>
                <w:b/>
                <w:szCs w:val="24"/>
              </w:rPr>
              <w:t xml:space="preserve"> </w:t>
            </w:r>
            <w:r w:rsidR="006E49B3">
              <w:rPr>
                <w:rFonts w:eastAsia="Times New Roman"/>
                <w:b/>
                <w:color w:val="000000"/>
                <w:szCs w:val="24"/>
                <w:lang w:eastAsia="bg-BG"/>
              </w:rPr>
              <w:t>По настоящата процедура по Мярка 7.5 "Инвестиции за публично ползване в инфраструктура за отдих, туристическа инфраструктура", допустими за подпомагане са следните дейности:</w:t>
            </w:r>
          </w:p>
          <w:p w14:paraId="2969D5A1" w14:textId="77777777" w:rsidR="006E49B3" w:rsidRDefault="006E49B3" w:rsidP="006E49B3">
            <w:pPr>
              <w:autoSpaceDE w:val="0"/>
              <w:adjustRightInd w:val="0"/>
              <w:spacing w:line="276" w:lineRule="auto"/>
              <w:ind w:left="290"/>
              <w:jc w:val="both"/>
              <w:rPr>
                <w:rFonts w:eastAsia="Times New Roman"/>
                <w:szCs w:val="24"/>
                <w:lang w:eastAsia="bg-BG"/>
              </w:rPr>
            </w:pPr>
          </w:p>
          <w:p w14:paraId="5C3556AE" w14:textId="77777777" w:rsidR="006E49B3" w:rsidRDefault="006E49B3" w:rsidP="006E49B3">
            <w:pPr>
              <w:pStyle w:val="a9"/>
              <w:widowControl w:val="0"/>
              <w:numPr>
                <w:ilvl w:val="0"/>
                <w:numId w:val="37"/>
              </w:numPr>
              <w:suppressAutoHyphens/>
              <w:autoSpaceDN w:val="0"/>
              <w:contextualSpacing w:val="0"/>
              <w:rPr>
                <w:rFonts w:eastAsia="Times New Roman"/>
                <w:szCs w:val="24"/>
                <w:lang w:eastAsia="bg-BG"/>
              </w:rPr>
            </w:pPr>
            <w:r>
              <w:rPr>
                <w:szCs w:val="24"/>
              </w:rPr>
              <w:t>Изграждане, реконструкция, ремонт, закупуване на оборудване и/или обзавеждане на туристически информационни центрове;</w:t>
            </w:r>
          </w:p>
          <w:p w14:paraId="054B3F36" w14:textId="77777777" w:rsidR="006E49B3" w:rsidRDefault="006E49B3" w:rsidP="006E49B3">
            <w:pPr>
              <w:pStyle w:val="a9"/>
              <w:widowControl w:val="0"/>
              <w:numPr>
                <w:ilvl w:val="0"/>
                <w:numId w:val="37"/>
              </w:numPr>
              <w:suppressAutoHyphens/>
              <w:autoSpaceDN w:val="0"/>
              <w:contextualSpacing w:val="0"/>
              <w:rPr>
                <w:szCs w:val="24"/>
              </w:rPr>
            </w:pPr>
            <w:r>
              <w:rPr>
                <w:szCs w:val="24"/>
              </w:rPr>
              <w:t xml:space="preserve">Изграждане, реконструкция, ремонт, закупуване на оборудване и/или обзавеждане на </w:t>
            </w:r>
            <w:proofErr w:type="spellStart"/>
            <w:r>
              <w:rPr>
                <w:szCs w:val="24"/>
              </w:rPr>
              <w:t>посетителските</w:t>
            </w:r>
            <w:proofErr w:type="spellEnd"/>
            <w:r>
              <w:rPr>
                <w:szCs w:val="24"/>
              </w:rPr>
              <w:t xml:space="preserve"> центрове за представяне и експониране на местното природно и културно наследство;</w:t>
            </w:r>
          </w:p>
          <w:p w14:paraId="32C4A09B" w14:textId="77777777" w:rsidR="006E49B3" w:rsidRDefault="006E49B3" w:rsidP="006E49B3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76" w:lineRule="auto"/>
              <w:ind w:hanging="290"/>
              <w:jc w:val="both"/>
              <w:rPr>
                <w:rFonts w:eastAsia="Times New Roman"/>
                <w:szCs w:val="24"/>
                <w:lang w:eastAsia="bg-BG"/>
              </w:rPr>
            </w:pPr>
            <w:r>
              <w:rPr>
                <w:rFonts w:eastAsia="Times New Roman"/>
                <w:szCs w:val="24"/>
                <w:lang w:eastAsia="bg-BG"/>
              </w:rPr>
              <w:t>Изграждане, реконструкция, ремонт, закупуване на оборудване и/или обзавеждане на центровете за изкуство и занаяти с туристическа цел;</w:t>
            </w:r>
          </w:p>
          <w:p w14:paraId="3C5237AB" w14:textId="77777777" w:rsidR="006E49B3" w:rsidRDefault="006E49B3" w:rsidP="006E49B3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76" w:lineRule="auto"/>
              <w:ind w:hanging="290"/>
              <w:jc w:val="both"/>
              <w:rPr>
                <w:rFonts w:eastAsia="Times New Roman"/>
                <w:szCs w:val="24"/>
                <w:lang w:eastAsia="bg-BG"/>
              </w:rPr>
            </w:pPr>
            <w:r>
              <w:rPr>
                <w:rFonts w:eastAsia="Times New Roman"/>
                <w:szCs w:val="24"/>
                <w:lang w:eastAsia="bg-BG"/>
              </w:rPr>
              <w:t>Изграждане, реконструкция, ремонт и закупуване на съоръжения за туристически атракции, които са свързани с местното природно, културно и/или историческо наследство и предоставящи услуги с познавателна или образователна цел;</w:t>
            </w:r>
          </w:p>
          <w:p w14:paraId="1D6BF2EE" w14:textId="5CD2CACD" w:rsidR="008A5CED" w:rsidRPr="006E49B3" w:rsidRDefault="006E49B3" w:rsidP="006E49B3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76" w:lineRule="auto"/>
              <w:ind w:hanging="290"/>
              <w:jc w:val="both"/>
              <w:rPr>
                <w:rFonts w:eastAsia="Times New Roman"/>
                <w:szCs w:val="24"/>
                <w:lang w:eastAsia="bg-BG"/>
              </w:rPr>
            </w:pPr>
            <w:r>
              <w:rPr>
                <w:rFonts w:eastAsia="Times New Roman"/>
                <w:szCs w:val="24"/>
                <w:lang w:eastAsia="bg-BG"/>
              </w:rPr>
              <w:lastRenderedPageBreak/>
              <w:t xml:space="preserve">Изграждане, реконструкция, ремонт и закупуване на съоръжения за туристическа инфраструктура (информационни табели и пътепоказатели за туристическите места и маршрути, съоръжения за безопасност, </w:t>
            </w:r>
            <w:proofErr w:type="spellStart"/>
            <w:r>
              <w:rPr>
                <w:rFonts w:eastAsia="Times New Roman"/>
                <w:szCs w:val="24"/>
                <w:lang w:eastAsia="bg-BG"/>
              </w:rPr>
              <w:t>велоалеи</w:t>
            </w:r>
            <w:proofErr w:type="spellEnd"/>
            <w:r>
              <w:rPr>
                <w:rFonts w:eastAsia="Times New Roman"/>
                <w:szCs w:val="24"/>
                <w:lang w:eastAsia="bg-BG"/>
              </w:rPr>
              <w:t xml:space="preserve"> и туристически пътеки).</w:t>
            </w:r>
          </w:p>
        </w:tc>
      </w:tr>
    </w:tbl>
    <w:p w14:paraId="056877EE" w14:textId="77777777" w:rsidR="00B2368B" w:rsidRPr="00080C5D" w:rsidRDefault="00B2368B" w:rsidP="00017CAF">
      <w:pPr>
        <w:pStyle w:val="af"/>
        <w:spacing w:line="276" w:lineRule="auto"/>
        <w:ind w:right="49"/>
        <w:jc w:val="both"/>
        <w:rPr>
          <w:rFonts w:ascii="Times New Roman" w:hAnsi="Times New Roman"/>
          <w:lang w:val="bg-BG"/>
        </w:rPr>
      </w:pPr>
    </w:p>
    <w:p w14:paraId="13CD90B3" w14:textId="77777777" w:rsidR="001B0DBB" w:rsidRPr="00080C5D" w:rsidRDefault="001B0DBB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  <w:r w:rsidRPr="00080C5D">
        <w:rPr>
          <w:rFonts w:cs="Times New Roman"/>
          <w:b/>
          <w:szCs w:val="24"/>
          <w:lang w:eastAsia="bg-BG"/>
        </w:rPr>
        <w:t>4. ДОПУСТИМИ РАЗХОДИ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8C33D1" w:rsidRPr="00080C5D" w14:paraId="5E9574B5" w14:textId="77777777" w:rsidTr="008C33D1">
        <w:tc>
          <w:tcPr>
            <w:tcW w:w="10913" w:type="dxa"/>
          </w:tcPr>
          <w:p w14:paraId="5B46C5F4" w14:textId="522ED206" w:rsidR="003F7A0D" w:rsidRPr="006E49B3" w:rsidRDefault="006E49B3" w:rsidP="006E49B3">
            <w:pPr>
              <w:pStyle w:val="Default"/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Допустимите разходи за прилагане на </w:t>
            </w:r>
            <w:proofErr w:type="spellStart"/>
            <w:r>
              <w:rPr>
                <w:b/>
              </w:rPr>
              <w:t>подмярка</w:t>
            </w:r>
            <w:proofErr w:type="spellEnd"/>
            <w:r>
              <w:rPr>
                <w:b/>
              </w:rPr>
              <w:t xml:space="preserve"> 7.5. „Инвестиции за публично ползване в инфраструктура за отдих, туристическа инфраструктура” са:</w:t>
            </w:r>
          </w:p>
          <w:p w14:paraId="70C8268F" w14:textId="77777777" w:rsidR="006E49B3" w:rsidRDefault="006E49B3" w:rsidP="006E49B3">
            <w:pPr>
              <w:pStyle w:val="Default"/>
              <w:numPr>
                <w:ilvl w:val="0"/>
                <w:numId w:val="38"/>
              </w:numPr>
              <w:suppressAutoHyphens/>
              <w:autoSpaceDE/>
              <w:adjustRightInd/>
            </w:pPr>
            <w:r>
              <w:t>Изграждането, включително отпускането на лизинг, или подобренията на недвижимо имущество;</w:t>
            </w:r>
          </w:p>
          <w:p w14:paraId="497C24C6" w14:textId="77777777" w:rsidR="006E49B3" w:rsidRDefault="006E49B3" w:rsidP="006E49B3">
            <w:pPr>
              <w:pStyle w:val="Default"/>
              <w:numPr>
                <w:ilvl w:val="0"/>
                <w:numId w:val="38"/>
              </w:numPr>
              <w:suppressAutoHyphens/>
              <w:autoSpaceDE/>
              <w:adjustRightInd/>
            </w:pPr>
            <w:r>
              <w:t>Закупуването или вземането на лизинг на нови машини и оборудване, обзавеждане до пазарната цена на актива;</w:t>
            </w:r>
          </w:p>
          <w:p w14:paraId="3A9B9E44" w14:textId="77777777" w:rsidR="006E49B3" w:rsidRDefault="006E49B3" w:rsidP="006E49B3">
            <w:pPr>
              <w:pStyle w:val="Default"/>
              <w:numPr>
                <w:ilvl w:val="0"/>
                <w:numId w:val="38"/>
              </w:numPr>
              <w:suppressAutoHyphens/>
              <w:autoSpaceDE/>
              <w:adjustRightInd/>
            </w:pPr>
            <w:r>
              <w:t>Общи разходи, свързани с изброените по-горе, например хонорари на архитекти, инженери и консултанти, хонорари, свързани с консултации относно екологичната и икономическата устойчивост;</w:t>
            </w:r>
          </w:p>
          <w:p w14:paraId="7F13647A" w14:textId="77777777" w:rsidR="006E49B3" w:rsidRDefault="006E49B3" w:rsidP="006E49B3">
            <w:pPr>
              <w:pStyle w:val="Default"/>
              <w:numPr>
                <w:ilvl w:val="0"/>
                <w:numId w:val="38"/>
              </w:numPr>
              <w:suppressAutoHyphens/>
              <w:autoSpaceDE/>
              <w:adjustRightInd/>
            </w:pPr>
            <w:r>
              <w:t xml:space="preserve">Следните нематериални инвестиции: придобиването или развитието на компютърен софтуер и придобиването на патенти, лицензи, авторски права, търговски марки. </w:t>
            </w:r>
          </w:p>
          <w:p w14:paraId="0B7435CF" w14:textId="2FE00EE6" w:rsidR="006E49B3" w:rsidRDefault="006E49B3" w:rsidP="004D06A2">
            <w:pPr>
              <w:pStyle w:val="Default"/>
              <w:widowControl w:val="0"/>
              <w:jc w:val="both"/>
            </w:pPr>
            <w:r w:rsidRPr="003F7A0D">
              <w:rPr>
                <w:lang w:val="en-US"/>
              </w:rPr>
              <w:t xml:space="preserve"> </w:t>
            </w:r>
            <w:r w:rsidR="004D06A2">
              <w:rPr>
                <w:b/>
                <w:lang w:val="en-US"/>
              </w:rPr>
              <w:t xml:space="preserve"> </w:t>
            </w:r>
            <w:r w:rsidR="004D06A2">
              <w:t xml:space="preserve"> Р</w:t>
            </w:r>
            <w:r>
              <w:t xml:space="preserve">азходите по т. 3 </w:t>
            </w:r>
            <w:r w:rsidR="004D06A2">
              <w:t xml:space="preserve"> </w:t>
            </w:r>
            <w:r>
              <w:t xml:space="preserve"> не трябва да надхвърлят 12% от сумата на разходите по т. 1, 2 и 4, а разходите, свързани с консултации (попълване на анализ разходи-ползи (финансов анализ), извършване на </w:t>
            </w:r>
            <w:proofErr w:type="spellStart"/>
            <w:r>
              <w:t>предпроектни</w:t>
            </w:r>
            <w:proofErr w:type="spellEnd"/>
            <w:r>
              <w:t xml:space="preserve"> проучвания и окомплектоване на пакета документи, и консултантските услуги, свързани с изпълнението и отчитане на дейностите по проекта до изплащане на помощта) не следва да надхвърлят </w:t>
            </w:r>
            <w:r>
              <w:rPr>
                <w:b/>
              </w:rPr>
              <w:t>5 на сто</w:t>
            </w:r>
            <w:r>
              <w:t xml:space="preserve"> от стойността на допустимите разходи.</w:t>
            </w:r>
          </w:p>
          <w:p w14:paraId="04410418" w14:textId="638E2136" w:rsidR="006E49B3" w:rsidRDefault="004D06A2" w:rsidP="006E49B3">
            <w:pPr>
              <w:pStyle w:val="Default"/>
              <w:jc w:val="both"/>
            </w:pPr>
            <w:r>
              <w:t xml:space="preserve">     </w:t>
            </w:r>
            <w:r w:rsidR="006E49B3">
              <w:t xml:space="preserve">Оперативните разходи, свързани с предоставянето на услугите са недопустими за подпомагане по </w:t>
            </w:r>
            <w:proofErr w:type="spellStart"/>
            <w:r w:rsidR="006E49B3">
              <w:t>подмярката</w:t>
            </w:r>
            <w:proofErr w:type="spellEnd"/>
            <w:r w:rsidR="006E49B3">
              <w:t>.</w:t>
            </w:r>
          </w:p>
          <w:p w14:paraId="74FA7A28" w14:textId="4354C4E3" w:rsidR="006E49B3" w:rsidRDefault="004D06A2" w:rsidP="004D06A2">
            <w:pPr>
              <w:pStyle w:val="Default"/>
              <w:jc w:val="both"/>
            </w:pPr>
            <w:r>
              <w:t xml:space="preserve">      </w:t>
            </w:r>
            <w:r w:rsidR="006E49B3">
              <w:t>Разходите за ДДС са допустими в случаите, когато не подлежат на възстановяване в съответствие с националното законодателство в областта на ДДС.</w:t>
            </w:r>
          </w:p>
          <w:p w14:paraId="1C2550B2" w14:textId="34496C76" w:rsidR="000C402E" w:rsidRPr="006E49B3" w:rsidRDefault="004D06A2" w:rsidP="006E49B3">
            <w:pPr>
              <w:pStyle w:val="Default"/>
              <w:suppressAutoHyphens/>
              <w:autoSpaceDE/>
              <w:adjustRightInd/>
            </w:pPr>
            <w:r>
              <w:t xml:space="preserve">      </w:t>
            </w:r>
            <w:r w:rsidR="006E49B3" w:rsidRPr="006E49B3">
              <w:t>Закупуването чрез финансов лизинг на активите е допустимо, при условие че бенефициентът на помощта стане собственик на съответния актив не по-късно от датата на подаване на заявката за междинно или окончателно плащане за същия актив.</w:t>
            </w:r>
            <w:r w:rsidR="003F7A0D">
              <w:rPr>
                <w:b/>
              </w:rPr>
              <w:t xml:space="preserve"> </w:t>
            </w:r>
            <w:r w:rsidR="00852911" w:rsidRPr="00852911">
              <w:t xml:space="preserve"> </w:t>
            </w:r>
          </w:p>
        </w:tc>
      </w:tr>
    </w:tbl>
    <w:p w14:paraId="26AB3EDD" w14:textId="77777777" w:rsidR="008C33D1" w:rsidRPr="00080C5D" w:rsidRDefault="008C33D1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</w:p>
    <w:p w14:paraId="35B54754" w14:textId="067E22C8" w:rsidR="009C16B1" w:rsidRPr="00080C5D" w:rsidRDefault="001B0DBB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val="en-US" w:eastAsia="bg-BG"/>
        </w:rPr>
      </w:pPr>
      <w:r w:rsidRPr="00080C5D">
        <w:rPr>
          <w:rFonts w:cs="Times New Roman"/>
          <w:b/>
          <w:szCs w:val="24"/>
          <w:lang w:eastAsia="bg-BG"/>
        </w:rPr>
        <w:t>5</w:t>
      </w:r>
      <w:r w:rsidR="00D3123F" w:rsidRPr="00080C5D">
        <w:rPr>
          <w:rFonts w:cs="Times New Roman"/>
          <w:b/>
          <w:szCs w:val="24"/>
          <w:lang w:eastAsia="bg-BG"/>
        </w:rPr>
        <w:t>. ПЕРИОД ЗА ПРИЕМ И МЯСТО ЗА ПОДАВАНЕ НА ПРОЕКТНИ ПРЕДЛОЖЕНИЯ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8C33D1" w:rsidRPr="00080C5D" w14:paraId="217577AB" w14:textId="77777777" w:rsidTr="008C33D1">
        <w:tc>
          <w:tcPr>
            <w:tcW w:w="10913" w:type="dxa"/>
          </w:tcPr>
          <w:p w14:paraId="4BA75C01" w14:textId="77777777" w:rsidR="00503ACE" w:rsidRPr="00C12F49" w:rsidRDefault="00503ACE" w:rsidP="00503ACE">
            <w:pPr>
              <w:widowControl w:val="0"/>
              <w:shd w:val="clear" w:color="auto" w:fill="FEFEFE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b/>
                <w:color w:val="000000"/>
                <w:szCs w:val="24"/>
                <w:lang w:eastAsia="bg-BG"/>
              </w:rPr>
            </w:pPr>
            <w:r w:rsidRPr="00C12F49">
              <w:rPr>
                <w:rFonts w:eastAsia="Times New Roman" w:cs="Times New Roman"/>
                <w:b/>
                <w:color w:val="000000"/>
                <w:szCs w:val="24"/>
                <w:lang w:eastAsia="bg-BG"/>
              </w:rPr>
              <w:t xml:space="preserve">1. Първи краен срок за кандидатстване: </w:t>
            </w:r>
          </w:p>
          <w:p w14:paraId="76ADB239" w14:textId="26351F42" w:rsidR="00503ACE" w:rsidRPr="0041125B" w:rsidRDefault="00503ACE" w:rsidP="00503ACE">
            <w:pPr>
              <w:widowControl w:val="0"/>
              <w:shd w:val="clear" w:color="auto" w:fill="FEFEFE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bCs/>
                <w:color w:val="000000"/>
                <w:szCs w:val="24"/>
                <w:lang w:val="en-US" w:eastAsia="bg-BG"/>
              </w:rPr>
            </w:pPr>
          </w:p>
          <w:p w14:paraId="44C7772A" w14:textId="77777777" w:rsidR="00503ACE" w:rsidRPr="00503ACE" w:rsidRDefault="00503ACE" w:rsidP="00503ACE">
            <w:pPr>
              <w:widowControl w:val="0"/>
              <w:shd w:val="clear" w:color="auto" w:fill="FEFEFE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b/>
                <w:color w:val="000000"/>
                <w:szCs w:val="24"/>
                <w:lang w:eastAsia="bg-BG"/>
              </w:rPr>
            </w:pPr>
            <w:r w:rsidRPr="00503ACE">
              <w:rPr>
                <w:rFonts w:eastAsia="Times New Roman" w:cs="Times New Roman"/>
                <w:b/>
                <w:color w:val="000000"/>
                <w:szCs w:val="24"/>
                <w:lang w:eastAsia="bg-BG"/>
              </w:rPr>
              <w:t>Начален срок за подаване на проектните предложения: 30.06.2021 г.</w:t>
            </w:r>
          </w:p>
          <w:p w14:paraId="61EDB2E6" w14:textId="44CDDE6B" w:rsidR="00503ACE" w:rsidRPr="00C12F49" w:rsidRDefault="00503ACE" w:rsidP="00503ACE">
            <w:pPr>
              <w:widowControl w:val="0"/>
              <w:shd w:val="clear" w:color="auto" w:fill="FEFEFE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b/>
                <w:color w:val="000000"/>
                <w:szCs w:val="24"/>
                <w:lang w:eastAsia="bg-BG"/>
              </w:rPr>
            </w:pPr>
            <w:r w:rsidRPr="00503ACE">
              <w:rPr>
                <w:rFonts w:eastAsia="Times New Roman" w:cs="Times New Roman"/>
                <w:b/>
                <w:color w:val="000000"/>
                <w:szCs w:val="24"/>
                <w:lang w:eastAsia="bg-BG"/>
              </w:rPr>
              <w:t>Краен срок за подаване на проектните предложения: 30.09.2021 г.</w:t>
            </w:r>
            <w:r>
              <w:rPr>
                <w:rFonts w:eastAsia="Times New Roman" w:cs="Times New Roman"/>
                <w:b/>
                <w:color w:val="000000"/>
                <w:szCs w:val="24"/>
                <w:lang w:eastAsia="bg-BG"/>
              </w:rPr>
              <w:t xml:space="preserve">, </w:t>
            </w:r>
            <w:r w:rsidRPr="00503ACE">
              <w:rPr>
                <w:rFonts w:eastAsia="Times New Roman" w:cs="Times New Roman"/>
                <w:b/>
                <w:color w:val="000000"/>
                <w:szCs w:val="24"/>
                <w:lang w:eastAsia="bg-BG"/>
              </w:rPr>
              <w:t>17:00 часа.</w:t>
            </w:r>
          </w:p>
          <w:p w14:paraId="4320E51E" w14:textId="666D29BC" w:rsidR="00503ACE" w:rsidRPr="00C12F49" w:rsidRDefault="00503ACE" w:rsidP="00503ACE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eastAsia="Times New Roman" w:cs="Times New Roman"/>
                <w:b/>
                <w:szCs w:val="24"/>
                <w:lang w:eastAsia="bg-BG"/>
              </w:rPr>
            </w:pPr>
            <w:r w:rsidRPr="00C12F49">
              <w:rPr>
                <w:rFonts w:eastAsia="Times New Roman" w:cs="Times New Roman"/>
                <w:b/>
                <w:szCs w:val="24"/>
                <w:lang w:eastAsia="bg-BG"/>
              </w:rPr>
              <w:t>2.  Втори краен срок за кандидатстване:</w:t>
            </w:r>
          </w:p>
          <w:p w14:paraId="600294AD" w14:textId="491888E1" w:rsidR="00503ACE" w:rsidRPr="00503ACE" w:rsidRDefault="00503ACE" w:rsidP="00503A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Cs w:val="24"/>
                <w:lang w:val="en-US" w:eastAsia="bg-BG"/>
              </w:rPr>
            </w:pPr>
            <w:r w:rsidRPr="00C12F49">
              <w:rPr>
                <w:rFonts w:eastAsia="Times New Roman" w:cs="Times New Roman"/>
                <w:szCs w:val="24"/>
                <w:lang w:eastAsia="bg-BG"/>
              </w:rPr>
              <w:t>В случай, че е налице неусвоен финансов ресурс от първия краен срок на кандидатстване, МИГ пред</w:t>
            </w:r>
            <w:r>
              <w:rPr>
                <w:rFonts w:eastAsia="Times New Roman" w:cs="Times New Roman"/>
                <w:szCs w:val="24"/>
                <w:lang w:eastAsia="bg-BG"/>
              </w:rPr>
              <w:t>вижда втори краен срок през 2022</w:t>
            </w:r>
            <w:r w:rsidRPr="00C12F49">
              <w:rPr>
                <w:rFonts w:eastAsia="Times New Roman" w:cs="Times New Roman"/>
                <w:szCs w:val="24"/>
                <w:lang w:eastAsia="bg-BG"/>
              </w:rPr>
              <w:t>г.,</w:t>
            </w:r>
            <w:r>
              <w:rPr>
                <w:rFonts w:eastAsia="Times New Roman" w:cs="Times New Roman"/>
                <w:szCs w:val="24"/>
                <w:lang w:val="en-US" w:eastAsia="bg-BG"/>
              </w:rPr>
              <w:t xml:space="preserve"> </w:t>
            </w:r>
          </w:p>
          <w:p w14:paraId="5E0E9673" w14:textId="77777777" w:rsidR="00503ACE" w:rsidRPr="00C12F49" w:rsidRDefault="00503ACE" w:rsidP="00503A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Cs w:val="24"/>
                <w:lang w:eastAsia="bg-BG"/>
              </w:rPr>
            </w:pPr>
          </w:p>
          <w:p w14:paraId="762251E4" w14:textId="3F8E8FFF" w:rsidR="00503ACE" w:rsidRPr="0041125B" w:rsidRDefault="00503ACE" w:rsidP="00503ACE">
            <w:pPr>
              <w:spacing w:line="276" w:lineRule="auto"/>
              <w:jc w:val="both"/>
              <w:rPr>
                <w:rFonts w:eastAsia="Calibri" w:cs="Times New Roman"/>
                <w:b/>
                <w:szCs w:val="24"/>
              </w:rPr>
            </w:pPr>
            <w:r w:rsidRPr="0041125B">
              <w:rPr>
                <w:rFonts w:eastAsia="Calibri" w:cs="Times New Roman"/>
                <w:b/>
                <w:szCs w:val="24"/>
              </w:rPr>
              <w:t>Начален срок за подаване на проектните предложения:  01.03.2022г.</w:t>
            </w:r>
          </w:p>
          <w:p w14:paraId="1DACA106" w14:textId="11311211" w:rsidR="00503ACE" w:rsidRPr="0041125B" w:rsidRDefault="00503ACE" w:rsidP="00503ACE">
            <w:pPr>
              <w:spacing w:line="276" w:lineRule="auto"/>
              <w:jc w:val="both"/>
              <w:rPr>
                <w:rFonts w:eastAsia="Calibri" w:cs="Times New Roman"/>
                <w:b/>
                <w:szCs w:val="24"/>
              </w:rPr>
            </w:pPr>
            <w:r w:rsidRPr="0041125B">
              <w:rPr>
                <w:rFonts w:eastAsia="Calibri" w:cs="Times New Roman"/>
                <w:b/>
                <w:szCs w:val="24"/>
              </w:rPr>
              <w:t>Краен срок за подаване на проектни предложения: 31.</w:t>
            </w:r>
            <w:r w:rsidRPr="0041125B">
              <w:rPr>
                <w:rFonts w:eastAsia="Calibri" w:cs="Times New Roman"/>
                <w:b/>
                <w:szCs w:val="24"/>
                <w:lang w:val="en-US"/>
              </w:rPr>
              <w:t>05</w:t>
            </w:r>
            <w:r w:rsidRPr="0041125B">
              <w:rPr>
                <w:rFonts w:eastAsia="Calibri" w:cs="Times New Roman"/>
                <w:b/>
                <w:szCs w:val="24"/>
              </w:rPr>
              <w:t>.2022г.,</w:t>
            </w:r>
            <w:r w:rsidRPr="0041125B">
              <w:rPr>
                <w:b/>
              </w:rPr>
              <w:t xml:space="preserve"> </w:t>
            </w:r>
            <w:r w:rsidRPr="0041125B">
              <w:rPr>
                <w:rFonts w:eastAsia="Calibri" w:cs="Times New Roman"/>
                <w:b/>
                <w:szCs w:val="24"/>
              </w:rPr>
              <w:t>17:00 часа.</w:t>
            </w:r>
          </w:p>
          <w:p w14:paraId="587B4D4C" w14:textId="55E12E06" w:rsidR="007C1D39" w:rsidRPr="00080C5D" w:rsidRDefault="00503ACE" w:rsidP="00017CAF">
            <w:pPr>
              <w:spacing w:line="276" w:lineRule="auto"/>
              <w:jc w:val="both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color w:val="000000"/>
                <w:szCs w:val="24"/>
                <w:lang w:val="en-US" w:eastAsia="bg-BG"/>
              </w:rPr>
              <w:t xml:space="preserve"> </w:t>
            </w:r>
          </w:p>
          <w:p w14:paraId="37B98664" w14:textId="3E760346" w:rsidR="00865D3A" w:rsidRPr="00080C5D" w:rsidRDefault="00865D3A" w:rsidP="00017CAF">
            <w:pP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  <w:r w:rsidRPr="00080C5D">
              <w:rPr>
                <w:rFonts w:cs="Times New Roman"/>
                <w:b/>
                <w:szCs w:val="24"/>
              </w:rPr>
              <w:t>Място на подаване на проектни предложения:</w:t>
            </w:r>
          </w:p>
          <w:p w14:paraId="3E60C514" w14:textId="536E0300" w:rsidR="00865D3A" w:rsidRPr="00080C5D" w:rsidRDefault="00865D3A" w:rsidP="00017CA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80C5D">
              <w:rPr>
                <w:rFonts w:cs="Times New Roman"/>
                <w:szCs w:val="24"/>
              </w:rPr>
              <w:t xml:space="preserve">Информационна система за управление и наблюдение на средствата от ЕС в периода 2014-2020 г. в България (ИСУН 2020), чрез модула „Е-кандидатстване“ на следния интернет адрес: </w:t>
            </w:r>
            <w:hyperlink r:id="rId12" w:history="1">
              <w:r w:rsidRPr="00080C5D">
                <w:rPr>
                  <w:rStyle w:val="a7"/>
                  <w:rFonts w:cs="Times New Roman"/>
                  <w:szCs w:val="24"/>
                </w:rPr>
                <w:t>https://eumis2020.government.bg</w:t>
              </w:r>
            </w:hyperlink>
            <w:r w:rsidRPr="00080C5D">
              <w:rPr>
                <w:rFonts w:cs="Times New Roman"/>
                <w:szCs w:val="24"/>
              </w:rPr>
              <w:t xml:space="preserve">. </w:t>
            </w:r>
          </w:p>
        </w:tc>
      </w:tr>
    </w:tbl>
    <w:p w14:paraId="327CA813" w14:textId="77777777" w:rsidR="008C33D1" w:rsidRPr="00080C5D" w:rsidRDefault="008C33D1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val="en-US" w:eastAsia="bg-BG"/>
        </w:rPr>
      </w:pPr>
    </w:p>
    <w:p w14:paraId="2225AEAB" w14:textId="77777777" w:rsidR="00017CAF" w:rsidRPr="00080C5D" w:rsidRDefault="00017CAF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val="en-US" w:eastAsia="bg-BG"/>
        </w:rPr>
      </w:pPr>
    </w:p>
    <w:p w14:paraId="7348A948" w14:textId="77777777" w:rsidR="00D3123F" w:rsidRPr="00080C5D" w:rsidRDefault="001B0DBB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  <w:r w:rsidRPr="00080C5D">
        <w:rPr>
          <w:rFonts w:cs="Times New Roman"/>
          <w:b/>
          <w:szCs w:val="24"/>
          <w:lang w:eastAsia="bg-BG"/>
        </w:rPr>
        <w:t>6</w:t>
      </w:r>
      <w:r w:rsidR="00D3123F" w:rsidRPr="00080C5D">
        <w:rPr>
          <w:rFonts w:cs="Times New Roman"/>
          <w:b/>
          <w:szCs w:val="24"/>
          <w:lang w:eastAsia="bg-BG"/>
        </w:rPr>
        <w:t>. БЮДЖЕТ НА ПРИЕМА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E56540" w:rsidRPr="00080C5D" w14:paraId="6E799ABA" w14:textId="77777777" w:rsidTr="00F22A30">
        <w:trPr>
          <w:trHeight w:val="1619"/>
        </w:trPr>
        <w:tc>
          <w:tcPr>
            <w:tcW w:w="10793" w:type="dxa"/>
          </w:tcPr>
          <w:tbl>
            <w:tblPr>
              <w:tblW w:w="10502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61"/>
              <w:gridCol w:w="3461"/>
              <w:gridCol w:w="3580"/>
            </w:tblGrid>
            <w:tr w:rsidR="00017CAF" w:rsidRPr="00080C5D" w14:paraId="2B6DF84B" w14:textId="77777777" w:rsidTr="00581F5E">
              <w:trPr>
                <w:trHeight w:val="1039"/>
              </w:trPr>
              <w:tc>
                <w:tcPr>
                  <w:tcW w:w="3461" w:type="dxa"/>
                  <w:shd w:val="clear" w:color="auto" w:fill="DEEAF6" w:themeFill="accent1" w:themeFillTint="33"/>
                </w:tcPr>
                <w:p w14:paraId="6A889945" w14:textId="77777777" w:rsidR="00017CAF" w:rsidRPr="00080C5D" w:rsidRDefault="00017CAF" w:rsidP="004833F7">
                  <w:pPr>
                    <w:pStyle w:val="Default"/>
                    <w:jc w:val="both"/>
                    <w:rPr>
                      <w:b/>
                      <w:color w:val="auto"/>
                    </w:rPr>
                  </w:pPr>
                  <w:r w:rsidRPr="00080C5D">
                    <w:rPr>
                      <w:b/>
                      <w:bCs/>
                      <w:color w:val="auto"/>
                    </w:rPr>
                    <w:lastRenderedPageBreak/>
                    <w:t xml:space="preserve">Общ размер на безвъзмездната финансова помощ </w:t>
                  </w:r>
                </w:p>
              </w:tc>
              <w:tc>
                <w:tcPr>
                  <w:tcW w:w="3461" w:type="dxa"/>
                  <w:shd w:val="clear" w:color="auto" w:fill="DEEAF6" w:themeFill="accent1" w:themeFillTint="33"/>
                </w:tcPr>
                <w:p w14:paraId="156CC9CE" w14:textId="77777777" w:rsidR="00017CAF" w:rsidRPr="00080C5D" w:rsidRDefault="00017CAF" w:rsidP="004833F7">
                  <w:pPr>
                    <w:pStyle w:val="a3"/>
                    <w:tabs>
                      <w:tab w:val="clear" w:pos="4536"/>
                      <w:tab w:val="clear" w:pos="9072"/>
                    </w:tabs>
                    <w:spacing w:line="276" w:lineRule="auto"/>
                    <w:jc w:val="both"/>
                    <w:rPr>
                      <w:rFonts w:cs="Times New Roman"/>
                      <w:b/>
                      <w:szCs w:val="24"/>
                    </w:rPr>
                  </w:pPr>
                  <w:r w:rsidRPr="00080C5D">
                    <w:rPr>
                      <w:rFonts w:cs="Times New Roman"/>
                      <w:b/>
                      <w:szCs w:val="24"/>
                    </w:rPr>
                    <w:t>Средства от ЕЗФРСР</w:t>
                  </w:r>
                </w:p>
                <w:p w14:paraId="0986A03B" w14:textId="77777777" w:rsidR="00017CAF" w:rsidRPr="00080C5D" w:rsidRDefault="00017CAF" w:rsidP="004833F7">
                  <w:pPr>
                    <w:pStyle w:val="a3"/>
                    <w:tabs>
                      <w:tab w:val="clear" w:pos="4536"/>
                      <w:tab w:val="clear" w:pos="9072"/>
                    </w:tabs>
                    <w:spacing w:line="276" w:lineRule="auto"/>
                    <w:jc w:val="both"/>
                    <w:rPr>
                      <w:rFonts w:cs="Times New Roman"/>
                      <w:b/>
                      <w:szCs w:val="24"/>
                    </w:rPr>
                  </w:pPr>
                  <w:r w:rsidRPr="00080C5D">
                    <w:rPr>
                      <w:rFonts w:cs="Times New Roman"/>
                      <w:b/>
                      <w:szCs w:val="24"/>
                    </w:rPr>
                    <w:t>(сума/процент)</w:t>
                  </w:r>
                </w:p>
              </w:tc>
              <w:tc>
                <w:tcPr>
                  <w:tcW w:w="3580" w:type="dxa"/>
                  <w:shd w:val="clear" w:color="auto" w:fill="DEEAF6" w:themeFill="accent1" w:themeFillTint="33"/>
                </w:tcPr>
                <w:p w14:paraId="0CBDBA59" w14:textId="77777777" w:rsidR="00017CAF" w:rsidRPr="00080C5D" w:rsidRDefault="00017CAF" w:rsidP="004833F7">
                  <w:pPr>
                    <w:pStyle w:val="a3"/>
                    <w:tabs>
                      <w:tab w:val="clear" w:pos="4536"/>
                      <w:tab w:val="clear" w:pos="9072"/>
                    </w:tabs>
                    <w:spacing w:line="276" w:lineRule="auto"/>
                    <w:jc w:val="both"/>
                    <w:rPr>
                      <w:rFonts w:cs="Times New Roman"/>
                      <w:b/>
                      <w:szCs w:val="24"/>
                    </w:rPr>
                  </w:pPr>
                  <w:r w:rsidRPr="00080C5D">
                    <w:rPr>
                      <w:rFonts w:cs="Times New Roman"/>
                      <w:b/>
                      <w:szCs w:val="24"/>
                    </w:rPr>
                    <w:t>Национално съфинансиране</w:t>
                  </w:r>
                </w:p>
                <w:p w14:paraId="65A2A3AC" w14:textId="77777777" w:rsidR="00017CAF" w:rsidRPr="00080C5D" w:rsidRDefault="00017CAF" w:rsidP="004833F7">
                  <w:pPr>
                    <w:pStyle w:val="a3"/>
                    <w:tabs>
                      <w:tab w:val="clear" w:pos="4536"/>
                      <w:tab w:val="clear" w:pos="9072"/>
                    </w:tabs>
                    <w:spacing w:line="276" w:lineRule="auto"/>
                    <w:jc w:val="both"/>
                    <w:rPr>
                      <w:rFonts w:cs="Times New Roman"/>
                      <w:b/>
                      <w:szCs w:val="24"/>
                    </w:rPr>
                  </w:pPr>
                  <w:r w:rsidRPr="00080C5D">
                    <w:rPr>
                      <w:rFonts w:cs="Times New Roman"/>
                      <w:b/>
                      <w:szCs w:val="24"/>
                    </w:rPr>
                    <w:t>(сума/процент)</w:t>
                  </w:r>
                </w:p>
              </w:tc>
            </w:tr>
            <w:tr w:rsidR="00017CAF" w:rsidRPr="00080C5D" w14:paraId="06F5A8D2" w14:textId="77777777" w:rsidTr="00760332">
              <w:trPr>
                <w:trHeight w:val="565"/>
              </w:trPr>
              <w:tc>
                <w:tcPr>
                  <w:tcW w:w="3461" w:type="dxa"/>
                  <w:shd w:val="clear" w:color="auto" w:fill="auto"/>
                  <w:vAlign w:val="center"/>
                </w:tcPr>
                <w:p w14:paraId="34DB23EC" w14:textId="7FC5AE1B" w:rsidR="00017CAF" w:rsidRPr="00080C5D" w:rsidRDefault="00622A86" w:rsidP="004833F7">
                  <w:pPr>
                    <w:pStyle w:val="a3"/>
                    <w:tabs>
                      <w:tab w:val="clear" w:pos="4536"/>
                      <w:tab w:val="clear" w:pos="9072"/>
                    </w:tabs>
                    <w:spacing w:before="120" w:after="120" w:line="276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2</w:t>
                  </w:r>
                  <w:r w:rsidR="003F7A0D">
                    <w:rPr>
                      <w:rFonts w:cs="Times New Roman"/>
                      <w:b/>
                      <w:szCs w:val="24"/>
                    </w:rPr>
                    <w:t>00 0</w:t>
                  </w:r>
                  <w:r w:rsidR="00852911" w:rsidRPr="00852911">
                    <w:rPr>
                      <w:rFonts w:cs="Times New Roman"/>
                      <w:b/>
                      <w:szCs w:val="24"/>
                    </w:rPr>
                    <w:t xml:space="preserve">00,00 </w:t>
                  </w:r>
                  <w:r w:rsidR="00017CAF" w:rsidRPr="00080C5D">
                    <w:rPr>
                      <w:rFonts w:cs="Times New Roman"/>
                      <w:b/>
                      <w:szCs w:val="24"/>
                    </w:rPr>
                    <w:t>лева</w:t>
                  </w:r>
                </w:p>
              </w:tc>
              <w:tc>
                <w:tcPr>
                  <w:tcW w:w="3461" w:type="dxa"/>
                  <w:shd w:val="clear" w:color="auto" w:fill="auto"/>
                  <w:vAlign w:val="center"/>
                </w:tcPr>
                <w:p w14:paraId="55FDE3EF" w14:textId="56F4A8E3" w:rsidR="00017CAF" w:rsidRPr="00080C5D" w:rsidRDefault="00017CAF" w:rsidP="003F7A0D">
                  <w:pPr>
                    <w:pStyle w:val="a3"/>
                    <w:tabs>
                      <w:tab w:val="clear" w:pos="4536"/>
                      <w:tab w:val="clear" w:pos="9072"/>
                    </w:tabs>
                    <w:spacing w:before="120" w:after="120" w:line="276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 w:rsidRPr="00080C5D">
                    <w:rPr>
                      <w:rFonts w:cs="Times New Roman"/>
                      <w:b/>
                      <w:szCs w:val="24"/>
                    </w:rPr>
                    <w:t xml:space="preserve">(90%) - </w:t>
                  </w:r>
                  <w:r w:rsidR="00622A86">
                    <w:rPr>
                      <w:rFonts w:cs="Times New Roman"/>
                      <w:b/>
                      <w:szCs w:val="24"/>
                    </w:rPr>
                    <w:t>18</w:t>
                  </w:r>
                  <w:r w:rsidR="003F7A0D">
                    <w:rPr>
                      <w:rFonts w:cs="Times New Roman"/>
                      <w:b/>
                      <w:szCs w:val="24"/>
                    </w:rPr>
                    <w:t>0 00</w:t>
                  </w:r>
                  <w:r w:rsidR="00FF2876" w:rsidRPr="00FF2876">
                    <w:rPr>
                      <w:rFonts w:cs="Times New Roman"/>
                      <w:b/>
                      <w:szCs w:val="24"/>
                    </w:rPr>
                    <w:t xml:space="preserve">0,00 </w:t>
                  </w:r>
                  <w:r w:rsidRPr="00080C5D">
                    <w:rPr>
                      <w:rFonts w:cs="Times New Roman"/>
                      <w:b/>
                      <w:szCs w:val="24"/>
                    </w:rPr>
                    <w:t>лева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</w:tcPr>
                <w:p w14:paraId="081E2171" w14:textId="2B20B747" w:rsidR="00017CAF" w:rsidRPr="00080C5D" w:rsidRDefault="00017CAF" w:rsidP="003F7A0D">
                  <w:pPr>
                    <w:pStyle w:val="a3"/>
                    <w:tabs>
                      <w:tab w:val="clear" w:pos="4536"/>
                      <w:tab w:val="clear" w:pos="9072"/>
                    </w:tabs>
                    <w:spacing w:before="120" w:after="120" w:line="276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 w:rsidRPr="00080C5D">
                    <w:rPr>
                      <w:rFonts w:cs="Times New Roman"/>
                      <w:b/>
                      <w:szCs w:val="24"/>
                    </w:rPr>
                    <w:t xml:space="preserve">(10 %) - </w:t>
                  </w:r>
                  <w:r w:rsidR="00622A86">
                    <w:rPr>
                      <w:rFonts w:cs="Times New Roman"/>
                      <w:b/>
                      <w:szCs w:val="24"/>
                    </w:rPr>
                    <w:t>2</w:t>
                  </w:r>
                  <w:r w:rsidR="003F7A0D">
                    <w:rPr>
                      <w:rFonts w:cs="Times New Roman"/>
                      <w:b/>
                      <w:szCs w:val="24"/>
                    </w:rPr>
                    <w:t>0 00</w:t>
                  </w:r>
                  <w:r w:rsidR="00FF2876" w:rsidRPr="00FF2876">
                    <w:rPr>
                      <w:rFonts w:cs="Times New Roman"/>
                      <w:b/>
                      <w:szCs w:val="24"/>
                    </w:rPr>
                    <w:t xml:space="preserve">0,00 </w:t>
                  </w:r>
                  <w:r w:rsidRPr="00080C5D">
                    <w:rPr>
                      <w:rFonts w:cs="Times New Roman"/>
                      <w:b/>
                      <w:szCs w:val="24"/>
                    </w:rPr>
                    <w:t>лева</w:t>
                  </w:r>
                </w:p>
              </w:tc>
            </w:tr>
          </w:tbl>
          <w:p w14:paraId="3AA531F0" w14:textId="328DF1DA" w:rsidR="00017CAF" w:rsidRPr="00080C5D" w:rsidRDefault="00017CAF" w:rsidP="00017CAF">
            <w:pPr>
              <w:spacing w:line="276" w:lineRule="auto"/>
              <w:jc w:val="both"/>
              <w:rPr>
                <w:rFonts w:cs="Times New Roman"/>
                <w:b/>
                <w:szCs w:val="24"/>
                <w:lang w:val="en-US"/>
              </w:rPr>
            </w:pPr>
          </w:p>
        </w:tc>
      </w:tr>
    </w:tbl>
    <w:p w14:paraId="4A31C9E8" w14:textId="77777777" w:rsidR="00E56540" w:rsidRPr="00080C5D" w:rsidRDefault="00E56540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</w:p>
    <w:p w14:paraId="731B9854" w14:textId="77777777" w:rsidR="00D3123F" w:rsidRPr="00080C5D" w:rsidRDefault="001B0DBB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  <w:r w:rsidRPr="00080C5D">
        <w:rPr>
          <w:rFonts w:cs="Times New Roman"/>
          <w:b/>
          <w:szCs w:val="24"/>
          <w:lang w:eastAsia="bg-BG"/>
        </w:rPr>
        <w:t>7</w:t>
      </w:r>
      <w:r w:rsidR="00D3123F" w:rsidRPr="00080C5D">
        <w:rPr>
          <w:rFonts w:cs="Times New Roman"/>
          <w:b/>
          <w:szCs w:val="24"/>
          <w:lang w:eastAsia="bg-BG"/>
        </w:rPr>
        <w:t>. МИНИМАЛЕН И МАКСИМАЛЕН РАЗМЕР НА ФИНАНСОВАТА ПОМОЩ, ПРЕДОСТАВЯНА ЗА ПРОЕКТ</w:t>
      </w:r>
    </w:p>
    <w:tbl>
      <w:tblPr>
        <w:tblW w:w="10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8"/>
        <w:gridCol w:w="5314"/>
      </w:tblGrid>
      <w:tr w:rsidR="001069D0" w:rsidRPr="00080C5D" w14:paraId="62F75CD1" w14:textId="77777777" w:rsidTr="00F22A30">
        <w:trPr>
          <w:trHeight w:val="795"/>
        </w:trPr>
        <w:tc>
          <w:tcPr>
            <w:tcW w:w="5308" w:type="dxa"/>
            <w:shd w:val="clear" w:color="auto" w:fill="DEEAF6" w:themeFill="accent1" w:themeFillTint="33"/>
            <w:vAlign w:val="center"/>
          </w:tcPr>
          <w:p w14:paraId="6490EFBE" w14:textId="77777777" w:rsidR="001069D0" w:rsidRPr="00080C5D" w:rsidRDefault="001069D0" w:rsidP="001069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080C5D">
              <w:rPr>
                <w:rFonts w:eastAsia="Times New Roman" w:cs="Times New Roman"/>
                <w:b/>
                <w:bCs/>
                <w:szCs w:val="24"/>
                <w:lang w:eastAsia="bg-BG"/>
              </w:rPr>
              <w:t>Минимален размер на безвъзмездната финансова помощ</w:t>
            </w:r>
          </w:p>
        </w:tc>
        <w:tc>
          <w:tcPr>
            <w:tcW w:w="5314" w:type="dxa"/>
            <w:shd w:val="clear" w:color="auto" w:fill="DEEAF6" w:themeFill="accent1" w:themeFillTint="33"/>
            <w:vAlign w:val="center"/>
          </w:tcPr>
          <w:p w14:paraId="274A2843" w14:textId="77777777" w:rsidR="001069D0" w:rsidRPr="00080C5D" w:rsidRDefault="001069D0" w:rsidP="001069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080C5D">
              <w:rPr>
                <w:rFonts w:eastAsia="Times New Roman" w:cs="Times New Roman"/>
                <w:b/>
                <w:bCs/>
                <w:szCs w:val="24"/>
                <w:lang w:eastAsia="bg-BG"/>
              </w:rPr>
              <w:t>Максимален размер на безвъзмездната финансова помощ</w:t>
            </w:r>
          </w:p>
        </w:tc>
      </w:tr>
      <w:tr w:rsidR="001069D0" w:rsidRPr="00080C5D" w14:paraId="3F540EEF" w14:textId="77777777" w:rsidTr="00F22A30">
        <w:trPr>
          <w:trHeight w:val="480"/>
        </w:trPr>
        <w:tc>
          <w:tcPr>
            <w:tcW w:w="5308" w:type="dxa"/>
            <w:shd w:val="clear" w:color="auto" w:fill="auto"/>
            <w:vAlign w:val="center"/>
          </w:tcPr>
          <w:p w14:paraId="46B0ACE5" w14:textId="0C534229" w:rsidR="001069D0" w:rsidRPr="00EE6B7C" w:rsidRDefault="00EE6B7C" w:rsidP="00EE6B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10 0</w:t>
            </w:r>
            <w:r w:rsidR="00FF2876" w:rsidRPr="00FF2876">
              <w:rPr>
                <w:rFonts w:eastAsia="Times New Roman" w:cs="Times New Roman"/>
                <w:b/>
                <w:bCs/>
                <w:szCs w:val="24"/>
                <w:lang w:eastAsia="bg-BG"/>
              </w:rPr>
              <w:t>00,00 лева</w:t>
            </w:r>
          </w:p>
        </w:tc>
        <w:tc>
          <w:tcPr>
            <w:tcW w:w="5314" w:type="dxa"/>
            <w:shd w:val="clear" w:color="auto" w:fill="auto"/>
            <w:vAlign w:val="center"/>
          </w:tcPr>
          <w:p w14:paraId="02E5A769" w14:textId="230D764D" w:rsidR="001069D0" w:rsidRPr="00EE6B7C" w:rsidRDefault="00FF2876" w:rsidP="00EE6B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FF2876">
              <w:rPr>
                <w:rFonts w:eastAsia="Times New Roman" w:cs="Times New Roman"/>
                <w:b/>
                <w:bCs/>
                <w:szCs w:val="24"/>
                <w:lang w:eastAsia="bg-BG"/>
              </w:rPr>
              <w:t>2</w:t>
            </w:r>
            <w:r w:rsidR="00EE6B7C">
              <w:rPr>
                <w:rFonts w:eastAsia="Times New Roman" w:cs="Times New Roman"/>
                <w:b/>
                <w:bCs/>
                <w:szCs w:val="24"/>
                <w:lang w:eastAsia="bg-BG"/>
              </w:rPr>
              <w:t>00</w:t>
            </w:r>
            <w:r w:rsidRPr="00FF2876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 000,00 лева</w:t>
            </w:r>
            <w:r w:rsidR="00EE6B7C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 </w:t>
            </w:r>
          </w:p>
        </w:tc>
      </w:tr>
    </w:tbl>
    <w:p w14:paraId="43981CB9" w14:textId="56803BD1" w:rsidR="00E56540" w:rsidRDefault="00E56540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val="en-US" w:eastAsia="bg-BG"/>
        </w:rPr>
      </w:pPr>
    </w:p>
    <w:p w14:paraId="1083A495" w14:textId="2EF4918B" w:rsidR="00EE6B7C" w:rsidRPr="00EE6B7C" w:rsidRDefault="00EE6B7C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  <w:r>
        <w:rPr>
          <w:rFonts w:cs="Times New Roman"/>
          <w:b/>
          <w:szCs w:val="24"/>
          <w:lang w:eastAsia="bg-BG"/>
        </w:rPr>
        <w:t>8. ПРОЦЕНТ НА СЪФИНАНСИРАНЕ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EE6B7C" w14:paraId="5B1918B8" w14:textId="77777777" w:rsidTr="00EE6B7C">
        <w:tc>
          <w:tcPr>
            <w:tcW w:w="10913" w:type="dxa"/>
          </w:tcPr>
          <w:p w14:paraId="7B75052E" w14:textId="77777777" w:rsidR="00622A86" w:rsidRPr="00622A86" w:rsidRDefault="00622A86" w:rsidP="00622A86">
            <w:pPr>
              <w:spacing w:line="276" w:lineRule="auto"/>
              <w:rPr>
                <w:rFonts w:cs="Times New Roman"/>
                <w:szCs w:val="24"/>
                <w:lang w:val="en-US" w:eastAsia="bg-BG"/>
              </w:rPr>
            </w:pP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Съгласно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Стратегията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за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Водено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от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общностите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местно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развитие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на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МИГ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Луковит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–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Роман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>:</w:t>
            </w:r>
          </w:p>
          <w:p w14:paraId="5354AF52" w14:textId="77777777" w:rsidR="00622A86" w:rsidRPr="00622A86" w:rsidRDefault="00622A86" w:rsidP="00622A86">
            <w:pPr>
              <w:spacing w:line="276" w:lineRule="auto"/>
              <w:rPr>
                <w:rFonts w:cs="Times New Roman"/>
                <w:szCs w:val="24"/>
                <w:lang w:val="en-US" w:eastAsia="bg-BG"/>
              </w:rPr>
            </w:pP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Финансова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помощ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по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мярката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се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предоставя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под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формата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на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възстановяване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на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действително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направени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и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платени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допустими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разходи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>.</w:t>
            </w:r>
          </w:p>
          <w:p w14:paraId="72D6AF22" w14:textId="77777777" w:rsidR="00622A86" w:rsidRPr="00622A86" w:rsidRDefault="00622A86" w:rsidP="00622A86">
            <w:pPr>
              <w:spacing w:line="276" w:lineRule="auto"/>
              <w:rPr>
                <w:rFonts w:cs="Times New Roman"/>
                <w:szCs w:val="24"/>
                <w:lang w:val="en-US" w:eastAsia="bg-BG"/>
              </w:rPr>
            </w:pP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Финансовата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помощ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е в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размер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100 %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от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общите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допустими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разходи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за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проекти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,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които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след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извършване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на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инвестицията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не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генерират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нетни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приходи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>.</w:t>
            </w:r>
          </w:p>
          <w:p w14:paraId="31099D18" w14:textId="77777777" w:rsidR="00622A86" w:rsidRPr="00622A86" w:rsidRDefault="00622A86" w:rsidP="00622A86">
            <w:pPr>
              <w:spacing w:line="276" w:lineRule="auto"/>
              <w:rPr>
                <w:rFonts w:cs="Times New Roman"/>
                <w:szCs w:val="24"/>
                <w:lang w:val="en-US" w:eastAsia="bg-BG"/>
              </w:rPr>
            </w:pP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Финансовата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помощ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е в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размер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100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на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сто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от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общия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размер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на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допустимите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за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финансово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подпомагане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разходи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за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проекти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,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които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след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извършване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на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инвестицията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ще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генерират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нетни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приходи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,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но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размерът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на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допустимите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за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финансово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подпомагане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разходи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за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проекта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не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надхвърля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левовата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равностойност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на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50 000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евро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. </w:t>
            </w:r>
          </w:p>
          <w:p w14:paraId="1FDF785C" w14:textId="58DC715E" w:rsidR="00EE6B7C" w:rsidRPr="00EE6B7C" w:rsidRDefault="00622A86" w:rsidP="00622A86">
            <w:pPr>
              <w:spacing w:line="276" w:lineRule="auto"/>
              <w:rPr>
                <w:rFonts w:cs="Times New Roman"/>
                <w:b/>
                <w:szCs w:val="24"/>
                <w:lang w:eastAsia="bg-BG"/>
              </w:rPr>
            </w:pP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Размерът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на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финансовата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помощ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за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проекти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,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които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след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извършване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на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инвестицията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ще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генерират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нетни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приходи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се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определя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въз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основа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на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анализ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 xml:space="preserve"> „</w:t>
            </w:r>
            <w:proofErr w:type="spellStart"/>
            <w:r w:rsidRPr="00622A86">
              <w:rPr>
                <w:rFonts w:cs="Times New Roman"/>
                <w:szCs w:val="24"/>
                <w:lang w:val="en-US" w:eastAsia="bg-BG"/>
              </w:rPr>
              <w:t>разходи-ползи</w:t>
            </w:r>
            <w:proofErr w:type="spellEnd"/>
            <w:r w:rsidRPr="00622A86">
              <w:rPr>
                <w:rFonts w:cs="Times New Roman"/>
                <w:szCs w:val="24"/>
                <w:lang w:val="en-US" w:eastAsia="bg-BG"/>
              </w:rPr>
              <w:t>“.</w:t>
            </w:r>
          </w:p>
        </w:tc>
      </w:tr>
    </w:tbl>
    <w:p w14:paraId="16ED4CA6" w14:textId="02E80AAB" w:rsidR="00017CAF" w:rsidRPr="00080C5D" w:rsidRDefault="00017CAF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val="en-US" w:eastAsia="bg-BG"/>
        </w:rPr>
      </w:pPr>
    </w:p>
    <w:p w14:paraId="3D92B0BC" w14:textId="2F76FD81" w:rsidR="00D3123F" w:rsidRPr="00080C5D" w:rsidRDefault="0081676E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val="en-US" w:eastAsia="bg-BG"/>
        </w:rPr>
      </w:pPr>
      <w:r>
        <w:rPr>
          <w:rFonts w:cs="Times New Roman"/>
          <w:b/>
          <w:szCs w:val="24"/>
          <w:lang w:val="en-US" w:eastAsia="bg-BG"/>
        </w:rPr>
        <w:t>9</w:t>
      </w:r>
      <w:r w:rsidR="00D3123F" w:rsidRPr="00080C5D">
        <w:rPr>
          <w:rFonts w:cs="Times New Roman"/>
          <w:b/>
          <w:szCs w:val="24"/>
          <w:lang w:eastAsia="bg-BG"/>
        </w:rPr>
        <w:t>. КРИТЕРИИ ЗА ИЗБОР НА ПРОЕКТНИ ПРЕДЛОЖЕНИЯ И ТЯХНАТА ТЕЖЕСТ</w:t>
      </w:r>
    </w:p>
    <w:p w14:paraId="10165F34" w14:textId="77777777" w:rsidR="00C1113E" w:rsidRPr="00080C5D" w:rsidRDefault="00C1113E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val="en-US" w:eastAsia="bg-BG"/>
        </w:rPr>
      </w:pPr>
    </w:p>
    <w:tbl>
      <w:tblPr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57"/>
        <w:gridCol w:w="1147"/>
      </w:tblGrid>
      <w:tr w:rsidR="006D2EC5" w:rsidRPr="006D2EC5" w14:paraId="28F28AB2" w14:textId="77777777" w:rsidTr="0081676E">
        <w:trPr>
          <w:jc w:val="center"/>
        </w:trPr>
        <w:tc>
          <w:tcPr>
            <w:tcW w:w="10304" w:type="dxa"/>
            <w:gridSpan w:val="2"/>
            <w:tcBorders>
              <w:top w:val="single" w:sz="4" w:space="0" w:color="auto"/>
            </w:tcBorders>
          </w:tcPr>
          <w:p w14:paraId="2E2051E5" w14:textId="0BB89033" w:rsidR="006D2EC5" w:rsidRPr="006D2EC5" w:rsidRDefault="00FF2876" w:rsidP="006D2EC5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FF2876">
              <w:rPr>
                <w:rFonts w:cs="Times New Roman"/>
                <w:b/>
                <w:color w:val="000000" w:themeColor="text1"/>
                <w:szCs w:val="24"/>
                <w:lang w:eastAsia="bg-BG"/>
              </w:rPr>
              <w:t>Постъпилите проектни предложения се оценяват в съответствие със следните критерии за подбор от одобрената СВОМР:</w:t>
            </w:r>
          </w:p>
        </w:tc>
      </w:tr>
      <w:tr w:rsidR="006D2EC5" w:rsidRPr="006D2EC5" w14:paraId="0D38AFBE" w14:textId="77777777" w:rsidTr="0081676E">
        <w:trPr>
          <w:jc w:val="center"/>
        </w:trPr>
        <w:tc>
          <w:tcPr>
            <w:tcW w:w="9157" w:type="dxa"/>
            <w:tcBorders>
              <w:top w:val="single" w:sz="4" w:space="0" w:color="auto"/>
            </w:tcBorders>
          </w:tcPr>
          <w:p w14:paraId="7BBF9398" w14:textId="77777777" w:rsidR="006D2EC5" w:rsidRPr="006D2EC5" w:rsidRDefault="006D2EC5" w:rsidP="006D2EC5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6D2EC5">
              <w:rPr>
                <w:rFonts w:cs="Times New Roman"/>
                <w:b/>
                <w:color w:val="000000" w:themeColor="text1"/>
                <w:szCs w:val="24"/>
                <w:lang w:eastAsia="bg-BG"/>
              </w:rPr>
              <w:t>Критерии за ОЦЕНКА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14:paraId="7F8E329D" w14:textId="77777777" w:rsidR="006D2EC5" w:rsidRPr="006D2EC5" w:rsidRDefault="006D2EC5" w:rsidP="006D2EC5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6D2EC5">
              <w:rPr>
                <w:rFonts w:cs="Times New Roman"/>
                <w:b/>
                <w:color w:val="000000" w:themeColor="text1"/>
                <w:szCs w:val="24"/>
                <w:lang w:eastAsia="bg-BG"/>
              </w:rPr>
              <w:t>Точки</w:t>
            </w:r>
          </w:p>
        </w:tc>
      </w:tr>
      <w:tr w:rsidR="00EE6B7C" w:rsidRPr="006D2EC5" w14:paraId="00577FA2" w14:textId="77777777" w:rsidTr="0081676E">
        <w:trPr>
          <w:jc w:val="center"/>
        </w:trPr>
        <w:tc>
          <w:tcPr>
            <w:tcW w:w="9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C57E" w14:textId="11F18013" w:rsidR="00EE6B7C" w:rsidRPr="006D2EC5" w:rsidRDefault="00622A86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622A86">
              <w:rPr>
                <w:szCs w:val="24"/>
              </w:rPr>
              <w:t>Проектът е представен от неправителствена организация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758D3" w14:textId="51E0CF81" w:rsidR="00EE6B7C" w:rsidRPr="006D2EC5" w:rsidRDefault="00622A86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>
              <w:rPr>
                <w:szCs w:val="24"/>
              </w:rPr>
              <w:t>20</w:t>
            </w:r>
          </w:p>
        </w:tc>
      </w:tr>
      <w:tr w:rsidR="00EE6B7C" w:rsidRPr="006D2EC5" w14:paraId="61D63568" w14:textId="77777777" w:rsidTr="0081676E">
        <w:trPr>
          <w:jc w:val="center"/>
        </w:trPr>
        <w:tc>
          <w:tcPr>
            <w:tcW w:w="9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0953" w14:textId="6250DABC" w:rsidR="00EE6B7C" w:rsidRPr="006D2EC5" w:rsidRDefault="00622A86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622A86">
              <w:rPr>
                <w:szCs w:val="24"/>
              </w:rPr>
              <w:t>Проектът предлага инвестиция в туристически атракции/услуги, които са значими за идентичността на региона и за популяризиране на културното наследство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A73B9" w14:textId="147C17DC" w:rsidR="00EE6B7C" w:rsidRPr="006D2EC5" w:rsidRDefault="00622A86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>
              <w:rPr>
                <w:szCs w:val="24"/>
              </w:rPr>
              <w:t>2</w:t>
            </w:r>
            <w:r w:rsidR="00EE6B7C" w:rsidRPr="005F4489">
              <w:rPr>
                <w:szCs w:val="24"/>
              </w:rPr>
              <w:t>0</w:t>
            </w:r>
          </w:p>
        </w:tc>
      </w:tr>
      <w:tr w:rsidR="00EE6B7C" w:rsidRPr="006D2EC5" w14:paraId="208487F7" w14:textId="77777777" w:rsidTr="00EF2715">
        <w:trPr>
          <w:trHeight w:val="636"/>
          <w:jc w:val="center"/>
        </w:trPr>
        <w:tc>
          <w:tcPr>
            <w:tcW w:w="9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430D" w14:textId="47C8DC08" w:rsidR="00EE6B7C" w:rsidRPr="00EF2715" w:rsidRDefault="0041125B" w:rsidP="00622A86">
            <w:pPr>
              <w:shd w:val="clear" w:color="auto" w:fill="FEFEFE"/>
              <w:spacing w:after="0" w:line="276" w:lineRule="auto"/>
              <w:rPr>
                <w:szCs w:val="24"/>
              </w:rPr>
            </w:pPr>
            <w:r w:rsidRPr="00EF2715">
              <w:rPr>
                <w:szCs w:val="24"/>
              </w:rPr>
              <w:t>Брой население в населените места, където ще се извършват допустимите дейности, като се дава предимство на по-големият брой население</w:t>
            </w:r>
            <w:bookmarkStart w:id="3" w:name="_GoBack"/>
            <w:bookmarkEnd w:id="3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054DD" w14:textId="6587C181" w:rsidR="00622A86" w:rsidRPr="00EF2715" w:rsidRDefault="00EF2715" w:rsidP="00EE6B7C">
            <w:pPr>
              <w:shd w:val="clear" w:color="auto" w:fill="FEFEFE"/>
              <w:spacing w:after="0" w:line="276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EE6B7C" w:rsidRPr="006D2EC5" w14:paraId="51362843" w14:textId="77777777" w:rsidTr="0081676E">
        <w:trPr>
          <w:jc w:val="center"/>
        </w:trPr>
        <w:tc>
          <w:tcPr>
            <w:tcW w:w="9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D4DE" w14:textId="6D93701A" w:rsidR="00EE6B7C" w:rsidRPr="006D2EC5" w:rsidRDefault="00622A86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622A86">
              <w:rPr>
                <w:szCs w:val="24"/>
              </w:rPr>
              <w:t>Проектът създава нова (несъществуваща досега на територията на МИГ) инфраструктура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2FCB8" w14:textId="1A67B8B3" w:rsidR="00EE6B7C" w:rsidRPr="006D2EC5" w:rsidRDefault="00622A86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>
              <w:rPr>
                <w:szCs w:val="24"/>
              </w:rPr>
              <w:t>30</w:t>
            </w:r>
          </w:p>
        </w:tc>
      </w:tr>
      <w:tr w:rsidR="00EE6B7C" w:rsidRPr="006D2EC5" w14:paraId="4D98938E" w14:textId="77777777" w:rsidTr="0081676E">
        <w:trPr>
          <w:jc w:val="center"/>
        </w:trPr>
        <w:tc>
          <w:tcPr>
            <w:tcW w:w="9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7147" w14:textId="46EC3921" w:rsidR="00EE6B7C" w:rsidRPr="006D2EC5" w:rsidRDefault="00622A86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622A86">
              <w:rPr>
                <w:szCs w:val="24"/>
              </w:rPr>
              <w:t>Проектът предлага инвестиции в туристически атракции/услуги, чрез използването на ИТ технологии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D6996" w14:textId="75063B6A" w:rsidR="00EE6B7C" w:rsidRPr="006D2EC5" w:rsidRDefault="00622A86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>
              <w:rPr>
                <w:szCs w:val="24"/>
              </w:rPr>
              <w:t>10</w:t>
            </w:r>
          </w:p>
        </w:tc>
      </w:tr>
      <w:tr w:rsidR="00EE6B7C" w:rsidRPr="006D2EC5" w14:paraId="669D131E" w14:textId="77777777" w:rsidTr="0081676E">
        <w:trPr>
          <w:jc w:val="center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965C" w14:textId="3653D8DA" w:rsidR="00EE6B7C" w:rsidRPr="006D2EC5" w:rsidRDefault="00622A86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622A86">
              <w:rPr>
                <w:szCs w:val="24"/>
              </w:rPr>
              <w:t>Проектът надгражда постигнат/и резултат/и от предишни дейности на кандидата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23737" w14:textId="1C9741D3" w:rsidR="00EE6B7C" w:rsidRPr="006D2EC5" w:rsidRDefault="00622A86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>
              <w:rPr>
                <w:szCs w:val="24"/>
              </w:rPr>
              <w:t>10</w:t>
            </w:r>
          </w:p>
        </w:tc>
      </w:tr>
      <w:tr w:rsidR="00EE6B7C" w:rsidRPr="006D2EC5" w14:paraId="7B097E61" w14:textId="77777777" w:rsidTr="0081676E">
        <w:trPr>
          <w:jc w:val="center"/>
        </w:trPr>
        <w:tc>
          <w:tcPr>
            <w:tcW w:w="9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8D41" w14:textId="6CA7DEA6" w:rsidR="00EE6B7C" w:rsidRPr="006D2EC5" w:rsidRDefault="00622A86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val="ru-RU" w:eastAsia="bg-BG"/>
              </w:rPr>
            </w:pPr>
            <w:r w:rsidRPr="00622A86">
              <w:rPr>
                <w:szCs w:val="24"/>
              </w:rPr>
              <w:t>Проектът създава работни места на местни жители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3D399" w14:textId="2E133443" w:rsidR="00EE6B7C" w:rsidRPr="006D2EC5" w:rsidRDefault="00EE6B7C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5F4489">
              <w:rPr>
                <w:szCs w:val="24"/>
              </w:rPr>
              <w:t>5</w:t>
            </w:r>
          </w:p>
        </w:tc>
      </w:tr>
      <w:tr w:rsidR="00EE6B7C" w:rsidRPr="00EE6B7C" w14:paraId="13DB77CC" w14:textId="77777777" w:rsidTr="0081676E">
        <w:trPr>
          <w:jc w:val="center"/>
        </w:trPr>
        <w:tc>
          <w:tcPr>
            <w:tcW w:w="9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A5E366" w14:textId="264EF444" w:rsidR="00EE6B7C" w:rsidRPr="00EE6B7C" w:rsidRDefault="00EE6B7C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szCs w:val="24"/>
                <w:lang w:val="ru-RU" w:eastAsia="bg-BG"/>
              </w:rPr>
            </w:pPr>
            <w:r w:rsidRPr="00EE6B7C">
              <w:rPr>
                <w:b/>
                <w:bCs/>
                <w:szCs w:val="24"/>
              </w:rPr>
              <w:t>Общо: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11BF10" w14:textId="45943965" w:rsidR="00EE6B7C" w:rsidRPr="00EE6B7C" w:rsidRDefault="00EE6B7C" w:rsidP="00EE6B7C">
            <w:pPr>
              <w:shd w:val="clear" w:color="auto" w:fill="FEFEFE"/>
              <w:spacing w:after="0" w:line="276" w:lineRule="auto"/>
              <w:rPr>
                <w:rFonts w:cs="Times New Roman"/>
                <w:b/>
                <w:szCs w:val="24"/>
                <w:lang w:eastAsia="bg-BG"/>
              </w:rPr>
            </w:pPr>
            <w:r w:rsidRPr="00EE6B7C">
              <w:rPr>
                <w:b/>
                <w:bCs/>
                <w:szCs w:val="24"/>
              </w:rPr>
              <w:t>100 т.</w:t>
            </w:r>
          </w:p>
        </w:tc>
      </w:tr>
    </w:tbl>
    <w:p w14:paraId="0B536FA0" w14:textId="77777777" w:rsidR="00EE6B7C" w:rsidRDefault="00EE6B7C" w:rsidP="00EE6B7C">
      <w:pPr>
        <w:shd w:val="clear" w:color="auto" w:fill="FEFEFE"/>
        <w:spacing w:after="0" w:line="276" w:lineRule="auto"/>
        <w:rPr>
          <w:rFonts w:cs="Times New Roman"/>
          <w:b/>
          <w:color w:val="000000" w:themeColor="text1"/>
          <w:szCs w:val="24"/>
          <w:lang w:eastAsia="bg-BG"/>
        </w:rPr>
      </w:pPr>
    </w:p>
    <w:p w14:paraId="0989CD2E" w14:textId="4072B340" w:rsidR="00EE6B7C" w:rsidRPr="00EE6B7C" w:rsidRDefault="00EE6B7C" w:rsidP="00EE6B7C">
      <w:pPr>
        <w:shd w:val="clear" w:color="auto" w:fill="FEFEFE"/>
        <w:spacing w:after="0" w:line="276" w:lineRule="auto"/>
        <w:rPr>
          <w:rFonts w:cs="Times New Roman"/>
          <w:color w:val="000000" w:themeColor="text1"/>
          <w:szCs w:val="24"/>
          <w:lang w:eastAsia="bg-BG"/>
        </w:rPr>
      </w:pPr>
      <w:r w:rsidRPr="00EE6B7C">
        <w:rPr>
          <w:rFonts w:cs="Times New Roman"/>
          <w:color w:val="000000" w:themeColor="text1"/>
          <w:szCs w:val="24"/>
          <w:lang w:eastAsia="bg-BG"/>
        </w:rPr>
        <w:t>Максималният брой на точки по настоящата процедура е 100.</w:t>
      </w:r>
    </w:p>
    <w:p w14:paraId="069111A4" w14:textId="77777777" w:rsidR="00EE6B7C" w:rsidRPr="00EE6B7C" w:rsidRDefault="00EE6B7C" w:rsidP="00EE6B7C">
      <w:pPr>
        <w:shd w:val="clear" w:color="auto" w:fill="FEFEFE"/>
        <w:spacing w:after="0" w:line="276" w:lineRule="auto"/>
        <w:rPr>
          <w:rFonts w:cs="Times New Roman"/>
          <w:color w:val="000000" w:themeColor="text1"/>
          <w:szCs w:val="24"/>
          <w:lang w:eastAsia="bg-BG"/>
        </w:rPr>
      </w:pPr>
    </w:p>
    <w:p w14:paraId="065E6F56" w14:textId="77777777" w:rsidR="00EE6B7C" w:rsidRPr="00EE6B7C" w:rsidRDefault="00EE6B7C" w:rsidP="00EE6B7C">
      <w:pPr>
        <w:shd w:val="clear" w:color="auto" w:fill="FEFEFE"/>
        <w:spacing w:after="0" w:line="276" w:lineRule="auto"/>
        <w:rPr>
          <w:rFonts w:cs="Times New Roman"/>
          <w:color w:val="000000" w:themeColor="text1"/>
          <w:szCs w:val="24"/>
          <w:lang w:eastAsia="bg-BG"/>
        </w:rPr>
      </w:pPr>
      <w:r w:rsidRPr="00EE6B7C">
        <w:rPr>
          <w:rFonts w:cs="Times New Roman"/>
          <w:color w:val="000000" w:themeColor="text1"/>
          <w:szCs w:val="24"/>
          <w:lang w:eastAsia="bg-BG"/>
        </w:rPr>
        <w:t>За да бъде предложено за финансиране едно проектно предложение, общата крайна оценка на етап техническа и финансова оценка трябва да е равна или по-голяма от 30 точки.</w:t>
      </w:r>
    </w:p>
    <w:p w14:paraId="6FE1F6E7" w14:textId="77777777" w:rsidR="00EE6B7C" w:rsidRPr="00EE6B7C" w:rsidRDefault="00EE6B7C" w:rsidP="00EE6B7C">
      <w:pPr>
        <w:shd w:val="clear" w:color="auto" w:fill="FEFEFE"/>
        <w:spacing w:after="0" w:line="276" w:lineRule="auto"/>
        <w:rPr>
          <w:rFonts w:cs="Times New Roman"/>
          <w:color w:val="000000" w:themeColor="text1"/>
          <w:szCs w:val="24"/>
          <w:lang w:eastAsia="bg-BG"/>
        </w:rPr>
      </w:pPr>
    </w:p>
    <w:p w14:paraId="20129612" w14:textId="54958BF2" w:rsidR="000E7846" w:rsidRDefault="00622A86" w:rsidP="00622A86">
      <w:pPr>
        <w:shd w:val="clear" w:color="auto" w:fill="FEFEFE"/>
        <w:spacing w:after="0" w:line="276" w:lineRule="auto"/>
        <w:rPr>
          <w:rFonts w:cs="Times New Roman"/>
          <w:color w:val="000000" w:themeColor="text1"/>
          <w:szCs w:val="24"/>
          <w:lang w:eastAsia="bg-BG"/>
        </w:rPr>
      </w:pPr>
      <w:r w:rsidRPr="00622A86">
        <w:rPr>
          <w:rFonts w:cs="Times New Roman"/>
          <w:color w:val="000000" w:themeColor="text1"/>
          <w:szCs w:val="24"/>
          <w:lang w:eastAsia="bg-BG"/>
        </w:rPr>
        <w:t>За проектни предложения, които са получили еднакъв брой точки на етап „Техническа и финансова оценка“ и има недостиг на средства за финансирането им, класирането ще се извърши по следния начин: Приоритет ще имат проектните предложения получили по-голям брой точки по критерий „Проектът създава работни места на местни жители“. В случай, че проектните предложения имат равен брой точки по посочения критерий, те ще бъдат класирани, съобразно получените точки по критерий „Проектът създава нова</w:t>
      </w:r>
      <w:r w:rsidRPr="00622A86">
        <w:t xml:space="preserve"> </w:t>
      </w:r>
      <w:r w:rsidRPr="00622A86">
        <w:rPr>
          <w:rFonts w:cs="Times New Roman"/>
          <w:color w:val="000000" w:themeColor="text1"/>
          <w:szCs w:val="24"/>
          <w:lang w:eastAsia="bg-BG"/>
        </w:rPr>
        <w:t>(несъществуваща досега на територията на МИГ) инфраструктура“</w:t>
      </w:r>
      <w:r>
        <w:rPr>
          <w:rFonts w:cs="Times New Roman"/>
          <w:color w:val="000000" w:themeColor="text1"/>
          <w:szCs w:val="24"/>
          <w:lang w:eastAsia="bg-BG"/>
        </w:rPr>
        <w:t>.</w:t>
      </w:r>
    </w:p>
    <w:p w14:paraId="08269F9B" w14:textId="77777777" w:rsidR="00622A86" w:rsidRPr="00622A86" w:rsidRDefault="00622A86" w:rsidP="00622A86">
      <w:pPr>
        <w:shd w:val="clear" w:color="auto" w:fill="FEFEFE"/>
        <w:spacing w:after="0" w:line="276" w:lineRule="auto"/>
        <w:rPr>
          <w:rFonts w:cs="Times New Roman"/>
          <w:color w:val="000000" w:themeColor="text1"/>
          <w:szCs w:val="24"/>
          <w:lang w:eastAsia="bg-BG"/>
        </w:rPr>
      </w:pPr>
    </w:p>
    <w:p w14:paraId="216EA2D7" w14:textId="551F5A85" w:rsidR="00D3123F" w:rsidRPr="00080C5D" w:rsidRDefault="005B188B" w:rsidP="00017CAF">
      <w:pPr>
        <w:shd w:val="clear" w:color="auto" w:fill="FEFEFE"/>
        <w:spacing w:after="0" w:line="276" w:lineRule="auto"/>
        <w:rPr>
          <w:rFonts w:cs="Times New Roman"/>
          <w:b/>
          <w:color w:val="385623" w:themeColor="accent6" w:themeShade="80"/>
          <w:szCs w:val="24"/>
          <w:lang w:eastAsia="bg-BG"/>
        </w:rPr>
      </w:pPr>
      <w:r>
        <w:rPr>
          <w:rFonts w:cs="Times New Roman"/>
          <w:b/>
          <w:szCs w:val="24"/>
          <w:lang w:val="en-US" w:eastAsia="bg-BG"/>
        </w:rPr>
        <w:t>10</w:t>
      </w:r>
      <w:r w:rsidR="00D3123F" w:rsidRPr="00080C5D">
        <w:rPr>
          <w:rFonts w:cs="Times New Roman"/>
          <w:b/>
          <w:szCs w:val="24"/>
          <w:lang w:eastAsia="bg-BG"/>
        </w:rPr>
        <w:t>. ЛИЦЕ/А ЗА КОНТАКТ И МЯСТО ЗА ДОСТЪП ДО ПОДРОБНА ИНФОРМАЦИЯ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0241EC" w:rsidRPr="00080C5D" w14:paraId="00FAA2A9" w14:textId="77777777" w:rsidTr="000241EC">
        <w:tc>
          <w:tcPr>
            <w:tcW w:w="10913" w:type="dxa"/>
          </w:tcPr>
          <w:p w14:paraId="195E0393" w14:textId="77777777" w:rsidR="000E7846" w:rsidRPr="00080C5D" w:rsidRDefault="000E7846" w:rsidP="00017CA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80C5D">
              <w:rPr>
                <w:rFonts w:cs="Times New Roman"/>
                <w:szCs w:val="24"/>
              </w:rPr>
              <w:t xml:space="preserve">При условията на чл. 26, ал. 8 от ЗУСЕСИФ, кандидат в процедурата може да иска разяснения по документите и условията за предоставяне на финансова помощ в срок до три седмици преди изтичането на срока за кандидатстване на следния електронен адрес: office@mig-lr.eu. Разясненията се дават по отношение на условията за кандидатстване, не съдържат становище относно качеството на проектното предложение и са задължителни за всички кандидати. </w:t>
            </w:r>
          </w:p>
          <w:p w14:paraId="291C5800" w14:textId="46BBDB9E" w:rsidR="000E7846" w:rsidRPr="00080C5D" w:rsidRDefault="000E7846" w:rsidP="00017CA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80C5D">
              <w:rPr>
                <w:rFonts w:cs="Times New Roman"/>
                <w:szCs w:val="24"/>
              </w:rPr>
              <w:t>Разясненията се публикуват на електронната страница на МИГ Луковит-Роман и на страницата на ИСУН в срок до две седмици преди изтичането на срока за кандидатстване.</w:t>
            </w:r>
          </w:p>
          <w:p w14:paraId="2C69DD09" w14:textId="38BC4127" w:rsidR="000241EC" w:rsidRPr="00080C5D" w:rsidRDefault="000241EC" w:rsidP="00017CA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80C5D">
              <w:rPr>
                <w:rFonts w:cs="Times New Roman"/>
                <w:szCs w:val="24"/>
              </w:rPr>
              <w:t xml:space="preserve">Лица за контакт: </w:t>
            </w:r>
            <w:r w:rsidR="000E7846" w:rsidRPr="00080C5D">
              <w:rPr>
                <w:rFonts w:cs="Times New Roman"/>
                <w:szCs w:val="24"/>
              </w:rPr>
              <w:t>Надя Иванова</w:t>
            </w:r>
            <w:r w:rsidRPr="00080C5D">
              <w:rPr>
                <w:rFonts w:cs="Times New Roman"/>
                <w:szCs w:val="24"/>
              </w:rPr>
              <w:t xml:space="preserve">; </w:t>
            </w:r>
            <w:r w:rsidR="000E7846" w:rsidRPr="00080C5D">
              <w:rPr>
                <w:rFonts w:cs="Times New Roman"/>
                <w:szCs w:val="24"/>
              </w:rPr>
              <w:t>Жасмина Аврамова</w:t>
            </w:r>
            <w:r w:rsidR="00245762" w:rsidRPr="00080C5D">
              <w:rPr>
                <w:rFonts w:cs="Times New Roman"/>
                <w:szCs w:val="24"/>
              </w:rPr>
              <w:t xml:space="preserve">; </w:t>
            </w:r>
            <w:r w:rsidR="000E7846" w:rsidRPr="00080C5D">
              <w:rPr>
                <w:rFonts w:cs="Times New Roman"/>
                <w:szCs w:val="24"/>
              </w:rPr>
              <w:t>Бисерка Николова</w:t>
            </w:r>
            <w:r w:rsidR="00245762" w:rsidRPr="00080C5D">
              <w:rPr>
                <w:rFonts w:cs="Times New Roman"/>
                <w:szCs w:val="24"/>
              </w:rPr>
              <w:t>.</w:t>
            </w:r>
            <w:r w:rsidRPr="00080C5D">
              <w:rPr>
                <w:rFonts w:cs="Times New Roman"/>
                <w:szCs w:val="24"/>
              </w:rPr>
              <w:t xml:space="preserve"> е-</w:t>
            </w:r>
            <w:r w:rsidRPr="00080C5D">
              <w:rPr>
                <w:rFonts w:cs="Times New Roman"/>
                <w:szCs w:val="24"/>
                <w:lang w:val="en-US"/>
              </w:rPr>
              <w:t xml:space="preserve">mail: </w:t>
            </w:r>
            <w:r w:rsidR="000E7846" w:rsidRPr="00080C5D">
              <w:rPr>
                <w:rFonts w:cs="Times New Roman"/>
                <w:szCs w:val="24"/>
                <w:u w:val="single"/>
                <w:lang w:val="en-US"/>
              </w:rPr>
              <w:t>office</w:t>
            </w:r>
            <w:r w:rsidR="000E7846" w:rsidRPr="00080C5D">
              <w:rPr>
                <w:rFonts w:cs="Times New Roman"/>
                <w:szCs w:val="24"/>
                <w:u w:val="single"/>
              </w:rPr>
              <w:t>@</w:t>
            </w:r>
            <w:proofErr w:type="spellStart"/>
            <w:r w:rsidR="000E7846" w:rsidRPr="00080C5D">
              <w:rPr>
                <w:rFonts w:cs="Times New Roman"/>
                <w:szCs w:val="24"/>
                <w:u w:val="single"/>
                <w:lang w:val="en-US"/>
              </w:rPr>
              <w:t>mig</w:t>
            </w:r>
            <w:proofErr w:type="spellEnd"/>
            <w:r w:rsidR="000E7846" w:rsidRPr="00080C5D">
              <w:rPr>
                <w:rFonts w:cs="Times New Roman"/>
                <w:szCs w:val="24"/>
                <w:u w:val="single"/>
              </w:rPr>
              <w:t>-</w:t>
            </w:r>
            <w:proofErr w:type="spellStart"/>
            <w:r w:rsidR="000E7846" w:rsidRPr="00080C5D">
              <w:rPr>
                <w:rFonts w:cs="Times New Roman"/>
                <w:szCs w:val="24"/>
                <w:u w:val="single"/>
                <w:lang w:val="en-US"/>
              </w:rPr>
              <w:t>lr</w:t>
            </w:r>
            <w:proofErr w:type="spellEnd"/>
            <w:r w:rsidR="000E7846" w:rsidRPr="00080C5D">
              <w:rPr>
                <w:rFonts w:cs="Times New Roman"/>
                <w:szCs w:val="24"/>
                <w:u w:val="single"/>
              </w:rPr>
              <w:t>.</w:t>
            </w:r>
            <w:proofErr w:type="spellStart"/>
            <w:r w:rsidR="000E7846" w:rsidRPr="00080C5D">
              <w:rPr>
                <w:rFonts w:cs="Times New Roman"/>
                <w:szCs w:val="24"/>
                <w:u w:val="single"/>
                <w:lang w:val="en-US"/>
              </w:rPr>
              <w:t>eu</w:t>
            </w:r>
            <w:proofErr w:type="spellEnd"/>
            <w:r w:rsidRPr="00080C5D">
              <w:rPr>
                <w:rFonts w:cs="Times New Roman"/>
                <w:szCs w:val="24"/>
              </w:rPr>
              <w:t xml:space="preserve"> </w:t>
            </w:r>
          </w:p>
          <w:p w14:paraId="74516E52" w14:textId="77777777" w:rsidR="000241EC" w:rsidRPr="00080C5D" w:rsidRDefault="000241EC" w:rsidP="00017CA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80C5D">
              <w:rPr>
                <w:rFonts w:cs="Times New Roman"/>
                <w:szCs w:val="24"/>
              </w:rPr>
              <w:t>Пълният пакет документи за кандидатстване са публикувани на следните интернет адреси:</w:t>
            </w:r>
          </w:p>
          <w:p w14:paraId="730227A3" w14:textId="75FB3F72" w:rsidR="000241EC" w:rsidRPr="00080C5D" w:rsidRDefault="000241EC" w:rsidP="00017CAF">
            <w:pPr>
              <w:numPr>
                <w:ilvl w:val="0"/>
                <w:numId w:val="21"/>
              </w:numPr>
              <w:tabs>
                <w:tab w:val="left" w:pos="142"/>
              </w:tabs>
              <w:snapToGrid w:val="0"/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80C5D">
              <w:rPr>
                <w:rFonts w:cs="Times New Roman"/>
                <w:szCs w:val="24"/>
              </w:rPr>
              <w:t xml:space="preserve">на сайта на Сдружение „МИГ </w:t>
            </w:r>
            <w:r w:rsidR="000E7846" w:rsidRPr="00080C5D">
              <w:rPr>
                <w:rFonts w:cs="Times New Roman"/>
                <w:szCs w:val="24"/>
              </w:rPr>
              <w:t>Луковит-Роман</w:t>
            </w:r>
            <w:r w:rsidRPr="00080C5D">
              <w:rPr>
                <w:rFonts w:cs="Times New Roman"/>
                <w:szCs w:val="24"/>
              </w:rPr>
              <w:t xml:space="preserve">“: </w:t>
            </w:r>
            <w:hyperlink r:id="rId13" w:history="1">
              <w:r w:rsidR="000E7846" w:rsidRPr="00080C5D">
                <w:rPr>
                  <w:rFonts w:cs="Times New Roman"/>
                  <w:color w:val="0563C1"/>
                  <w:szCs w:val="24"/>
                  <w:u w:val="single"/>
                </w:rPr>
                <w:t>http://mig-lr.eu/</w:t>
              </w:r>
            </w:hyperlink>
          </w:p>
          <w:p w14:paraId="34B78F21" w14:textId="77777777" w:rsidR="000241EC" w:rsidRPr="00080C5D" w:rsidRDefault="000241EC" w:rsidP="00017CAF">
            <w:pPr>
              <w:numPr>
                <w:ilvl w:val="0"/>
                <w:numId w:val="13"/>
              </w:numPr>
              <w:tabs>
                <w:tab w:val="left" w:pos="142"/>
              </w:tabs>
              <w:snapToGrid w:val="0"/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80C5D">
              <w:rPr>
                <w:rFonts w:cs="Times New Roman"/>
                <w:szCs w:val="24"/>
              </w:rPr>
              <w:t xml:space="preserve">на сайта на ИСУН </w:t>
            </w:r>
            <w:hyperlink r:id="rId14" w:history="1">
              <w:r w:rsidRPr="00080C5D">
                <w:rPr>
                  <w:rStyle w:val="a7"/>
                  <w:rFonts w:cs="Times New Roman"/>
                  <w:szCs w:val="24"/>
                </w:rPr>
                <w:t>http://eumis2020.government.bg/</w:t>
              </w:r>
            </w:hyperlink>
            <w:r w:rsidRPr="00080C5D">
              <w:rPr>
                <w:rFonts w:cs="Times New Roman"/>
                <w:szCs w:val="24"/>
              </w:rPr>
              <w:t xml:space="preserve">  . </w:t>
            </w:r>
          </w:p>
        </w:tc>
      </w:tr>
    </w:tbl>
    <w:p w14:paraId="2A3ECD51" w14:textId="77777777" w:rsidR="00181874" w:rsidRPr="00080C5D" w:rsidRDefault="00181874" w:rsidP="00017CAF">
      <w:pPr>
        <w:shd w:val="clear" w:color="auto" w:fill="FEFEFE"/>
        <w:spacing w:after="0" w:line="276" w:lineRule="auto"/>
        <w:rPr>
          <w:rFonts w:cs="Times New Roman"/>
          <w:b/>
          <w:color w:val="548DD4"/>
          <w:szCs w:val="24"/>
          <w:lang w:eastAsia="bg-BG"/>
        </w:rPr>
      </w:pPr>
    </w:p>
    <w:p w14:paraId="46575E70" w14:textId="745686BA" w:rsidR="00D3123F" w:rsidRPr="00080C5D" w:rsidRDefault="001B0DBB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  <w:r w:rsidRPr="00080C5D">
        <w:rPr>
          <w:rFonts w:cs="Times New Roman"/>
          <w:b/>
          <w:szCs w:val="24"/>
          <w:lang w:eastAsia="bg-BG"/>
        </w:rPr>
        <w:t>1</w:t>
      </w:r>
      <w:r w:rsidR="005B188B">
        <w:rPr>
          <w:rFonts w:cs="Times New Roman"/>
          <w:b/>
          <w:szCs w:val="24"/>
          <w:lang w:val="en-US" w:eastAsia="bg-BG"/>
        </w:rPr>
        <w:t>1</w:t>
      </w:r>
      <w:r w:rsidR="00D3123F" w:rsidRPr="00080C5D">
        <w:rPr>
          <w:rFonts w:cs="Times New Roman"/>
          <w:b/>
          <w:szCs w:val="24"/>
          <w:lang w:eastAsia="bg-BG"/>
        </w:rPr>
        <w:t>. НАЧИН ЗА ПОДАВАНЕ НА ПРОЕКТНИ ПРЕДЛОЖЕНИЯ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0241EC" w:rsidRPr="00080C5D" w14:paraId="39CE4F25" w14:textId="77777777" w:rsidTr="000241EC">
        <w:tc>
          <w:tcPr>
            <w:tcW w:w="10913" w:type="dxa"/>
          </w:tcPr>
          <w:p w14:paraId="20CED501" w14:textId="77777777" w:rsidR="000241EC" w:rsidRPr="00080C5D" w:rsidRDefault="000241EC" w:rsidP="00017CAF">
            <w:pPr>
              <w:tabs>
                <w:tab w:val="left" w:pos="142"/>
              </w:tabs>
              <w:spacing w:line="276" w:lineRule="auto"/>
              <w:jc w:val="both"/>
              <w:rPr>
                <w:rFonts w:cs="Times New Roman"/>
                <w:b/>
                <w:bCs/>
                <w:szCs w:val="24"/>
              </w:rPr>
            </w:pPr>
            <w:r w:rsidRPr="00080C5D">
              <w:rPr>
                <w:rFonts w:cs="Times New Roman"/>
                <w:szCs w:val="24"/>
              </w:rPr>
              <w:t xml:space="preserve">Подаването на проектно предложение по настоящата процедура се извършва по изцяло електронен път, чрез </w:t>
            </w:r>
            <w:r w:rsidRPr="00080C5D">
              <w:rPr>
                <w:rFonts w:cs="Times New Roman"/>
                <w:b/>
                <w:bCs/>
                <w:szCs w:val="24"/>
              </w:rPr>
              <w:t xml:space="preserve">Информационна система за управление и наблюдение на средствата от ЕС в периода 2014-2020 г. в България (ИСУН 2020), </w:t>
            </w:r>
            <w:r w:rsidRPr="00080C5D">
              <w:rPr>
                <w:rFonts w:cs="Times New Roman"/>
                <w:szCs w:val="24"/>
              </w:rPr>
              <w:t xml:space="preserve">чрез модула „Е-кандидатстване“ на следния интернет адрес: </w:t>
            </w:r>
            <w:hyperlink r:id="rId15" w:history="1">
              <w:r w:rsidRPr="00080C5D">
                <w:rPr>
                  <w:rStyle w:val="a7"/>
                  <w:rFonts w:cs="Times New Roman"/>
                  <w:szCs w:val="24"/>
                </w:rPr>
                <w:t>https://eumis2020.government.bg</w:t>
              </w:r>
            </w:hyperlink>
            <w:r w:rsidRPr="00080C5D">
              <w:rPr>
                <w:rFonts w:cs="Times New Roman"/>
                <w:szCs w:val="24"/>
              </w:rPr>
              <w:t>.</w:t>
            </w:r>
          </w:p>
        </w:tc>
      </w:tr>
    </w:tbl>
    <w:p w14:paraId="3ABF18BB" w14:textId="77777777" w:rsidR="000241EC" w:rsidRPr="00080C5D" w:rsidRDefault="000241EC" w:rsidP="00017CAF">
      <w:pPr>
        <w:shd w:val="clear" w:color="auto" w:fill="FEFEFE"/>
        <w:spacing w:after="0" w:line="276" w:lineRule="auto"/>
        <w:rPr>
          <w:rFonts w:cs="Times New Roman"/>
          <w:b/>
          <w:color w:val="385623" w:themeColor="accent6" w:themeShade="80"/>
          <w:szCs w:val="24"/>
          <w:lang w:eastAsia="bg-BG"/>
        </w:rPr>
      </w:pPr>
    </w:p>
    <w:bookmarkEnd w:id="0"/>
    <w:bookmarkEnd w:id="1"/>
    <w:bookmarkEnd w:id="2"/>
    <w:p w14:paraId="5024930D" w14:textId="77777777" w:rsidR="00E31DB3" w:rsidRPr="00080C5D" w:rsidRDefault="00E31DB3" w:rsidP="00017CAF">
      <w:pPr>
        <w:tabs>
          <w:tab w:val="left" w:pos="142"/>
        </w:tabs>
        <w:spacing w:line="276" w:lineRule="auto"/>
        <w:jc w:val="both"/>
        <w:rPr>
          <w:rFonts w:cs="Times New Roman"/>
          <w:b/>
          <w:szCs w:val="24"/>
        </w:rPr>
      </w:pPr>
    </w:p>
    <w:sectPr w:rsidR="00E31DB3" w:rsidRPr="00080C5D" w:rsidSect="00E56540">
      <w:footerReference w:type="default" r:id="rId16"/>
      <w:pgSz w:w="11906" w:h="16838"/>
      <w:pgMar w:top="426" w:right="424" w:bottom="709" w:left="709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6421B" w14:textId="77777777" w:rsidR="00F44B7D" w:rsidRDefault="00F44B7D" w:rsidP="00617FB6">
      <w:pPr>
        <w:spacing w:after="0" w:line="240" w:lineRule="auto"/>
      </w:pPr>
      <w:r>
        <w:separator/>
      </w:r>
    </w:p>
  </w:endnote>
  <w:endnote w:type="continuationSeparator" w:id="0">
    <w:p w14:paraId="1BA67F41" w14:textId="77777777" w:rsidR="00F44B7D" w:rsidRDefault="00F44B7D" w:rsidP="0061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DE6A7" w14:textId="77777777" w:rsidR="00617FB6" w:rsidRPr="00EE63CB" w:rsidRDefault="00617FB6" w:rsidP="00913D0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AE065" w14:textId="77777777" w:rsidR="00F44B7D" w:rsidRDefault="00F44B7D" w:rsidP="00617FB6">
      <w:pPr>
        <w:spacing w:after="0" w:line="240" w:lineRule="auto"/>
      </w:pPr>
      <w:r>
        <w:separator/>
      </w:r>
    </w:p>
  </w:footnote>
  <w:footnote w:type="continuationSeparator" w:id="0">
    <w:p w14:paraId="24E478B0" w14:textId="77777777" w:rsidR="00F44B7D" w:rsidRDefault="00F44B7D" w:rsidP="00617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455"/>
    <w:multiLevelType w:val="hybridMultilevel"/>
    <w:tmpl w:val="00BC95E0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7515477"/>
    <w:multiLevelType w:val="hybridMultilevel"/>
    <w:tmpl w:val="91A8442E"/>
    <w:lvl w:ilvl="0" w:tplc="6812F4D0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B2111"/>
    <w:multiLevelType w:val="hybridMultilevel"/>
    <w:tmpl w:val="A3580B9A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8008A3"/>
    <w:multiLevelType w:val="hybridMultilevel"/>
    <w:tmpl w:val="974E0DBC"/>
    <w:lvl w:ilvl="0" w:tplc="0402000F">
      <w:start w:val="4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603F8"/>
    <w:multiLevelType w:val="hybridMultilevel"/>
    <w:tmpl w:val="C512C21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260514"/>
    <w:multiLevelType w:val="hybridMultilevel"/>
    <w:tmpl w:val="E50E1052"/>
    <w:lvl w:ilvl="0" w:tplc="0FF2FBEE">
      <w:numFmt w:val="bullet"/>
      <w:lvlText w:val="-"/>
      <w:lvlJc w:val="left"/>
      <w:pPr>
        <w:ind w:left="1004" w:hanging="360"/>
      </w:pPr>
      <w:rPr>
        <w:rFonts w:ascii="Arial" w:eastAsiaTheme="minorEastAsia" w:hAnsi="Aria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ED2100"/>
    <w:multiLevelType w:val="hybridMultilevel"/>
    <w:tmpl w:val="51D236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62C08"/>
    <w:multiLevelType w:val="hybridMultilevel"/>
    <w:tmpl w:val="E5BE3DBC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14775"/>
    <w:multiLevelType w:val="hybridMultilevel"/>
    <w:tmpl w:val="3E3627D6"/>
    <w:lvl w:ilvl="0" w:tplc="F1503D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05D16"/>
    <w:multiLevelType w:val="hybridMultilevel"/>
    <w:tmpl w:val="9D86A9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24670"/>
    <w:multiLevelType w:val="hybridMultilevel"/>
    <w:tmpl w:val="DE5646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06B0B"/>
    <w:multiLevelType w:val="hybridMultilevel"/>
    <w:tmpl w:val="C6B49C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C0A77"/>
    <w:multiLevelType w:val="multilevel"/>
    <w:tmpl w:val="76AAF7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CCC5865"/>
    <w:multiLevelType w:val="hybridMultilevel"/>
    <w:tmpl w:val="71E4B1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572A7"/>
    <w:multiLevelType w:val="hybridMultilevel"/>
    <w:tmpl w:val="9AE4B7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4034A"/>
    <w:multiLevelType w:val="hybridMultilevel"/>
    <w:tmpl w:val="9EBE557C"/>
    <w:lvl w:ilvl="0" w:tplc="6812F4D0">
      <w:numFmt w:val="bullet"/>
      <w:lvlText w:val="-"/>
      <w:lvlJc w:val="left"/>
      <w:pPr>
        <w:ind w:left="1635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34B737F"/>
    <w:multiLevelType w:val="hybridMultilevel"/>
    <w:tmpl w:val="7BC6E372"/>
    <w:lvl w:ilvl="0" w:tplc="8056EF1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95441"/>
    <w:multiLevelType w:val="hybridMultilevel"/>
    <w:tmpl w:val="BB7E51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20BC3"/>
    <w:multiLevelType w:val="hybridMultilevel"/>
    <w:tmpl w:val="DF848A20"/>
    <w:lvl w:ilvl="0" w:tplc="56D6BA68">
      <w:start w:val="1"/>
      <w:numFmt w:val="bullet"/>
      <w:lvlText w:val="•"/>
      <w:lvlJc w:val="left"/>
      <w:pPr>
        <w:ind w:left="85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639D5"/>
    <w:multiLevelType w:val="hybridMultilevel"/>
    <w:tmpl w:val="06F8C706"/>
    <w:lvl w:ilvl="0" w:tplc="ABEE4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60F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A42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048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CED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4FA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27B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E0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083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B5347"/>
    <w:multiLevelType w:val="hybridMultilevel"/>
    <w:tmpl w:val="5F40B8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F4109"/>
    <w:multiLevelType w:val="hybridMultilevel"/>
    <w:tmpl w:val="871A660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4FB0EAC"/>
    <w:multiLevelType w:val="hybridMultilevel"/>
    <w:tmpl w:val="21982878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45603728"/>
    <w:multiLevelType w:val="hybridMultilevel"/>
    <w:tmpl w:val="907EDBEA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6D2764"/>
    <w:multiLevelType w:val="hybridMultilevel"/>
    <w:tmpl w:val="B1CA2D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0688A"/>
    <w:multiLevelType w:val="hybridMultilevel"/>
    <w:tmpl w:val="755A6D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A3D7F"/>
    <w:multiLevelType w:val="hybridMultilevel"/>
    <w:tmpl w:val="A9384A86"/>
    <w:lvl w:ilvl="0" w:tplc="89FAC7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3D1FF1"/>
    <w:multiLevelType w:val="hybridMultilevel"/>
    <w:tmpl w:val="345C23DC"/>
    <w:lvl w:ilvl="0" w:tplc="F1503D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DC4D03"/>
    <w:multiLevelType w:val="hybridMultilevel"/>
    <w:tmpl w:val="354030AE"/>
    <w:lvl w:ilvl="0" w:tplc="5868E344">
      <w:numFmt w:val="bullet"/>
      <w:lvlText w:val="•"/>
      <w:lvlJc w:val="left"/>
      <w:pPr>
        <w:ind w:left="1416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17F1B63"/>
    <w:multiLevelType w:val="multilevel"/>
    <w:tmpl w:val="C436ED96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743451B"/>
    <w:multiLevelType w:val="hybridMultilevel"/>
    <w:tmpl w:val="287ECA28"/>
    <w:lvl w:ilvl="0" w:tplc="F1FE27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214582"/>
    <w:multiLevelType w:val="hybridMultilevel"/>
    <w:tmpl w:val="D6143398"/>
    <w:lvl w:ilvl="0" w:tplc="8DA2107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C81622C"/>
    <w:multiLevelType w:val="hybridMultilevel"/>
    <w:tmpl w:val="FB221558"/>
    <w:lvl w:ilvl="0" w:tplc="E2267C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4556F"/>
    <w:multiLevelType w:val="hybridMultilevel"/>
    <w:tmpl w:val="143CB5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5A3201"/>
    <w:multiLevelType w:val="hybridMultilevel"/>
    <w:tmpl w:val="4B848F6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2305A0"/>
    <w:multiLevelType w:val="hybridMultilevel"/>
    <w:tmpl w:val="722305A0"/>
    <w:lvl w:ilvl="0" w:tplc="FFFFFFFF">
      <w:start w:val="1"/>
      <w:numFmt w:val="bullet"/>
      <w:lvlText w:val=""/>
      <w:lvlJc w:val="left"/>
      <w:pPr>
        <w:ind w:left="29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010"/>
        </w:tabs>
        <w:ind w:left="101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450"/>
        </w:tabs>
        <w:ind w:left="245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170"/>
        </w:tabs>
        <w:ind w:left="317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4610"/>
        </w:tabs>
        <w:ind w:left="461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330"/>
        </w:tabs>
        <w:ind w:left="533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050"/>
        </w:tabs>
        <w:ind w:left="6050" w:hanging="360"/>
      </w:pPr>
      <w:rPr>
        <w:rFonts w:ascii="Wingdings" w:hAnsi="Wingdings"/>
      </w:rPr>
    </w:lvl>
  </w:abstractNum>
  <w:abstractNum w:abstractNumId="36" w15:restartNumberingAfterBreak="0">
    <w:nsid w:val="79F45BB4"/>
    <w:multiLevelType w:val="hybridMultilevel"/>
    <w:tmpl w:val="5374FB54"/>
    <w:lvl w:ilvl="0" w:tplc="E3FAB042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A7C368D"/>
    <w:multiLevelType w:val="hybridMultilevel"/>
    <w:tmpl w:val="E31E8D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746515"/>
    <w:multiLevelType w:val="hybridMultilevel"/>
    <w:tmpl w:val="664CF582"/>
    <w:lvl w:ilvl="0" w:tplc="56D6BA68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6D6BA68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37"/>
  </w:num>
  <w:num w:numId="4">
    <w:abstractNumId w:val="25"/>
  </w:num>
  <w:num w:numId="5">
    <w:abstractNumId w:val="32"/>
  </w:num>
  <w:num w:numId="6">
    <w:abstractNumId w:val="38"/>
  </w:num>
  <w:num w:numId="7">
    <w:abstractNumId w:val="18"/>
  </w:num>
  <w:num w:numId="8">
    <w:abstractNumId w:val="24"/>
  </w:num>
  <w:num w:numId="9">
    <w:abstractNumId w:val="19"/>
  </w:num>
  <w:num w:numId="10">
    <w:abstractNumId w:val="13"/>
  </w:num>
  <w:num w:numId="11">
    <w:abstractNumId w:val="10"/>
  </w:num>
  <w:num w:numId="12">
    <w:abstractNumId w:val="33"/>
  </w:num>
  <w:num w:numId="13">
    <w:abstractNumId w:val="31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"/>
  </w:num>
  <w:num w:numId="17">
    <w:abstractNumId w:val="15"/>
  </w:num>
  <w:num w:numId="18">
    <w:abstractNumId w:val="0"/>
  </w:num>
  <w:num w:numId="19">
    <w:abstractNumId w:val="7"/>
  </w:num>
  <w:num w:numId="20">
    <w:abstractNumId w:val="28"/>
  </w:num>
  <w:num w:numId="21">
    <w:abstractNumId w:val="5"/>
  </w:num>
  <w:num w:numId="22">
    <w:abstractNumId w:val="22"/>
  </w:num>
  <w:num w:numId="23">
    <w:abstractNumId w:val="21"/>
  </w:num>
  <w:num w:numId="24">
    <w:abstractNumId w:val="36"/>
  </w:num>
  <w:num w:numId="25">
    <w:abstractNumId w:val="30"/>
  </w:num>
  <w:num w:numId="26">
    <w:abstractNumId w:val="12"/>
  </w:num>
  <w:num w:numId="27">
    <w:abstractNumId w:val="16"/>
  </w:num>
  <w:num w:numId="28">
    <w:abstractNumId w:val="17"/>
  </w:num>
  <w:num w:numId="29">
    <w:abstractNumId w:val="4"/>
  </w:num>
  <w:num w:numId="30">
    <w:abstractNumId w:val="27"/>
  </w:num>
  <w:num w:numId="31">
    <w:abstractNumId w:val="8"/>
  </w:num>
  <w:num w:numId="32">
    <w:abstractNumId w:val="6"/>
  </w:num>
  <w:num w:numId="33">
    <w:abstractNumId w:val="26"/>
  </w:num>
  <w:num w:numId="34">
    <w:abstractNumId w:val="2"/>
  </w:num>
  <w:num w:numId="35">
    <w:abstractNumId w:val="29"/>
  </w:num>
  <w:num w:numId="36">
    <w:abstractNumId w:val="29"/>
  </w:num>
  <w:num w:numId="37">
    <w:abstractNumId w:val="35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B6"/>
    <w:rsid w:val="00017165"/>
    <w:rsid w:val="00017CAF"/>
    <w:rsid w:val="0002238F"/>
    <w:rsid w:val="000241EC"/>
    <w:rsid w:val="000366F5"/>
    <w:rsid w:val="00080C5D"/>
    <w:rsid w:val="00083971"/>
    <w:rsid w:val="000917B7"/>
    <w:rsid w:val="000942A1"/>
    <w:rsid w:val="000A201A"/>
    <w:rsid w:val="000A5CF7"/>
    <w:rsid w:val="000B588F"/>
    <w:rsid w:val="000B7D47"/>
    <w:rsid w:val="000C402E"/>
    <w:rsid w:val="000D0DD9"/>
    <w:rsid w:val="000E438E"/>
    <w:rsid w:val="000E7846"/>
    <w:rsid w:val="000F01A4"/>
    <w:rsid w:val="001069D0"/>
    <w:rsid w:val="00115102"/>
    <w:rsid w:val="00125744"/>
    <w:rsid w:val="001407F5"/>
    <w:rsid w:val="00141D58"/>
    <w:rsid w:val="001719FE"/>
    <w:rsid w:val="00181874"/>
    <w:rsid w:val="0018286F"/>
    <w:rsid w:val="00185B7C"/>
    <w:rsid w:val="001B0DBB"/>
    <w:rsid w:val="001B6A76"/>
    <w:rsid w:val="001D2D9B"/>
    <w:rsid w:val="001D4E72"/>
    <w:rsid w:val="001E3DCB"/>
    <w:rsid w:val="001F0FCC"/>
    <w:rsid w:val="001F1345"/>
    <w:rsid w:val="001F77D2"/>
    <w:rsid w:val="00227052"/>
    <w:rsid w:val="002344BB"/>
    <w:rsid w:val="00245762"/>
    <w:rsid w:val="00245CD1"/>
    <w:rsid w:val="00246749"/>
    <w:rsid w:val="00251558"/>
    <w:rsid w:val="00265D45"/>
    <w:rsid w:val="0027009E"/>
    <w:rsid w:val="00286D96"/>
    <w:rsid w:val="002B2D9D"/>
    <w:rsid w:val="002C393A"/>
    <w:rsid w:val="002C3F1A"/>
    <w:rsid w:val="002C40CB"/>
    <w:rsid w:val="002D5249"/>
    <w:rsid w:val="002E0452"/>
    <w:rsid w:val="002E684F"/>
    <w:rsid w:val="002F7345"/>
    <w:rsid w:val="00300F41"/>
    <w:rsid w:val="00306D29"/>
    <w:rsid w:val="003170F7"/>
    <w:rsid w:val="00323CAC"/>
    <w:rsid w:val="00325BD6"/>
    <w:rsid w:val="0032657C"/>
    <w:rsid w:val="0035203D"/>
    <w:rsid w:val="00353D1B"/>
    <w:rsid w:val="003600CC"/>
    <w:rsid w:val="0036084E"/>
    <w:rsid w:val="00371A33"/>
    <w:rsid w:val="0039512C"/>
    <w:rsid w:val="003A2B25"/>
    <w:rsid w:val="003D09B5"/>
    <w:rsid w:val="003D1348"/>
    <w:rsid w:val="003E2BBC"/>
    <w:rsid w:val="003F1CC4"/>
    <w:rsid w:val="003F699C"/>
    <w:rsid w:val="003F7A0D"/>
    <w:rsid w:val="0041125B"/>
    <w:rsid w:val="0042754C"/>
    <w:rsid w:val="004345BD"/>
    <w:rsid w:val="00444D9D"/>
    <w:rsid w:val="004459A8"/>
    <w:rsid w:val="00456104"/>
    <w:rsid w:val="004561C9"/>
    <w:rsid w:val="0046383D"/>
    <w:rsid w:val="00477810"/>
    <w:rsid w:val="0048142A"/>
    <w:rsid w:val="00484537"/>
    <w:rsid w:val="004A0593"/>
    <w:rsid w:val="004A2989"/>
    <w:rsid w:val="004B1C33"/>
    <w:rsid w:val="004D06A2"/>
    <w:rsid w:val="004D1F9A"/>
    <w:rsid w:val="004E32A0"/>
    <w:rsid w:val="004E7092"/>
    <w:rsid w:val="004E786A"/>
    <w:rsid w:val="00503ACE"/>
    <w:rsid w:val="00526C08"/>
    <w:rsid w:val="005315CE"/>
    <w:rsid w:val="00537199"/>
    <w:rsid w:val="00563B32"/>
    <w:rsid w:val="0057526E"/>
    <w:rsid w:val="00581F5E"/>
    <w:rsid w:val="0059678C"/>
    <w:rsid w:val="005A13B5"/>
    <w:rsid w:val="005A6A85"/>
    <w:rsid w:val="005B188B"/>
    <w:rsid w:val="005B4A2A"/>
    <w:rsid w:val="005B7567"/>
    <w:rsid w:val="005E0998"/>
    <w:rsid w:val="005F1377"/>
    <w:rsid w:val="005F7437"/>
    <w:rsid w:val="00601EE3"/>
    <w:rsid w:val="0060686B"/>
    <w:rsid w:val="00617FB6"/>
    <w:rsid w:val="006224F4"/>
    <w:rsid w:val="00622A86"/>
    <w:rsid w:val="00623FD1"/>
    <w:rsid w:val="00630782"/>
    <w:rsid w:val="0063467E"/>
    <w:rsid w:val="006535DA"/>
    <w:rsid w:val="00653E8A"/>
    <w:rsid w:val="00664ABB"/>
    <w:rsid w:val="0067299F"/>
    <w:rsid w:val="0068075E"/>
    <w:rsid w:val="00684AC4"/>
    <w:rsid w:val="0069691C"/>
    <w:rsid w:val="006B17C5"/>
    <w:rsid w:val="006B3DD8"/>
    <w:rsid w:val="006C6FE0"/>
    <w:rsid w:val="006D0203"/>
    <w:rsid w:val="006D2EC5"/>
    <w:rsid w:val="006D40C0"/>
    <w:rsid w:val="006D45A0"/>
    <w:rsid w:val="006E49B3"/>
    <w:rsid w:val="007079A3"/>
    <w:rsid w:val="00724026"/>
    <w:rsid w:val="00757CB3"/>
    <w:rsid w:val="00760332"/>
    <w:rsid w:val="00781D2F"/>
    <w:rsid w:val="00786BA6"/>
    <w:rsid w:val="007A0E1F"/>
    <w:rsid w:val="007A2E7D"/>
    <w:rsid w:val="007A4B81"/>
    <w:rsid w:val="007A5405"/>
    <w:rsid w:val="007B1B8A"/>
    <w:rsid w:val="007B523B"/>
    <w:rsid w:val="007C1D39"/>
    <w:rsid w:val="007C3C18"/>
    <w:rsid w:val="007D21CC"/>
    <w:rsid w:val="007D45F6"/>
    <w:rsid w:val="007E7AD4"/>
    <w:rsid w:val="007F128F"/>
    <w:rsid w:val="007F3FAE"/>
    <w:rsid w:val="008051B1"/>
    <w:rsid w:val="00806203"/>
    <w:rsid w:val="008069EA"/>
    <w:rsid w:val="0081207F"/>
    <w:rsid w:val="00815630"/>
    <w:rsid w:val="0081676E"/>
    <w:rsid w:val="00820623"/>
    <w:rsid w:val="008231B8"/>
    <w:rsid w:val="008457F4"/>
    <w:rsid w:val="00846B49"/>
    <w:rsid w:val="00852911"/>
    <w:rsid w:val="0085575D"/>
    <w:rsid w:val="008602B3"/>
    <w:rsid w:val="00864369"/>
    <w:rsid w:val="00865D3A"/>
    <w:rsid w:val="0086759C"/>
    <w:rsid w:val="00870182"/>
    <w:rsid w:val="008704CD"/>
    <w:rsid w:val="00875D87"/>
    <w:rsid w:val="008861B1"/>
    <w:rsid w:val="008873E0"/>
    <w:rsid w:val="008930FB"/>
    <w:rsid w:val="00893E29"/>
    <w:rsid w:val="008A024D"/>
    <w:rsid w:val="008A5CED"/>
    <w:rsid w:val="008B01E9"/>
    <w:rsid w:val="008B0DBB"/>
    <w:rsid w:val="008C33D1"/>
    <w:rsid w:val="008C7790"/>
    <w:rsid w:val="008E35E7"/>
    <w:rsid w:val="008F08DA"/>
    <w:rsid w:val="008F7AF0"/>
    <w:rsid w:val="00913D07"/>
    <w:rsid w:val="0091472B"/>
    <w:rsid w:val="009200F8"/>
    <w:rsid w:val="0092422F"/>
    <w:rsid w:val="00925984"/>
    <w:rsid w:val="0094584D"/>
    <w:rsid w:val="00993696"/>
    <w:rsid w:val="00994236"/>
    <w:rsid w:val="0099528A"/>
    <w:rsid w:val="009A3ED8"/>
    <w:rsid w:val="009B2C25"/>
    <w:rsid w:val="009C0C2F"/>
    <w:rsid w:val="009C16B1"/>
    <w:rsid w:val="009C50B4"/>
    <w:rsid w:val="009E72D4"/>
    <w:rsid w:val="00A01619"/>
    <w:rsid w:val="00A0248E"/>
    <w:rsid w:val="00A103B4"/>
    <w:rsid w:val="00A21443"/>
    <w:rsid w:val="00A27006"/>
    <w:rsid w:val="00A575D1"/>
    <w:rsid w:val="00A60EB9"/>
    <w:rsid w:val="00A63670"/>
    <w:rsid w:val="00A776E3"/>
    <w:rsid w:val="00A96D68"/>
    <w:rsid w:val="00A97419"/>
    <w:rsid w:val="00AA7329"/>
    <w:rsid w:val="00AB5C31"/>
    <w:rsid w:val="00AB70EB"/>
    <w:rsid w:val="00AB783C"/>
    <w:rsid w:val="00AC2303"/>
    <w:rsid w:val="00AC3207"/>
    <w:rsid w:val="00AC48C5"/>
    <w:rsid w:val="00AC7B2E"/>
    <w:rsid w:val="00AD7AE9"/>
    <w:rsid w:val="00AE1915"/>
    <w:rsid w:val="00B020BC"/>
    <w:rsid w:val="00B023E7"/>
    <w:rsid w:val="00B06233"/>
    <w:rsid w:val="00B073BC"/>
    <w:rsid w:val="00B2368B"/>
    <w:rsid w:val="00B262D9"/>
    <w:rsid w:val="00B34177"/>
    <w:rsid w:val="00B54ECE"/>
    <w:rsid w:val="00B601FC"/>
    <w:rsid w:val="00B63DE4"/>
    <w:rsid w:val="00B650F8"/>
    <w:rsid w:val="00B659BE"/>
    <w:rsid w:val="00B675C7"/>
    <w:rsid w:val="00B82530"/>
    <w:rsid w:val="00B84E44"/>
    <w:rsid w:val="00B97B27"/>
    <w:rsid w:val="00BA37B3"/>
    <w:rsid w:val="00BC3FD9"/>
    <w:rsid w:val="00BD5AD0"/>
    <w:rsid w:val="00C033B3"/>
    <w:rsid w:val="00C10A47"/>
    <w:rsid w:val="00C1113E"/>
    <w:rsid w:val="00C45BF8"/>
    <w:rsid w:val="00C529FF"/>
    <w:rsid w:val="00C679C0"/>
    <w:rsid w:val="00C67E85"/>
    <w:rsid w:val="00C7372F"/>
    <w:rsid w:val="00C84528"/>
    <w:rsid w:val="00C86DA8"/>
    <w:rsid w:val="00C8763A"/>
    <w:rsid w:val="00C91946"/>
    <w:rsid w:val="00C93457"/>
    <w:rsid w:val="00CA7741"/>
    <w:rsid w:val="00CB253A"/>
    <w:rsid w:val="00CC2823"/>
    <w:rsid w:val="00CD0C94"/>
    <w:rsid w:val="00CD3A45"/>
    <w:rsid w:val="00CD63C9"/>
    <w:rsid w:val="00CE368B"/>
    <w:rsid w:val="00D0210F"/>
    <w:rsid w:val="00D169EE"/>
    <w:rsid w:val="00D207BB"/>
    <w:rsid w:val="00D30002"/>
    <w:rsid w:val="00D3123F"/>
    <w:rsid w:val="00D47772"/>
    <w:rsid w:val="00D514EC"/>
    <w:rsid w:val="00D545B5"/>
    <w:rsid w:val="00D57706"/>
    <w:rsid w:val="00D61C2C"/>
    <w:rsid w:val="00D731C2"/>
    <w:rsid w:val="00D865EC"/>
    <w:rsid w:val="00D8747D"/>
    <w:rsid w:val="00D93F35"/>
    <w:rsid w:val="00DB6F4E"/>
    <w:rsid w:val="00DC3896"/>
    <w:rsid w:val="00DE66EB"/>
    <w:rsid w:val="00DE7214"/>
    <w:rsid w:val="00DF24E3"/>
    <w:rsid w:val="00DF36A0"/>
    <w:rsid w:val="00DF74CA"/>
    <w:rsid w:val="00E02385"/>
    <w:rsid w:val="00E149BB"/>
    <w:rsid w:val="00E2337D"/>
    <w:rsid w:val="00E23868"/>
    <w:rsid w:val="00E31DB3"/>
    <w:rsid w:val="00E33A67"/>
    <w:rsid w:val="00E36EA7"/>
    <w:rsid w:val="00E4300C"/>
    <w:rsid w:val="00E56540"/>
    <w:rsid w:val="00E72839"/>
    <w:rsid w:val="00E84502"/>
    <w:rsid w:val="00E96269"/>
    <w:rsid w:val="00EA1B32"/>
    <w:rsid w:val="00EA7618"/>
    <w:rsid w:val="00EC71BE"/>
    <w:rsid w:val="00ED6C96"/>
    <w:rsid w:val="00ED7A97"/>
    <w:rsid w:val="00EE63CB"/>
    <w:rsid w:val="00EE6B7C"/>
    <w:rsid w:val="00EF2715"/>
    <w:rsid w:val="00F077DF"/>
    <w:rsid w:val="00F136C8"/>
    <w:rsid w:val="00F22A30"/>
    <w:rsid w:val="00F4200F"/>
    <w:rsid w:val="00F44B7D"/>
    <w:rsid w:val="00F5099D"/>
    <w:rsid w:val="00F65E3C"/>
    <w:rsid w:val="00F674FA"/>
    <w:rsid w:val="00F6753A"/>
    <w:rsid w:val="00F7321C"/>
    <w:rsid w:val="00F776D0"/>
    <w:rsid w:val="00F91E7B"/>
    <w:rsid w:val="00F92E14"/>
    <w:rsid w:val="00FB0342"/>
    <w:rsid w:val="00FB380D"/>
    <w:rsid w:val="00FC1EFC"/>
    <w:rsid w:val="00FD4FCA"/>
    <w:rsid w:val="00FF2876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73F82"/>
  <w15:docId w15:val="{C808694B-9302-4499-91EC-2C5403DB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B8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,Header Titlos Prosforas"/>
    <w:basedOn w:val="a"/>
    <w:link w:val="a4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aliases w:val="hd Знак,Header Titlos Prosforas Знак"/>
    <w:basedOn w:val="a0"/>
    <w:link w:val="a3"/>
    <w:rsid w:val="00617FB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17FB6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617FB6"/>
    <w:rPr>
      <w:color w:val="0563C1" w:themeColor="hyperlink"/>
      <w:u w:val="single"/>
    </w:rPr>
  </w:style>
  <w:style w:type="table" w:styleId="a8">
    <w:name w:val="Table Grid"/>
    <w:basedOn w:val="a1"/>
    <w:rsid w:val="0061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List Paragraph1,List1,Colorful List - Accent 11,List Paragraph11,List Paragraph111,List Paragraph1111"/>
    <w:basedOn w:val="a"/>
    <w:uiPriority w:val="34"/>
    <w:qFormat/>
    <w:rsid w:val="00D0210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ac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ad">
    <w:name w:val="footnote text"/>
    <w:basedOn w:val="a"/>
    <w:link w:val="ae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/>
    </w:rPr>
  </w:style>
  <w:style w:type="character" w:customStyle="1" w:styleId="ae">
    <w:name w:val="Текст под линия Знак"/>
    <w:basedOn w:val="a0"/>
    <w:link w:val="ad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D3123F"/>
    <w:pPr>
      <w:widowControl w:val="0"/>
      <w:spacing w:after="0" w:line="240" w:lineRule="auto"/>
      <w:ind w:left="244"/>
    </w:pPr>
    <w:rPr>
      <w:rFonts w:ascii="Calibri" w:eastAsia="Calibri" w:hAnsi="Calibri" w:cs="Calibri"/>
      <w:sz w:val="22"/>
      <w:lang w:val="en-US"/>
    </w:rPr>
  </w:style>
  <w:style w:type="paragraph" w:styleId="af">
    <w:name w:val="Body Text"/>
    <w:basedOn w:val="a"/>
    <w:link w:val="af0"/>
    <w:uiPriority w:val="1"/>
    <w:qFormat/>
    <w:rsid w:val="00D3123F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character" w:customStyle="1" w:styleId="af0">
    <w:name w:val="Основен текст Знак"/>
    <w:basedOn w:val="a0"/>
    <w:link w:val="af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a0"/>
    <w:rsid w:val="00D3123F"/>
  </w:style>
  <w:style w:type="character" w:styleId="af1">
    <w:name w:val="FollowedHyperlink"/>
    <w:basedOn w:val="a0"/>
    <w:uiPriority w:val="99"/>
    <w:semiHidden/>
    <w:unhideWhenUsed/>
    <w:rsid w:val="000241EC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5D3A"/>
    <w:rPr>
      <w:color w:val="605E5C"/>
      <w:shd w:val="clear" w:color="auto" w:fill="E1DFDD"/>
    </w:rPr>
  </w:style>
  <w:style w:type="table" w:customStyle="1" w:styleId="TableGrid1">
    <w:name w:val="Table Grid1"/>
    <w:basedOn w:val="a1"/>
    <w:next w:val="a8"/>
    <w:rsid w:val="00DF3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770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numbering" w:customStyle="1" w:styleId="WWNum18">
    <w:name w:val="WWNum18"/>
    <w:rsid w:val="006E49B3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8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mig-lr.e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eumis2020.government.b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yperlink" Target="https://eumis2020.government.bg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eumis2020.government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1398</Words>
  <Characters>7970</Characters>
  <Application>Microsoft Office Word</Application>
  <DocSecurity>0</DocSecurity>
  <Lines>66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Цанко Спасовски</dc:creator>
  <cp:lastModifiedBy>User</cp:lastModifiedBy>
  <cp:revision>8</cp:revision>
  <cp:lastPrinted>2017-05-09T10:34:00Z</cp:lastPrinted>
  <dcterms:created xsi:type="dcterms:W3CDTF">2021-03-01T14:04:00Z</dcterms:created>
  <dcterms:modified xsi:type="dcterms:W3CDTF">2021-06-22T11:44:00Z</dcterms:modified>
</cp:coreProperties>
</file>