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066A" w14:textId="77777777" w:rsidR="00617FB6" w:rsidRDefault="00617FB6"/>
    <w:p w14:paraId="101DFCEF" w14:textId="77777777" w:rsidR="00D3123F" w:rsidRPr="00886E48" w:rsidRDefault="00D3123F" w:rsidP="007D21CC">
      <w:pPr>
        <w:spacing w:after="0" w:line="23" w:lineRule="atLeast"/>
        <w:jc w:val="center"/>
        <w:outlineLvl w:val="0"/>
        <w:rPr>
          <w:b/>
          <w:color w:val="2F5496" w:themeColor="accent5" w:themeShade="BF"/>
          <w:sz w:val="28"/>
          <w:szCs w:val="28"/>
          <w:u w:val="single"/>
        </w:rPr>
      </w:pPr>
      <w:bookmarkStart w:id="0" w:name="_Toc175379528"/>
      <w:bookmarkStart w:id="1" w:name="_Toc175470698"/>
      <w:bookmarkStart w:id="2" w:name="_Toc175573961"/>
      <w:r w:rsidRPr="00886E48">
        <w:rPr>
          <w:b/>
          <w:color w:val="2F5496" w:themeColor="accent5" w:themeShade="BF"/>
          <w:sz w:val="28"/>
          <w:szCs w:val="28"/>
          <w:u w:val="single"/>
        </w:rPr>
        <w:t>О Б Я В А</w:t>
      </w:r>
    </w:p>
    <w:p w14:paraId="697D0A01" w14:textId="77777777" w:rsidR="00D3123F" w:rsidRPr="00886E48" w:rsidRDefault="00D3123F" w:rsidP="007D21CC">
      <w:pPr>
        <w:spacing w:after="0" w:line="23" w:lineRule="atLeast"/>
        <w:jc w:val="center"/>
        <w:outlineLvl w:val="0"/>
        <w:rPr>
          <w:b/>
          <w:color w:val="2F5496" w:themeColor="accent5" w:themeShade="BF"/>
          <w:szCs w:val="24"/>
        </w:rPr>
      </w:pPr>
    </w:p>
    <w:p w14:paraId="7CF5B681" w14:textId="77777777" w:rsidR="00D3123F" w:rsidRPr="00886E48" w:rsidRDefault="00D3123F" w:rsidP="007D21CC">
      <w:pPr>
        <w:spacing w:after="0" w:line="23" w:lineRule="atLeast"/>
        <w:jc w:val="center"/>
        <w:outlineLvl w:val="0"/>
        <w:rPr>
          <w:b/>
          <w:color w:val="2F5496" w:themeColor="accent5" w:themeShade="BF"/>
          <w:szCs w:val="24"/>
        </w:rPr>
      </w:pPr>
      <w:r w:rsidRPr="00886E48">
        <w:rPr>
          <w:b/>
          <w:color w:val="2F5496" w:themeColor="accent5" w:themeShade="BF"/>
          <w:szCs w:val="24"/>
        </w:rPr>
        <w:t xml:space="preserve">МЕСТНА ИНИЦИАТИВНА ГРУПА  </w:t>
      </w:r>
      <w:r w:rsidR="00946B8A" w:rsidRPr="00886E48">
        <w:rPr>
          <w:b/>
          <w:color w:val="2F5496" w:themeColor="accent5" w:themeShade="BF"/>
          <w:szCs w:val="24"/>
        </w:rPr>
        <w:t>„НОВИ ПАЗАР – КАСПИЧАН”</w:t>
      </w:r>
    </w:p>
    <w:p w14:paraId="79677383" w14:textId="77777777" w:rsidR="00D3123F" w:rsidRPr="00886E48" w:rsidRDefault="00D3123F" w:rsidP="007D21CC">
      <w:pPr>
        <w:spacing w:after="0" w:line="23" w:lineRule="atLeast"/>
        <w:jc w:val="center"/>
        <w:outlineLvl w:val="0"/>
        <w:rPr>
          <w:b/>
          <w:color w:val="2F5496" w:themeColor="accent5" w:themeShade="BF"/>
          <w:szCs w:val="24"/>
        </w:rPr>
      </w:pPr>
      <w:r w:rsidRPr="00886E48">
        <w:rPr>
          <w:b/>
          <w:caps/>
          <w:color w:val="2F5496" w:themeColor="accent5" w:themeShade="BF"/>
          <w:szCs w:val="24"/>
        </w:rPr>
        <w:t>Открива процедура за подбор на проектни предложения</w:t>
      </w:r>
    </w:p>
    <w:p w14:paraId="10C76426" w14:textId="77777777" w:rsidR="00D3123F" w:rsidRPr="00886E48" w:rsidRDefault="00D3123F" w:rsidP="00863849">
      <w:pPr>
        <w:spacing w:after="0" w:line="23" w:lineRule="atLeast"/>
        <w:jc w:val="center"/>
        <w:outlineLvl w:val="0"/>
        <w:rPr>
          <w:rStyle w:val="indented"/>
          <w:b/>
          <w:caps/>
          <w:color w:val="2F5496" w:themeColor="accent5" w:themeShade="BF"/>
          <w:szCs w:val="24"/>
        </w:rPr>
      </w:pPr>
      <w:r w:rsidRPr="00886E48">
        <w:rPr>
          <w:b/>
          <w:caps/>
          <w:color w:val="2F5496" w:themeColor="accent5" w:themeShade="BF"/>
          <w:szCs w:val="24"/>
        </w:rPr>
        <w:t>за предОставяне на безвъзмездна финансова помощ</w:t>
      </w:r>
      <w:r w:rsidR="00863849" w:rsidRPr="00886E48">
        <w:rPr>
          <w:b/>
          <w:caps/>
          <w:color w:val="2F5496" w:themeColor="accent5" w:themeShade="BF"/>
          <w:szCs w:val="24"/>
        </w:rPr>
        <w:t xml:space="preserve"> ПО</w:t>
      </w:r>
    </w:p>
    <w:p w14:paraId="4C59CD83" w14:textId="77777777" w:rsidR="00E549B9" w:rsidRPr="00886E48" w:rsidRDefault="00E549B9" w:rsidP="00E549B9">
      <w:pPr>
        <w:jc w:val="center"/>
        <w:outlineLvl w:val="0"/>
        <w:rPr>
          <w:b/>
          <w:color w:val="2F5496" w:themeColor="accent5" w:themeShade="BF"/>
          <w:sz w:val="22"/>
          <w:szCs w:val="28"/>
        </w:rPr>
      </w:pPr>
      <w:r w:rsidRPr="00886E48">
        <w:rPr>
          <w:b/>
          <w:noProof/>
          <w:color w:val="2F5496" w:themeColor="accent5" w:themeShade="BF"/>
          <w:szCs w:val="28"/>
        </w:rPr>
        <w:t>М</w:t>
      </w:r>
      <w:r w:rsidRPr="00886E48">
        <w:rPr>
          <w:b/>
          <w:noProof/>
          <w:color w:val="2F5496" w:themeColor="accent5" w:themeShade="BF"/>
          <w:szCs w:val="28"/>
          <w:lang w:val="fr-BE"/>
        </w:rPr>
        <w:t xml:space="preserve">ЯРКА </w:t>
      </w:r>
      <w:r w:rsidR="00BB644F" w:rsidRPr="00C34271">
        <w:rPr>
          <w:b/>
          <w:color w:val="2F5496" w:themeColor="accent5" w:themeShade="BF"/>
          <w:szCs w:val="24"/>
        </w:rPr>
        <w:t>4</w:t>
      </w:r>
      <w:r w:rsidR="00BB644F" w:rsidRPr="00886E48">
        <w:rPr>
          <w:b/>
          <w:color w:val="2F5496" w:themeColor="accent5" w:themeShade="BF"/>
          <w:szCs w:val="28"/>
          <w:lang w:val="en-US"/>
        </w:rPr>
        <w:t>.1.2</w:t>
      </w:r>
      <w:r w:rsidR="00BB644F" w:rsidRPr="00886E48">
        <w:rPr>
          <w:b/>
          <w:color w:val="2F5496" w:themeColor="accent5" w:themeShade="BF"/>
          <w:szCs w:val="28"/>
        </w:rPr>
        <w:t xml:space="preserve">„ИНВЕСТИЦИИ В ЗЕМЕДЕЛСКИ СТОПАНСТВА ПО ТЕМАТИЧНА ПОДПРОГРАМА ЗА РАЗВИТИЕ НА МАЛКИ СТОПАНСТВА" </w:t>
      </w:r>
      <w:r w:rsidR="00BB644F" w:rsidRPr="00886E48">
        <w:rPr>
          <w:b/>
          <w:color w:val="2F5496" w:themeColor="accent5" w:themeShade="BF"/>
          <w:szCs w:val="28"/>
          <w:lang w:val="en-US"/>
        </w:rPr>
        <w:t xml:space="preserve"> </w:t>
      </w:r>
      <w:r w:rsidR="00BB644F" w:rsidRPr="00886E48">
        <w:rPr>
          <w:b/>
          <w:color w:val="2F5496" w:themeColor="accent5" w:themeShade="BF"/>
          <w:szCs w:val="28"/>
        </w:rPr>
        <w:t xml:space="preserve"> </w:t>
      </w:r>
    </w:p>
    <w:p w14:paraId="2C2DEDE9" w14:textId="5FBC256C" w:rsidR="00D3123F" w:rsidRPr="00A55D9D" w:rsidRDefault="00D3123F" w:rsidP="00D3123F">
      <w:pPr>
        <w:spacing w:line="23" w:lineRule="atLeast"/>
        <w:ind w:right="23"/>
        <w:jc w:val="both"/>
        <w:rPr>
          <w:b/>
          <w:color w:val="2E74B5" w:themeColor="accent1" w:themeShade="BF"/>
          <w:sz w:val="22"/>
          <w:szCs w:val="24"/>
          <w:lang w:val="en-US"/>
        </w:rPr>
      </w:pPr>
    </w:p>
    <w:p w14:paraId="790CDCE2" w14:textId="59C09F74" w:rsidR="0085296A" w:rsidRPr="00453D30" w:rsidRDefault="00D3123F" w:rsidP="00DB51AA">
      <w:pPr>
        <w:keepNext/>
        <w:spacing w:before="240" w:after="240"/>
        <w:outlineLvl w:val="4"/>
        <w:rPr>
          <w:b/>
          <w:color w:val="000000" w:themeColor="text1"/>
          <w:sz w:val="28"/>
          <w:szCs w:val="28"/>
          <w:lang w:val="en-US"/>
        </w:rPr>
      </w:pPr>
      <w:r>
        <w:rPr>
          <w:szCs w:val="24"/>
        </w:rPr>
        <w:t xml:space="preserve">Сдружение </w:t>
      </w:r>
      <w:r w:rsidRPr="00946B8A">
        <w:rPr>
          <w:b/>
          <w:szCs w:val="24"/>
        </w:rPr>
        <w:t xml:space="preserve">„Местна инициативна група </w:t>
      </w:r>
      <w:r w:rsidR="00946B8A" w:rsidRPr="00946B8A">
        <w:rPr>
          <w:b/>
          <w:szCs w:val="24"/>
        </w:rPr>
        <w:t>Нови пазар</w:t>
      </w:r>
      <w:r w:rsidR="0038245A">
        <w:rPr>
          <w:b/>
          <w:szCs w:val="24"/>
        </w:rPr>
        <w:t xml:space="preserve"> </w:t>
      </w:r>
      <w:r w:rsidR="00946B8A" w:rsidRPr="00946B8A">
        <w:rPr>
          <w:b/>
          <w:szCs w:val="24"/>
        </w:rPr>
        <w:t>-</w:t>
      </w:r>
      <w:r w:rsidR="0038245A">
        <w:rPr>
          <w:b/>
          <w:szCs w:val="24"/>
        </w:rPr>
        <w:t xml:space="preserve"> </w:t>
      </w:r>
      <w:r w:rsidR="00946B8A" w:rsidRPr="00946B8A">
        <w:rPr>
          <w:b/>
          <w:szCs w:val="24"/>
        </w:rPr>
        <w:t>Каспичан</w:t>
      </w:r>
      <w:r w:rsidRPr="00946B8A">
        <w:rPr>
          <w:b/>
          <w:szCs w:val="24"/>
        </w:rPr>
        <w:t>”</w:t>
      </w:r>
      <w:r w:rsidRPr="00012F1A">
        <w:rPr>
          <w:szCs w:val="24"/>
        </w:rPr>
        <w:t xml:space="preserve"> </w:t>
      </w:r>
      <w:r w:rsidR="00E713C3">
        <w:rPr>
          <w:szCs w:val="24"/>
        </w:rPr>
        <w:t>открива процедура за</w:t>
      </w:r>
      <w:r w:rsidR="00DB51AA">
        <w:rPr>
          <w:szCs w:val="24"/>
          <w:lang w:val="en-US"/>
        </w:rPr>
        <w:t xml:space="preserve"> </w:t>
      </w:r>
      <w:r>
        <w:rPr>
          <w:szCs w:val="24"/>
        </w:rPr>
        <w:t xml:space="preserve">подбор на проектни предложения </w:t>
      </w:r>
      <w:r w:rsidR="0056493E" w:rsidRPr="0056493E">
        <w:rPr>
          <w:b/>
          <w:color w:val="000000" w:themeColor="text1"/>
          <w:szCs w:val="28"/>
        </w:rPr>
        <w:t>BG06RDNP001-19</w:t>
      </w:r>
      <w:r w:rsidR="0056493E" w:rsidRPr="00886E48">
        <w:rPr>
          <w:b/>
          <w:szCs w:val="28"/>
        </w:rPr>
        <w:t>.</w:t>
      </w:r>
      <w:r w:rsidR="00592F2C" w:rsidRPr="00886E48">
        <w:rPr>
          <w:b/>
          <w:szCs w:val="28"/>
          <w:lang w:val="en-US"/>
        </w:rPr>
        <w:t xml:space="preserve">574 </w:t>
      </w:r>
      <w:r w:rsidR="0085296A" w:rsidRPr="0085296A">
        <w:rPr>
          <w:rStyle w:val="indented"/>
          <w:b/>
        </w:rPr>
        <w:t>по</w:t>
      </w:r>
      <w:r w:rsidR="0085296A" w:rsidRPr="0085296A">
        <w:rPr>
          <w:rStyle w:val="indented"/>
          <w:b/>
          <w:sz w:val="28"/>
        </w:rPr>
        <w:t xml:space="preserve"> </w:t>
      </w:r>
      <w:r w:rsidR="0085296A" w:rsidRPr="0085296A">
        <w:rPr>
          <w:b/>
          <w:noProof/>
          <w:color w:val="000000" w:themeColor="text1"/>
          <w:szCs w:val="28"/>
        </w:rPr>
        <w:t>м</w:t>
      </w:r>
      <w:r w:rsidR="0085296A" w:rsidRPr="0085296A">
        <w:rPr>
          <w:b/>
          <w:noProof/>
          <w:color w:val="000000" w:themeColor="text1"/>
          <w:szCs w:val="28"/>
          <w:lang w:val="fr-BE"/>
        </w:rPr>
        <w:t xml:space="preserve">ярка </w:t>
      </w:r>
      <w:r w:rsidR="00BB644F" w:rsidRPr="00BB644F">
        <w:rPr>
          <w:b/>
          <w:szCs w:val="28"/>
        </w:rPr>
        <w:t>4</w:t>
      </w:r>
      <w:r w:rsidR="00BB644F" w:rsidRPr="00BB644F">
        <w:rPr>
          <w:b/>
          <w:szCs w:val="28"/>
          <w:lang w:val="en-US"/>
        </w:rPr>
        <w:t>.1.2</w:t>
      </w:r>
      <w:r w:rsidR="001B5A8E">
        <w:rPr>
          <w:b/>
          <w:szCs w:val="28"/>
          <w:lang w:val="en-US"/>
        </w:rPr>
        <w:t xml:space="preserve"> </w:t>
      </w:r>
      <w:bookmarkStart w:id="3" w:name="_Hlk87963206"/>
      <w:r w:rsidR="00BB644F">
        <w:rPr>
          <w:b/>
          <w:szCs w:val="28"/>
        </w:rPr>
        <w:t>„И</w:t>
      </w:r>
      <w:r w:rsidR="00BB644F" w:rsidRPr="00BB644F">
        <w:rPr>
          <w:b/>
          <w:szCs w:val="28"/>
        </w:rPr>
        <w:t xml:space="preserve">нвестиции в земеделски стопанства по </w:t>
      </w:r>
      <w:r w:rsidR="00120A83">
        <w:rPr>
          <w:b/>
          <w:szCs w:val="28"/>
        </w:rPr>
        <w:t>Т</w:t>
      </w:r>
      <w:r w:rsidR="00BB644F" w:rsidRPr="00BB644F">
        <w:rPr>
          <w:b/>
          <w:szCs w:val="28"/>
        </w:rPr>
        <w:t xml:space="preserve">ематична подпрограма за развитие на малки стопанства" </w:t>
      </w:r>
      <w:r w:rsidR="00BB644F" w:rsidRPr="00BB644F">
        <w:rPr>
          <w:b/>
          <w:szCs w:val="28"/>
          <w:lang w:val="en-US"/>
        </w:rPr>
        <w:t xml:space="preserve"> </w:t>
      </w:r>
      <w:r w:rsidR="00BB644F" w:rsidRPr="00BB644F">
        <w:rPr>
          <w:b/>
          <w:szCs w:val="28"/>
        </w:rPr>
        <w:t xml:space="preserve"> </w:t>
      </w:r>
      <w:bookmarkEnd w:id="3"/>
    </w:p>
    <w:p w14:paraId="7D82B0C0" w14:textId="77777777" w:rsidR="00BB644F" w:rsidRDefault="00BB644F" w:rsidP="0085296A">
      <w:pPr>
        <w:spacing w:line="23" w:lineRule="atLeast"/>
        <w:ind w:firstLine="708"/>
        <w:jc w:val="both"/>
        <w:outlineLvl w:val="0"/>
        <w:rPr>
          <w:b/>
          <w:szCs w:val="24"/>
        </w:rPr>
      </w:pPr>
    </w:p>
    <w:p w14:paraId="19C3B043" w14:textId="77777777" w:rsidR="00552723" w:rsidRPr="008772E7" w:rsidRDefault="00552723" w:rsidP="00552723">
      <w:pPr>
        <w:spacing w:after="0" w:line="276" w:lineRule="auto"/>
        <w:outlineLvl w:val="0"/>
        <w:rPr>
          <w:rFonts w:cs="Times New Roman"/>
          <w:szCs w:val="24"/>
        </w:rPr>
      </w:pPr>
      <w:r w:rsidRPr="008772E7">
        <w:rPr>
          <w:rFonts w:cs="Times New Roman"/>
          <w:b/>
          <w:szCs w:val="24"/>
        </w:rPr>
        <w:t xml:space="preserve">Оперативна програма: </w:t>
      </w:r>
      <w:r w:rsidRPr="008772E7">
        <w:rPr>
          <w:rFonts w:cs="Times New Roman"/>
          <w:szCs w:val="24"/>
        </w:rPr>
        <w:t>Програма за развитие на селските райони 2014 -2020г.</w:t>
      </w:r>
    </w:p>
    <w:p w14:paraId="034DAD38" w14:textId="77777777" w:rsidR="00552723" w:rsidRPr="008772E7" w:rsidRDefault="00552723" w:rsidP="00552723">
      <w:pPr>
        <w:spacing w:after="0" w:line="276" w:lineRule="auto"/>
        <w:outlineLvl w:val="0"/>
        <w:rPr>
          <w:rFonts w:cs="Times New Roman"/>
          <w:szCs w:val="24"/>
        </w:rPr>
      </w:pPr>
      <w:r w:rsidRPr="008772E7">
        <w:rPr>
          <w:rFonts w:cs="Times New Roman"/>
          <w:b/>
          <w:szCs w:val="24"/>
        </w:rPr>
        <w:t>Мярка</w:t>
      </w:r>
      <w:r w:rsidRPr="008772E7">
        <w:rPr>
          <w:rFonts w:cs="Times New Roman"/>
          <w:szCs w:val="24"/>
        </w:rPr>
        <w:t>: 19 „Водено от общностите местно развитие“</w:t>
      </w:r>
    </w:p>
    <w:p w14:paraId="55FAFDA2" w14:textId="77777777" w:rsidR="00552723" w:rsidRDefault="00552723" w:rsidP="005562AA">
      <w:pPr>
        <w:spacing w:line="23" w:lineRule="atLeast"/>
        <w:jc w:val="both"/>
        <w:rPr>
          <w:b/>
          <w:szCs w:val="24"/>
        </w:rPr>
      </w:pPr>
    </w:p>
    <w:p w14:paraId="18E103DA" w14:textId="40AC7390" w:rsidR="005562AA" w:rsidRDefault="00D3123F" w:rsidP="005562AA">
      <w:pPr>
        <w:spacing w:line="23" w:lineRule="atLeast"/>
        <w:jc w:val="both"/>
        <w:rPr>
          <w:b/>
          <w:szCs w:val="24"/>
        </w:rPr>
      </w:pPr>
      <w:r w:rsidRPr="00012F1A">
        <w:rPr>
          <w:b/>
          <w:szCs w:val="24"/>
        </w:rPr>
        <w:t xml:space="preserve">Основна цел на </w:t>
      </w:r>
      <w:r w:rsidR="009643F7">
        <w:rPr>
          <w:b/>
          <w:szCs w:val="24"/>
        </w:rPr>
        <w:t>мярка</w:t>
      </w:r>
      <w:r w:rsidR="001B2274">
        <w:rPr>
          <w:b/>
          <w:szCs w:val="24"/>
        </w:rPr>
        <w:t xml:space="preserve"> 4.1.2 </w:t>
      </w:r>
      <w:r w:rsidR="001B2274" w:rsidRPr="001B2274">
        <w:rPr>
          <w:b/>
          <w:szCs w:val="24"/>
        </w:rPr>
        <w:t xml:space="preserve">„Инвестиции в земеделски стопанства по </w:t>
      </w:r>
      <w:r w:rsidR="00120A83">
        <w:rPr>
          <w:b/>
          <w:szCs w:val="24"/>
        </w:rPr>
        <w:t>Т</w:t>
      </w:r>
      <w:r w:rsidR="001B2274" w:rsidRPr="001B2274">
        <w:rPr>
          <w:b/>
          <w:szCs w:val="24"/>
        </w:rPr>
        <w:t>ематична подпрограма за развитие на малки стопанства"</w:t>
      </w:r>
      <w:r>
        <w:rPr>
          <w:b/>
          <w:szCs w:val="24"/>
        </w:rPr>
        <w:t xml:space="preserve">: </w:t>
      </w:r>
    </w:p>
    <w:p w14:paraId="0B5D7E11" w14:textId="45B44CEB" w:rsidR="00BB644F" w:rsidRDefault="00BB644F" w:rsidP="00BB644F">
      <w:pPr>
        <w:jc w:val="both"/>
        <w:rPr>
          <w:szCs w:val="24"/>
          <w:lang w:val="en-US"/>
        </w:rPr>
      </w:pPr>
      <w:r w:rsidRPr="00A07FF1">
        <w:rPr>
          <w:szCs w:val="24"/>
        </w:rPr>
        <w:t>Повишаване ефективността на малките земеделски стопанства чрез подпомагане на материални и нематериални дълготрайни инвестиции, които водят до подобряване на икономическата устойчивост и резултати на стопанствата</w:t>
      </w:r>
      <w:r>
        <w:rPr>
          <w:szCs w:val="24"/>
        </w:rPr>
        <w:t xml:space="preserve"> на т</w:t>
      </w:r>
      <w:r w:rsidR="005562AA">
        <w:rPr>
          <w:szCs w:val="24"/>
        </w:rPr>
        <w:t>ериторията</w:t>
      </w:r>
      <w:r w:rsidR="0085296A">
        <w:rPr>
          <w:szCs w:val="24"/>
        </w:rPr>
        <w:t xml:space="preserve"> на МИГ „Нов</w:t>
      </w:r>
      <w:r w:rsidR="00552723">
        <w:rPr>
          <w:szCs w:val="24"/>
        </w:rPr>
        <w:t>и пазар-Каспичан”</w:t>
      </w:r>
      <w:r w:rsidR="008605E2">
        <w:rPr>
          <w:szCs w:val="24"/>
        </w:rPr>
        <w:t>.</w:t>
      </w:r>
    </w:p>
    <w:p w14:paraId="1CBA0AAD" w14:textId="77777777" w:rsidR="00BB644F" w:rsidRDefault="00BB644F" w:rsidP="00BB644F">
      <w:pPr>
        <w:spacing w:after="0" w:line="240" w:lineRule="auto"/>
        <w:jc w:val="both"/>
        <w:rPr>
          <w:szCs w:val="24"/>
        </w:rPr>
      </w:pPr>
      <w:r>
        <w:rPr>
          <w:szCs w:val="24"/>
        </w:rPr>
        <w:t xml:space="preserve"> </w:t>
      </w:r>
    </w:p>
    <w:p w14:paraId="283840AD" w14:textId="77777777" w:rsidR="00D3123F" w:rsidRDefault="00D3123F" w:rsidP="00BB644F">
      <w:pPr>
        <w:spacing w:after="0" w:line="240" w:lineRule="auto"/>
        <w:jc w:val="both"/>
        <w:rPr>
          <w:b/>
          <w:szCs w:val="24"/>
        </w:rPr>
      </w:pPr>
      <w:r w:rsidRPr="00012F1A">
        <w:rPr>
          <w:szCs w:val="24"/>
        </w:rPr>
        <w:t xml:space="preserve">Процедурата за безвъзмездна финансова помощ </w:t>
      </w:r>
      <w:r w:rsidRPr="00012F1A">
        <w:rPr>
          <w:b/>
          <w:szCs w:val="24"/>
        </w:rPr>
        <w:t xml:space="preserve">се реализира с финансовата подкрепа на </w:t>
      </w:r>
      <w:r>
        <w:rPr>
          <w:b/>
          <w:szCs w:val="24"/>
        </w:rPr>
        <w:t>Европейския земеделски фонд за развитие на селските райони</w:t>
      </w:r>
      <w:r w:rsidRPr="00012F1A">
        <w:rPr>
          <w:b/>
          <w:szCs w:val="24"/>
        </w:rPr>
        <w:t>.</w:t>
      </w:r>
    </w:p>
    <w:p w14:paraId="1115FEAC" w14:textId="77777777" w:rsidR="00946B8A" w:rsidRPr="00946B8A" w:rsidRDefault="00946B8A" w:rsidP="00D3123F">
      <w:pPr>
        <w:tabs>
          <w:tab w:val="left" w:pos="142"/>
        </w:tabs>
        <w:spacing w:line="23" w:lineRule="atLeast"/>
        <w:jc w:val="both"/>
        <w:rPr>
          <w:b/>
          <w:color w:val="000000"/>
          <w:szCs w:val="24"/>
          <w:shd w:val="clear" w:color="auto" w:fill="FEFEFE"/>
          <w:lang w:val="ru-RU"/>
        </w:rPr>
      </w:pPr>
    </w:p>
    <w:p w14:paraId="13D7CD73" w14:textId="77777777" w:rsidR="00D3123F" w:rsidRPr="00886E48" w:rsidRDefault="00D3123F" w:rsidP="00D3123F">
      <w:pPr>
        <w:shd w:val="clear" w:color="auto" w:fill="FEFEFE"/>
        <w:spacing w:line="23" w:lineRule="atLeast"/>
        <w:rPr>
          <w:rStyle w:val="indented"/>
          <w:b/>
          <w:color w:val="2F5496" w:themeColor="accent5" w:themeShade="BF"/>
          <w:szCs w:val="24"/>
          <w:lang w:val="ru-RU" w:eastAsia="bg-BG"/>
        </w:rPr>
      </w:pPr>
      <w:r w:rsidRPr="00886E48">
        <w:rPr>
          <w:b/>
          <w:color w:val="2F5496" w:themeColor="accent5" w:themeShade="BF"/>
          <w:szCs w:val="24"/>
          <w:lang w:eastAsia="bg-BG"/>
        </w:rPr>
        <w:t>1. НАИМЕНОВАНИЕ НА МЯРКАТА ОТ СТРАТЕГИЯТА ЗА ВОМР</w:t>
      </w:r>
    </w:p>
    <w:p w14:paraId="58F17AC2" w14:textId="3914C496" w:rsidR="00D3123F" w:rsidRPr="00946B8A" w:rsidRDefault="00D3123F" w:rsidP="00BB644F">
      <w:pPr>
        <w:shd w:val="clear" w:color="auto" w:fill="FEFEFE"/>
        <w:spacing w:line="23" w:lineRule="atLeast"/>
        <w:jc w:val="both"/>
        <w:rPr>
          <w:b/>
          <w:color w:val="000000"/>
          <w:szCs w:val="24"/>
          <w:lang w:val="ru-RU" w:eastAsia="bg-BG"/>
        </w:rPr>
      </w:pPr>
      <w:r w:rsidRPr="00D3123F">
        <w:rPr>
          <w:rStyle w:val="indented"/>
          <w:b/>
          <w:i/>
        </w:rPr>
        <w:t xml:space="preserve">МИГ </w:t>
      </w:r>
      <w:r w:rsidR="009643F7">
        <w:rPr>
          <w:rStyle w:val="indented"/>
          <w:b/>
          <w:i/>
        </w:rPr>
        <w:t>„</w:t>
      </w:r>
      <w:r w:rsidR="00946B8A">
        <w:rPr>
          <w:rStyle w:val="indented"/>
          <w:b/>
          <w:i/>
        </w:rPr>
        <w:t>Нови пазар – Каспичан”</w:t>
      </w:r>
      <w:r w:rsidRPr="00D3123F">
        <w:rPr>
          <w:rStyle w:val="indented"/>
          <w:b/>
          <w:i/>
        </w:rPr>
        <w:t xml:space="preserve"> - </w:t>
      </w:r>
      <w:r w:rsidRPr="009643F7">
        <w:rPr>
          <w:rStyle w:val="indented"/>
          <w:b/>
          <w:i/>
        </w:rPr>
        <w:t xml:space="preserve">Мярка </w:t>
      </w:r>
      <w:r w:rsidR="00BB644F" w:rsidRPr="009643F7">
        <w:rPr>
          <w:b/>
          <w:i/>
          <w:szCs w:val="24"/>
          <w:lang w:val="fr-BE"/>
        </w:rPr>
        <w:t>4.1</w:t>
      </w:r>
      <w:r w:rsidR="00BB644F" w:rsidRPr="009643F7">
        <w:rPr>
          <w:b/>
          <w:i/>
          <w:szCs w:val="24"/>
        </w:rPr>
        <w:t>.</w:t>
      </w:r>
      <w:r w:rsidR="00BB644F" w:rsidRPr="009643F7">
        <w:rPr>
          <w:b/>
          <w:i/>
          <w:szCs w:val="24"/>
          <w:lang w:val="en-US"/>
        </w:rPr>
        <w:t>2</w:t>
      </w:r>
      <w:r w:rsidR="00BB644F">
        <w:rPr>
          <w:szCs w:val="24"/>
          <w:lang w:val="fr-BE"/>
        </w:rPr>
        <w:t xml:space="preserve"> </w:t>
      </w:r>
      <w:r w:rsidR="00BB644F" w:rsidRPr="00BB644F">
        <w:rPr>
          <w:b/>
          <w:i/>
          <w:szCs w:val="24"/>
        </w:rPr>
        <w:t>„Инвестиции в земеделски стопанства по Тематична подпрограма за развитие на малки стопанства"</w:t>
      </w:r>
    </w:p>
    <w:p w14:paraId="42FF5757" w14:textId="77777777" w:rsidR="00BB644F" w:rsidRPr="001B5A8E" w:rsidRDefault="00BB644F" w:rsidP="00D3123F">
      <w:pPr>
        <w:shd w:val="clear" w:color="auto" w:fill="FEFEFE"/>
        <w:spacing w:line="23" w:lineRule="atLeast"/>
        <w:rPr>
          <w:b/>
          <w:szCs w:val="24"/>
          <w:lang w:eastAsia="bg-BG"/>
        </w:rPr>
      </w:pPr>
    </w:p>
    <w:p w14:paraId="58C68FE7" w14:textId="77777777" w:rsidR="00D3123F" w:rsidRPr="00886E48" w:rsidRDefault="00D3123F" w:rsidP="00D3123F">
      <w:pPr>
        <w:shd w:val="clear" w:color="auto" w:fill="FEFEFE"/>
        <w:spacing w:line="23" w:lineRule="atLeast"/>
        <w:rPr>
          <w:b/>
          <w:color w:val="2F5496" w:themeColor="accent5" w:themeShade="BF"/>
          <w:szCs w:val="24"/>
          <w:lang w:val="ru-RU" w:eastAsia="bg-BG"/>
        </w:rPr>
      </w:pPr>
      <w:r w:rsidRPr="00886E48">
        <w:rPr>
          <w:b/>
          <w:color w:val="2F5496" w:themeColor="accent5" w:themeShade="BF"/>
          <w:szCs w:val="24"/>
          <w:lang w:eastAsia="bg-BG"/>
        </w:rPr>
        <w:t>2. ДОПУСТИМИ КАНДИДАТИ</w:t>
      </w:r>
    </w:p>
    <w:p w14:paraId="548B6EF4" w14:textId="51FD0DB0" w:rsidR="00BB644F" w:rsidRPr="00A07FF1" w:rsidRDefault="00BB644F" w:rsidP="00BB644F">
      <w:pPr>
        <w:pStyle w:val="Default"/>
        <w:spacing w:line="276" w:lineRule="auto"/>
        <w:jc w:val="both"/>
      </w:pPr>
      <w:r w:rsidRPr="00A07FF1">
        <w:rPr>
          <w:color w:val="auto"/>
        </w:rPr>
        <w:t xml:space="preserve">Земеделски стопани, които имат икономически размер на стопанството от 6 000 до 7 999 евро, измерен в стандартен производствен обем. </w:t>
      </w:r>
      <w:r w:rsidRPr="00A07FF1">
        <w:t>Кандидатите трябва да са получили минимум 33 % от общия доход за преходната година от земеделски дейности.</w:t>
      </w:r>
    </w:p>
    <w:p w14:paraId="042C5EE9" w14:textId="77777777" w:rsidR="00DC3579" w:rsidRDefault="00BB644F" w:rsidP="00BB644F">
      <w:pPr>
        <w:jc w:val="both"/>
        <w:rPr>
          <w:szCs w:val="24"/>
        </w:rPr>
      </w:pPr>
      <w:r w:rsidRPr="00A07FF1">
        <w:rPr>
          <w:szCs w:val="24"/>
        </w:rPr>
        <w:lastRenderedPageBreak/>
        <w:t>Допустими са само кандидати със седалище за ЮЛ и постоянен адрес за физическите лица на територията на МИГ.</w:t>
      </w:r>
    </w:p>
    <w:p w14:paraId="3541C312" w14:textId="77777777" w:rsidR="00BB644F" w:rsidRPr="00BB644F" w:rsidRDefault="00BB644F" w:rsidP="00BB644F">
      <w:pPr>
        <w:jc w:val="both"/>
        <w:rPr>
          <w:szCs w:val="24"/>
        </w:rPr>
      </w:pPr>
    </w:p>
    <w:p w14:paraId="36E56CBF" w14:textId="77777777" w:rsidR="00D3123F" w:rsidRPr="00886E48" w:rsidRDefault="00D3123F" w:rsidP="00D3123F">
      <w:pPr>
        <w:shd w:val="clear" w:color="auto" w:fill="FEFEFE"/>
        <w:spacing w:line="23" w:lineRule="atLeast"/>
        <w:rPr>
          <w:b/>
          <w:color w:val="2F5496" w:themeColor="accent5" w:themeShade="BF"/>
          <w:szCs w:val="24"/>
          <w:lang w:val="ru-RU" w:eastAsia="bg-BG"/>
        </w:rPr>
      </w:pPr>
      <w:r w:rsidRPr="00886E48">
        <w:rPr>
          <w:b/>
          <w:color w:val="2F5496" w:themeColor="accent5" w:themeShade="BF"/>
          <w:szCs w:val="24"/>
          <w:lang w:eastAsia="bg-BG"/>
        </w:rPr>
        <w:t>3. ДОПУСТИМИ ДЕЙНОСТИ</w:t>
      </w:r>
    </w:p>
    <w:p w14:paraId="1A89A1BF" w14:textId="77777777" w:rsidR="00BB644F" w:rsidRPr="00BE2D40" w:rsidRDefault="00BB644F" w:rsidP="00BB644F">
      <w:pPr>
        <w:pStyle w:val="Default"/>
        <w:spacing w:line="276" w:lineRule="auto"/>
        <w:jc w:val="both"/>
        <w:rPr>
          <w:b/>
          <w:color w:val="000000" w:themeColor="text1"/>
        </w:rPr>
      </w:pPr>
      <w:r w:rsidRPr="00BE2D40">
        <w:rPr>
          <w:b/>
          <w:color w:val="000000" w:themeColor="text1"/>
        </w:rPr>
        <w:t>Допустими са само дейности на територията на МИГ и са за:</w:t>
      </w:r>
    </w:p>
    <w:p w14:paraId="2D0EE55E" w14:textId="77777777" w:rsidR="00BB644F" w:rsidRPr="00A07FF1" w:rsidRDefault="00BB644F" w:rsidP="00BB644F">
      <w:pPr>
        <w:tabs>
          <w:tab w:val="left" w:pos="142"/>
          <w:tab w:val="left" w:pos="177"/>
          <w:tab w:val="left" w:pos="319"/>
        </w:tabs>
        <w:jc w:val="both"/>
        <w:rPr>
          <w:szCs w:val="24"/>
        </w:rPr>
      </w:pPr>
      <w:r w:rsidRPr="00A07FF1">
        <w:rPr>
          <w:szCs w:val="24"/>
        </w:rPr>
        <w:t>1.</w:t>
      </w:r>
      <w:r w:rsidRPr="00A07FF1">
        <w:rPr>
          <w:szCs w:val="24"/>
        </w:rPr>
        <w:tab/>
        <w:t>Инвестиции за модернизация или увеличаване на физическия капитал с оглед намаляване на преките разходи за производство, повишаване на производителността на труда и качеството или разширяване на производството;</w:t>
      </w:r>
    </w:p>
    <w:p w14:paraId="2F821DD8" w14:textId="77777777" w:rsidR="00BB644F" w:rsidRPr="00A07FF1" w:rsidRDefault="00BB644F" w:rsidP="00BB644F">
      <w:pPr>
        <w:tabs>
          <w:tab w:val="left" w:pos="142"/>
          <w:tab w:val="left" w:pos="177"/>
          <w:tab w:val="left" w:pos="319"/>
        </w:tabs>
        <w:jc w:val="both"/>
        <w:rPr>
          <w:szCs w:val="24"/>
        </w:rPr>
      </w:pPr>
      <w:r w:rsidRPr="00A07FF1">
        <w:rPr>
          <w:szCs w:val="24"/>
        </w:rPr>
        <w:t>2.</w:t>
      </w:r>
      <w:r w:rsidRPr="00A07FF1">
        <w:rPr>
          <w:szCs w:val="24"/>
        </w:rPr>
        <w:tab/>
        <w:t xml:space="preserve">Инвестиции за подобряване на </w:t>
      </w:r>
      <w:proofErr w:type="spellStart"/>
      <w:r w:rsidRPr="00A07FF1">
        <w:rPr>
          <w:szCs w:val="24"/>
        </w:rPr>
        <w:t>предпазарната</w:t>
      </w:r>
      <w:proofErr w:type="spellEnd"/>
      <w:r w:rsidRPr="00A07FF1">
        <w:rPr>
          <w:szCs w:val="24"/>
        </w:rPr>
        <w:t xml:space="preserve"> подготовка или съхранение на продукцията (като оборудване за почистване, сортиране, пакетиране на продукцията и сгради за специализирано съхранение и обработка, осигуряване на вентилация, изолация и охлаждане);</w:t>
      </w:r>
    </w:p>
    <w:p w14:paraId="2DBFA104" w14:textId="77777777" w:rsidR="00BB644F" w:rsidRPr="00A07FF1" w:rsidRDefault="00BB644F" w:rsidP="00BB644F">
      <w:pPr>
        <w:tabs>
          <w:tab w:val="left" w:pos="142"/>
          <w:tab w:val="left" w:pos="177"/>
          <w:tab w:val="left" w:pos="319"/>
        </w:tabs>
        <w:jc w:val="both"/>
        <w:rPr>
          <w:szCs w:val="24"/>
        </w:rPr>
      </w:pPr>
      <w:r w:rsidRPr="00A07FF1">
        <w:rPr>
          <w:szCs w:val="24"/>
        </w:rPr>
        <w:t>3.</w:t>
      </w:r>
      <w:r w:rsidRPr="00A07FF1">
        <w:rPr>
          <w:szCs w:val="24"/>
        </w:rPr>
        <w:tab/>
        <w:t xml:space="preserve">Инвестиции за създаване и/или </w:t>
      </w:r>
      <w:proofErr w:type="spellStart"/>
      <w:r w:rsidRPr="00A07FF1">
        <w:rPr>
          <w:szCs w:val="24"/>
        </w:rPr>
        <w:t>презасаждане</w:t>
      </w:r>
      <w:proofErr w:type="spellEnd"/>
      <w:r w:rsidRPr="00A07FF1">
        <w:rPr>
          <w:szCs w:val="24"/>
        </w:rPr>
        <w:t xml:space="preserve"> на трайни насаждения, десертни лозя, медоносни дървесни видове за производство на мед и </w:t>
      </w:r>
      <w:proofErr w:type="spellStart"/>
      <w:r w:rsidRPr="00A07FF1">
        <w:rPr>
          <w:szCs w:val="24"/>
        </w:rPr>
        <w:t>бързорастящи</w:t>
      </w:r>
      <w:proofErr w:type="spellEnd"/>
      <w:r w:rsidRPr="00A07FF1">
        <w:rPr>
          <w:szCs w:val="24"/>
        </w:rPr>
        <w:t xml:space="preserve"> храсти и дървесни видове за производство на биоенергия;</w:t>
      </w:r>
    </w:p>
    <w:p w14:paraId="2B90DD1D" w14:textId="77777777" w:rsidR="00B053A1" w:rsidRPr="00B053A1" w:rsidRDefault="00B053A1" w:rsidP="00B053A1">
      <w:pPr>
        <w:pStyle w:val="af0"/>
        <w:spacing w:line="23" w:lineRule="atLeast"/>
        <w:ind w:right="49"/>
        <w:jc w:val="both"/>
        <w:rPr>
          <w:rFonts w:ascii="Times New Roman" w:hAnsi="Times New Roman"/>
          <w:lang w:val="bg-BG"/>
        </w:rPr>
      </w:pPr>
    </w:p>
    <w:p w14:paraId="6F7F6006" w14:textId="77777777" w:rsidR="00314253" w:rsidRPr="00886E48" w:rsidRDefault="00D3123F" w:rsidP="00D3123F">
      <w:pPr>
        <w:shd w:val="clear" w:color="auto" w:fill="FEFEFE"/>
        <w:spacing w:line="23" w:lineRule="atLeast"/>
        <w:rPr>
          <w:b/>
          <w:color w:val="2F5496" w:themeColor="accent5" w:themeShade="BF"/>
          <w:szCs w:val="24"/>
          <w:lang w:eastAsia="bg-BG"/>
        </w:rPr>
      </w:pPr>
      <w:r w:rsidRPr="00886E48">
        <w:rPr>
          <w:b/>
          <w:color w:val="2F5496" w:themeColor="accent5" w:themeShade="BF"/>
          <w:szCs w:val="24"/>
          <w:lang w:eastAsia="bg-BG"/>
        </w:rPr>
        <w:t xml:space="preserve">4. </w:t>
      </w:r>
      <w:r w:rsidR="00314253" w:rsidRPr="00886E48">
        <w:rPr>
          <w:b/>
          <w:color w:val="2F5496" w:themeColor="accent5" w:themeShade="BF"/>
          <w:szCs w:val="24"/>
          <w:lang w:eastAsia="bg-BG"/>
        </w:rPr>
        <w:t>ДО</w:t>
      </w:r>
      <w:r w:rsidR="00DC3579" w:rsidRPr="00886E48">
        <w:rPr>
          <w:b/>
          <w:color w:val="2F5496" w:themeColor="accent5" w:themeShade="BF"/>
          <w:szCs w:val="24"/>
          <w:lang w:eastAsia="bg-BG"/>
        </w:rPr>
        <w:t>П</w:t>
      </w:r>
      <w:r w:rsidR="00314253" w:rsidRPr="00886E48">
        <w:rPr>
          <w:b/>
          <w:color w:val="2F5496" w:themeColor="accent5" w:themeShade="BF"/>
          <w:szCs w:val="24"/>
          <w:lang w:eastAsia="bg-BG"/>
        </w:rPr>
        <w:t>УСТИМИ РАЗХОДИ:</w:t>
      </w:r>
    </w:p>
    <w:p w14:paraId="0493B2C1" w14:textId="77777777" w:rsidR="00BB644F" w:rsidRPr="00A07FF1" w:rsidRDefault="00BB644F" w:rsidP="008605E2">
      <w:pPr>
        <w:pStyle w:val="a9"/>
        <w:numPr>
          <w:ilvl w:val="0"/>
          <w:numId w:val="32"/>
        </w:numPr>
        <w:tabs>
          <w:tab w:val="left" w:pos="0"/>
          <w:tab w:val="left" w:pos="177"/>
          <w:tab w:val="left" w:pos="319"/>
        </w:tabs>
        <w:spacing w:after="120" w:line="276" w:lineRule="auto"/>
        <w:ind w:left="300" w:hanging="357"/>
        <w:jc w:val="both"/>
        <w:rPr>
          <w:szCs w:val="24"/>
        </w:rPr>
      </w:pPr>
      <w:r w:rsidRPr="00A07FF1">
        <w:rPr>
          <w:szCs w:val="24"/>
        </w:rPr>
        <w:t>Изграждане, придобиване и подобряване на недвижимо имущество, включително чрез лизинг;</w:t>
      </w:r>
    </w:p>
    <w:p w14:paraId="313D513C" w14:textId="77777777" w:rsidR="00BB644F" w:rsidRPr="00A07FF1" w:rsidRDefault="00BB644F" w:rsidP="008605E2">
      <w:pPr>
        <w:numPr>
          <w:ilvl w:val="0"/>
          <w:numId w:val="32"/>
        </w:numPr>
        <w:tabs>
          <w:tab w:val="left" w:pos="0"/>
          <w:tab w:val="left" w:pos="177"/>
          <w:tab w:val="left" w:pos="319"/>
        </w:tabs>
        <w:spacing w:after="120" w:line="276" w:lineRule="auto"/>
        <w:ind w:left="35" w:firstLine="0"/>
        <w:jc w:val="both"/>
        <w:rPr>
          <w:szCs w:val="24"/>
        </w:rPr>
      </w:pPr>
      <w:r w:rsidRPr="00A07FF1">
        <w:rPr>
          <w:szCs w:val="24"/>
        </w:rPr>
        <w:t>Закупуване на нови машини, съоръжения и оборудване, включително компютърен софтуер до пазарната стойност на активите, включително чрез лизинг;</w:t>
      </w:r>
    </w:p>
    <w:p w14:paraId="18622A57" w14:textId="77777777" w:rsidR="00BB644F" w:rsidRPr="00A07FF1" w:rsidRDefault="00BB644F" w:rsidP="008605E2">
      <w:pPr>
        <w:numPr>
          <w:ilvl w:val="0"/>
          <w:numId w:val="32"/>
        </w:numPr>
        <w:tabs>
          <w:tab w:val="left" w:pos="0"/>
          <w:tab w:val="left" w:pos="177"/>
          <w:tab w:val="left" w:pos="319"/>
        </w:tabs>
        <w:spacing w:after="120" w:line="276" w:lineRule="auto"/>
        <w:ind w:left="35" w:firstLine="0"/>
        <w:jc w:val="both"/>
        <w:rPr>
          <w:szCs w:val="24"/>
        </w:rPr>
      </w:pPr>
      <w:r w:rsidRPr="00A07FF1">
        <w:rPr>
          <w:szCs w:val="24"/>
        </w:rPr>
        <w:t xml:space="preserve">Закупуване на косачки, закупуване на дробилки (прикачен инвентар), закупуване на преносими сушилни и </w:t>
      </w:r>
      <w:proofErr w:type="spellStart"/>
      <w:r w:rsidRPr="00A07FF1">
        <w:rPr>
          <w:szCs w:val="24"/>
        </w:rPr>
        <w:t>др</w:t>
      </w:r>
      <w:proofErr w:type="spellEnd"/>
      <w:r w:rsidRPr="00A07FF1">
        <w:rPr>
          <w:szCs w:val="24"/>
        </w:rPr>
        <w:t>;</w:t>
      </w:r>
    </w:p>
    <w:p w14:paraId="08FF0049" w14:textId="77777777" w:rsidR="00BB644F" w:rsidRPr="00A07FF1" w:rsidRDefault="00BB644F" w:rsidP="008605E2">
      <w:pPr>
        <w:numPr>
          <w:ilvl w:val="0"/>
          <w:numId w:val="32"/>
        </w:numPr>
        <w:tabs>
          <w:tab w:val="left" w:pos="0"/>
          <w:tab w:val="left" w:pos="177"/>
          <w:tab w:val="left" w:pos="319"/>
        </w:tabs>
        <w:spacing w:after="120" w:line="276" w:lineRule="auto"/>
        <w:ind w:left="35" w:firstLine="0"/>
        <w:jc w:val="both"/>
        <w:rPr>
          <w:szCs w:val="24"/>
        </w:rPr>
      </w:pPr>
      <w:r w:rsidRPr="00A07FF1">
        <w:rPr>
          <w:szCs w:val="24"/>
        </w:rPr>
        <w:t xml:space="preserve">Общи разходи свързани със съответния проект за предпроектни проучвания, такси, хонорари за архитекти, инженери и консултантски услуги. </w:t>
      </w:r>
    </w:p>
    <w:p w14:paraId="39BA983B" w14:textId="33CFA2E9" w:rsidR="00BB644F" w:rsidRDefault="00BB644F" w:rsidP="008605E2">
      <w:pPr>
        <w:numPr>
          <w:ilvl w:val="0"/>
          <w:numId w:val="32"/>
        </w:numPr>
        <w:tabs>
          <w:tab w:val="left" w:pos="0"/>
          <w:tab w:val="left" w:pos="177"/>
          <w:tab w:val="left" w:pos="319"/>
        </w:tabs>
        <w:spacing w:after="120" w:line="276" w:lineRule="auto"/>
        <w:ind w:left="35" w:firstLine="0"/>
        <w:jc w:val="both"/>
        <w:rPr>
          <w:szCs w:val="24"/>
        </w:rPr>
      </w:pPr>
      <w:r w:rsidRPr="00A07FF1">
        <w:rPr>
          <w:szCs w:val="24"/>
        </w:rPr>
        <w:t>Закупуване на ноу-хау, патенти права и лицензи, търговски марки и процеси необходими за изготвяне и изпълнение на проекта.</w:t>
      </w:r>
    </w:p>
    <w:p w14:paraId="3FA9962B" w14:textId="0367A82B" w:rsidR="006A4A2F" w:rsidRPr="006A4A2F" w:rsidRDefault="006A4A2F" w:rsidP="006A4A2F">
      <w:pPr>
        <w:pStyle w:val="Default"/>
        <w:tabs>
          <w:tab w:val="left" w:pos="227"/>
        </w:tabs>
        <w:spacing w:line="276" w:lineRule="auto"/>
        <w:jc w:val="both"/>
        <w:rPr>
          <w:rFonts w:ascii="Book Antiqua" w:hAnsi="Book Antiqua"/>
          <w:i/>
          <w:sz w:val="22"/>
          <w:szCs w:val="22"/>
        </w:rPr>
      </w:pPr>
      <w:r>
        <w:rPr>
          <w:rFonts w:ascii="Book Antiqua" w:hAnsi="Book Antiqua"/>
          <w:i/>
          <w:sz w:val="22"/>
          <w:szCs w:val="22"/>
        </w:rPr>
        <w:tab/>
      </w:r>
      <w:r>
        <w:rPr>
          <w:rFonts w:ascii="Book Antiqua" w:hAnsi="Book Antiqua"/>
          <w:i/>
          <w:sz w:val="22"/>
          <w:szCs w:val="22"/>
        </w:rPr>
        <w:tab/>
      </w:r>
      <w:r w:rsidRPr="00EE47B9">
        <w:rPr>
          <w:rFonts w:ascii="Book Antiqua" w:hAnsi="Book Antiqua"/>
          <w:i/>
          <w:sz w:val="22"/>
          <w:szCs w:val="22"/>
        </w:rPr>
        <w:t xml:space="preserve">По смисъла на чл.20, ал.1, т.1 от Наредба №22, посочените разходи са инвестиционни. Съгласно Указания за прием на проекти подавани по стратегиите за ВОМР (утвърдени със Заповед №РД 09-828/04.09.2018г., на Министъра на земеделието, храните и горите), от общите разходи по т.3, </w:t>
      </w:r>
      <w:r w:rsidRPr="00EE47B9">
        <w:rPr>
          <w:rFonts w:ascii="Book Antiqua" w:hAnsi="Book Antiqua"/>
          <w:b/>
          <w:i/>
          <w:sz w:val="22"/>
          <w:szCs w:val="22"/>
        </w:rPr>
        <w:t>разходите, свързани с консултации</w:t>
      </w:r>
      <w:r w:rsidRPr="00EE47B9">
        <w:rPr>
          <w:rFonts w:ascii="Book Antiqua" w:hAnsi="Book Antiqua"/>
          <w:i/>
          <w:sz w:val="22"/>
          <w:szCs w:val="22"/>
        </w:rPr>
        <w:t xml:space="preserve"> (разработване на бизнес план, включващ предпроектни изследвания и маркетингови стратегии или попълване на анализ разходи-ползи (финансов анализ), извършване на предпроектни проучвания и окомплектоване на пакета документи, и консултантските услуги, свързани с изпълнението, и отчитане на дейностите по проекта до изплащане на помощта) не следва да надхвърлят </w:t>
      </w:r>
      <w:r w:rsidRPr="00EE47B9">
        <w:rPr>
          <w:rFonts w:ascii="Book Antiqua" w:hAnsi="Book Antiqua"/>
          <w:b/>
          <w:i/>
          <w:sz w:val="22"/>
          <w:szCs w:val="22"/>
        </w:rPr>
        <w:t>5 на сто</w:t>
      </w:r>
      <w:r w:rsidRPr="00EE47B9">
        <w:rPr>
          <w:rFonts w:ascii="Book Antiqua" w:hAnsi="Book Antiqua"/>
          <w:i/>
          <w:sz w:val="22"/>
          <w:szCs w:val="22"/>
        </w:rPr>
        <w:t xml:space="preserve"> от допустимите разходи</w:t>
      </w:r>
      <w:r>
        <w:rPr>
          <w:rFonts w:ascii="Book Antiqua" w:hAnsi="Book Antiqua"/>
          <w:i/>
          <w:sz w:val="22"/>
          <w:szCs w:val="22"/>
        </w:rPr>
        <w:t>.</w:t>
      </w:r>
    </w:p>
    <w:p w14:paraId="466EF39D" w14:textId="15EBFA42" w:rsidR="00DC3579" w:rsidRDefault="00DC3579" w:rsidP="00DC3579">
      <w:pPr>
        <w:shd w:val="clear" w:color="auto" w:fill="FEFEFE"/>
        <w:spacing w:line="23" w:lineRule="atLeast"/>
        <w:rPr>
          <w:b/>
          <w:color w:val="548DD4"/>
          <w:szCs w:val="24"/>
          <w:lang w:eastAsia="bg-BG"/>
        </w:rPr>
      </w:pPr>
    </w:p>
    <w:p w14:paraId="2B3386C6" w14:textId="77777777" w:rsidR="006F394A" w:rsidRDefault="006F394A" w:rsidP="00DC3579">
      <w:pPr>
        <w:shd w:val="clear" w:color="auto" w:fill="FEFEFE"/>
        <w:spacing w:line="23" w:lineRule="atLeast"/>
        <w:rPr>
          <w:b/>
          <w:color w:val="548DD4"/>
          <w:szCs w:val="24"/>
          <w:lang w:eastAsia="bg-BG"/>
        </w:rPr>
      </w:pPr>
    </w:p>
    <w:p w14:paraId="2984A242" w14:textId="33F091BD" w:rsidR="00D3123F" w:rsidRPr="00886E48" w:rsidRDefault="00314253" w:rsidP="00D3123F">
      <w:pPr>
        <w:shd w:val="clear" w:color="auto" w:fill="FEFEFE"/>
        <w:spacing w:line="23" w:lineRule="atLeast"/>
        <w:rPr>
          <w:b/>
          <w:color w:val="2F5496" w:themeColor="accent5" w:themeShade="BF"/>
          <w:szCs w:val="24"/>
          <w:lang w:val="ru-RU" w:eastAsia="bg-BG"/>
        </w:rPr>
      </w:pPr>
      <w:r w:rsidRPr="00886E48">
        <w:rPr>
          <w:b/>
          <w:color w:val="2F5496" w:themeColor="accent5" w:themeShade="BF"/>
          <w:szCs w:val="24"/>
          <w:lang w:eastAsia="bg-BG"/>
        </w:rPr>
        <w:t>5.</w:t>
      </w:r>
      <w:r w:rsidR="001B5A8E" w:rsidRPr="00886E48">
        <w:rPr>
          <w:b/>
          <w:color w:val="2F5496" w:themeColor="accent5" w:themeShade="BF"/>
          <w:szCs w:val="24"/>
          <w:lang w:val="en-US" w:eastAsia="bg-BG"/>
        </w:rPr>
        <w:t xml:space="preserve"> </w:t>
      </w:r>
      <w:r w:rsidR="00D3123F" w:rsidRPr="00886E48">
        <w:rPr>
          <w:b/>
          <w:color w:val="2F5496" w:themeColor="accent5" w:themeShade="BF"/>
          <w:szCs w:val="24"/>
          <w:lang w:eastAsia="bg-BG"/>
        </w:rPr>
        <w:t>ПЕРИОД ЗА ПРИЕМ И МЯСТО ЗА ПОДАВАНЕ НА ПРОЕКТНИ ПРЕДЛОЖЕНИЯ</w:t>
      </w:r>
      <w:r w:rsidRPr="00886E48">
        <w:rPr>
          <w:b/>
          <w:color w:val="2F5496" w:themeColor="accent5" w:themeShade="BF"/>
          <w:szCs w:val="24"/>
          <w:lang w:eastAsia="bg-BG"/>
        </w:rPr>
        <w:t>:</w:t>
      </w:r>
    </w:p>
    <w:p w14:paraId="3FA9D6D2" w14:textId="39114B11" w:rsidR="002C2EBB" w:rsidRPr="00126EF6" w:rsidRDefault="00314253" w:rsidP="002C2EBB">
      <w:pPr>
        <w:spacing w:after="120" w:line="240" w:lineRule="auto"/>
        <w:jc w:val="both"/>
        <w:rPr>
          <w:rFonts w:cs="Times New Roman"/>
          <w:b/>
          <w:szCs w:val="24"/>
          <w:lang w:eastAsia="bg-BG"/>
        </w:rPr>
      </w:pPr>
      <w:r>
        <w:rPr>
          <w:b/>
          <w:color w:val="000000"/>
          <w:szCs w:val="24"/>
          <w:lang w:eastAsia="bg-BG"/>
        </w:rPr>
        <w:t>П</w:t>
      </w:r>
      <w:r w:rsidR="00D3123F">
        <w:rPr>
          <w:b/>
          <w:color w:val="000000"/>
          <w:szCs w:val="24"/>
          <w:lang w:eastAsia="bg-BG"/>
        </w:rPr>
        <w:t xml:space="preserve">ериод </w:t>
      </w:r>
      <w:r w:rsidR="006F394A">
        <w:rPr>
          <w:b/>
          <w:color w:val="000000"/>
          <w:szCs w:val="24"/>
          <w:lang w:eastAsia="bg-BG"/>
        </w:rPr>
        <w:t>за</w:t>
      </w:r>
      <w:r w:rsidR="00D3123F">
        <w:rPr>
          <w:b/>
          <w:color w:val="000000"/>
          <w:szCs w:val="24"/>
          <w:lang w:eastAsia="bg-BG"/>
        </w:rPr>
        <w:t xml:space="preserve"> прием на проектни предложения:</w:t>
      </w:r>
      <w:r w:rsidR="002C2EBB" w:rsidRPr="002C2EBB">
        <w:rPr>
          <w:rFonts w:ascii="Book Antiqua" w:hAnsi="Book Antiqua"/>
          <w:b/>
          <w:sz w:val="22"/>
          <w:lang w:eastAsia="bg-BG"/>
        </w:rPr>
        <w:t xml:space="preserve"> </w:t>
      </w:r>
      <w:r w:rsidR="002C2EBB" w:rsidRPr="00126EF6">
        <w:rPr>
          <w:rFonts w:cs="Times New Roman"/>
          <w:b/>
          <w:szCs w:val="24"/>
          <w:lang w:eastAsia="bg-BG"/>
        </w:rPr>
        <w:t>Настоящата обява предвижда два срока на кандидатстване:</w:t>
      </w:r>
    </w:p>
    <w:p w14:paraId="71A30CD4" w14:textId="1D17E8A4" w:rsidR="002C2EBB" w:rsidRPr="00126EF6" w:rsidRDefault="002C2EBB" w:rsidP="00CC03C7">
      <w:pPr>
        <w:spacing w:before="120" w:after="120" w:line="240" w:lineRule="auto"/>
        <w:jc w:val="both"/>
        <w:rPr>
          <w:rFonts w:eastAsia="Times New Roman" w:cs="Times New Roman"/>
          <w:szCs w:val="24"/>
          <w:lang w:eastAsia="bg-BG"/>
        </w:rPr>
      </w:pPr>
      <w:r w:rsidRPr="00126EF6">
        <w:rPr>
          <w:rFonts w:eastAsia="Times New Roman" w:cs="Times New Roman"/>
          <w:b/>
          <w:i/>
          <w:szCs w:val="24"/>
          <w:u w:val="single"/>
          <w:lang w:eastAsia="bg-BG"/>
        </w:rPr>
        <w:t>Първи краен срок</w:t>
      </w:r>
      <w:r w:rsidRPr="00126EF6">
        <w:rPr>
          <w:rFonts w:eastAsia="Times New Roman" w:cs="Times New Roman"/>
          <w:i/>
          <w:szCs w:val="24"/>
          <w:lang w:eastAsia="bg-BG"/>
        </w:rPr>
        <w:t>:</w:t>
      </w:r>
      <w:r w:rsidRPr="00126EF6">
        <w:rPr>
          <w:rFonts w:eastAsia="Times New Roman" w:cs="Times New Roman"/>
          <w:szCs w:val="24"/>
          <w:lang w:eastAsia="bg-BG"/>
        </w:rPr>
        <w:t xml:space="preserve"> Началният  срок на приема е </w:t>
      </w:r>
      <w:r w:rsidRPr="00120BA4">
        <w:rPr>
          <w:rFonts w:eastAsia="Times New Roman" w:cs="Times New Roman"/>
          <w:b/>
          <w:bCs/>
          <w:szCs w:val="24"/>
          <w:lang w:val="en-US" w:eastAsia="bg-BG"/>
        </w:rPr>
        <w:t>1</w:t>
      </w:r>
      <w:r w:rsidRPr="00126EF6">
        <w:rPr>
          <w:rFonts w:eastAsia="Times New Roman" w:cs="Times New Roman"/>
          <w:b/>
          <w:szCs w:val="24"/>
          <w:lang w:eastAsia="bg-BG"/>
        </w:rPr>
        <w:t>0.01.2022</w:t>
      </w:r>
      <w:r w:rsidRPr="00126EF6">
        <w:rPr>
          <w:rFonts w:eastAsia="Times New Roman" w:cs="Times New Roman"/>
          <w:b/>
          <w:bCs/>
          <w:szCs w:val="24"/>
          <w:lang w:eastAsia="bg-BG"/>
        </w:rPr>
        <w:t>г.</w:t>
      </w:r>
      <w:r w:rsidRPr="00126EF6">
        <w:rPr>
          <w:rFonts w:eastAsia="Times New Roman" w:cs="Times New Roman"/>
          <w:szCs w:val="24"/>
          <w:lang w:eastAsia="bg-BG"/>
        </w:rPr>
        <w:t xml:space="preserve">, а крайният срок е </w:t>
      </w:r>
      <w:r w:rsidR="00CC03C7" w:rsidRPr="00CC03C7">
        <w:rPr>
          <w:rFonts w:eastAsia="Times New Roman" w:cs="Times New Roman"/>
          <w:b/>
          <w:bCs/>
          <w:szCs w:val="24"/>
          <w:lang w:eastAsia="bg-BG"/>
        </w:rPr>
        <w:t>17:00ч.</w:t>
      </w:r>
      <w:r w:rsidR="00CC03C7">
        <w:rPr>
          <w:rFonts w:eastAsia="Times New Roman" w:cs="Times New Roman"/>
          <w:szCs w:val="24"/>
          <w:lang w:eastAsia="bg-BG"/>
        </w:rPr>
        <w:t xml:space="preserve"> на </w:t>
      </w:r>
      <w:r w:rsidRPr="00126EF6">
        <w:rPr>
          <w:rFonts w:eastAsia="Times New Roman" w:cs="Times New Roman"/>
          <w:b/>
          <w:bCs/>
          <w:szCs w:val="24"/>
          <w:lang w:val="en-US" w:eastAsia="bg-BG"/>
        </w:rPr>
        <w:t>2</w:t>
      </w:r>
      <w:r w:rsidRPr="00126EF6">
        <w:rPr>
          <w:rFonts w:eastAsia="Times New Roman" w:cs="Times New Roman"/>
          <w:b/>
          <w:szCs w:val="24"/>
          <w:lang w:eastAsia="bg-BG"/>
        </w:rPr>
        <w:t>1.02.2022</w:t>
      </w:r>
      <w:r w:rsidRPr="00126EF6">
        <w:rPr>
          <w:rFonts w:eastAsia="Times New Roman" w:cs="Times New Roman"/>
          <w:b/>
          <w:color w:val="0D0D0D"/>
          <w:szCs w:val="24"/>
          <w:lang w:eastAsia="bg-BG"/>
        </w:rPr>
        <w:t>г</w:t>
      </w:r>
      <w:r w:rsidRPr="00126EF6">
        <w:rPr>
          <w:rFonts w:eastAsia="Times New Roman" w:cs="Times New Roman"/>
          <w:szCs w:val="24"/>
          <w:lang w:eastAsia="bg-BG"/>
        </w:rPr>
        <w:t>.</w:t>
      </w:r>
    </w:p>
    <w:p w14:paraId="1730195A" w14:textId="4DD3E36D" w:rsidR="002C2EBB" w:rsidRPr="00126EF6" w:rsidRDefault="002C2EBB" w:rsidP="00CC03C7">
      <w:pPr>
        <w:spacing w:before="120" w:after="120" w:line="240" w:lineRule="auto"/>
        <w:jc w:val="both"/>
        <w:rPr>
          <w:rFonts w:eastAsia="Times New Roman" w:cs="Times New Roman"/>
          <w:i/>
          <w:color w:val="0D0D0D"/>
          <w:szCs w:val="24"/>
          <w:lang w:eastAsia="bg-BG"/>
        </w:rPr>
      </w:pPr>
      <w:r w:rsidRPr="00126EF6">
        <w:rPr>
          <w:rFonts w:eastAsia="Times New Roman" w:cs="Times New Roman"/>
          <w:b/>
          <w:i/>
          <w:szCs w:val="24"/>
          <w:u w:val="single"/>
          <w:lang w:eastAsia="bg-BG"/>
        </w:rPr>
        <w:t>Втори краен срок</w:t>
      </w:r>
      <w:r w:rsidRPr="00126EF6">
        <w:rPr>
          <w:rFonts w:eastAsia="Times New Roman" w:cs="Times New Roman"/>
          <w:i/>
          <w:szCs w:val="24"/>
          <w:lang w:eastAsia="bg-BG"/>
        </w:rPr>
        <w:t>:</w:t>
      </w:r>
      <w:r w:rsidRPr="00126EF6">
        <w:rPr>
          <w:rFonts w:eastAsia="Times New Roman" w:cs="Times New Roman"/>
          <w:szCs w:val="24"/>
          <w:lang w:eastAsia="bg-BG"/>
        </w:rPr>
        <w:t xml:space="preserve"> Началният  срок на приема е </w:t>
      </w:r>
      <w:r w:rsidRPr="00126EF6">
        <w:rPr>
          <w:rFonts w:eastAsia="Times New Roman" w:cs="Times New Roman"/>
          <w:b/>
          <w:szCs w:val="24"/>
          <w:lang w:val="en-US" w:eastAsia="bg-BG"/>
        </w:rPr>
        <w:t>04</w:t>
      </w:r>
      <w:r w:rsidRPr="00126EF6">
        <w:rPr>
          <w:rFonts w:eastAsia="Times New Roman" w:cs="Times New Roman"/>
          <w:b/>
          <w:szCs w:val="24"/>
          <w:lang w:eastAsia="bg-BG"/>
        </w:rPr>
        <w:t>.0</w:t>
      </w:r>
      <w:r w:rsidRPr="00126EF6">
        <w:rPr>
          <w:rFonts w:eastAsia="Times New Roman" w:cs="Times New Roman"/>
          <w:b/>
          <w:szCs w:val="24"/>
          <w:lang w:val="en-US" w:eastAsia="bg-BG"/>
        </w:rPr>
        <w:t>4</w:t>
      </w:r>
      <w:r w:rsidRPr="00126EF6">
        <w:rPr>
          <w:rFonts w:eastAsia="Times New Roman" w:cs="Times New Roman"/>
          <w:b/>
          <w:szCs w:val="24"/>
          <w:lang w:eastAsia="bg-BG"/>
        </w:rPr>
        <w:t>.2</w:t>
      </w:r>
      <w:r w:rsidRPr="00126EF6">
        <w:rPr>
          <w:rFonts w:eastAsia="Times New Roman" w:cs="Times New Roman"/>
          <w:b/>
          <w:szCs w:val="24"/>
          <w:lang w:val="en-US" w:eastAsia="bg-BG"/>
        </w:rPr>
        <w:t>0</w:t>
      </w:r>
      <w:r w:rsidRPr="00126EF6">
        <w:rPr>
          <w:rFonts w:eastAsia="Times New Roman" w:cs="Times New Roman"/>
          <w:b/>
          <w:szCs w:val="24"/>
          <w:lang w:eastAsia="bg-BG"/>
        </w:rPr>
        <w:t>22</w:t>
      </w:r>
      <w:r w:rsidRPr="00126EF6">
        <w:rPr>
          <w:rFonts w:eastAsia="Times New Roman" w:cs="Times New Roman"/>
          <w:szCs w:val="24"/>
          <w:lang w:eastAsia="bg-BG"/>
        </w:rPr>
        <w:t xml:space="preserve">г., а крайният срок е </w:t>
      </w:r>
      <w:r w:rsidR="00CC03C7" w:rsidRPr="00CC03C7">
        <w:rPr>
          <w:rFonts w:eastAsia="Times New Roman" w:cs="Times New Roman"/>
          <w:b/>
          <w:bCs/>
          <w:szCs w:val="24"/>
          <w:lang w:eastAsia="bg-BG"/>
        </w:rPr>
        <w:t>17:00ч.</w:t>
      </w:r>
      <w:r w:rsidR="00CC03C7">
        <w:rPr>
          <w:rFonts w:eastAsia="Times New Roman" w:cs="Times New Roman"/>
          <w:szCs w:val="24"/>
          <w:lang w:eastAsia="bg-BG"/>
        </w:rPr>
        <w:t xml:space="preserve"> на </w:t>
      </w:r>
      <w:r w:rsidRPr="00126EF6">
        <w:rPr>
          <w:rFonts w:eastAsia="Times New Roman" w:cs="Times New Roman"/>
          <w:b/>
          <w:bCs/>
          <w:szCs w:val="24"/>
          <w:lang w:val="en-US" w:eastAsia="bg-BG"/>
        </w:rPr>
        <w:t>16</w:t>
      </w:r>
      <w:r w:rsidRPr="00126EF6">
        <w:rPr>
          <w:rFonts w:eastAsia="Times New Roman" w:cs="Times New Roman"/>
          <w:b/>
          <w:bCs/>
          <w:szCs w:val="24"/>
          <w:lang w:eastAsia="bg-BG"/>
        </w:rPr>
        <w:t>.05.2022</w:t>
      </w:r>
      <w:r w:rsidRPr="00126EF6">
        <w:rPr>
          <w:rFonts w:eastAsia="Times New Roman" w:cs="Times New Roman"/>
          <w:szCs w:val="24"/>
          <w:lang w:eastAsia="bg-BG"/>
        </w:rPr>
        <w:t>г.</w:t>
      </w:r>
    </w:p>
    <w:p w14:paraId="5B9DD642" w14:textId="54623CB6" w:rsidR="00CF2568" w:rsidRDefault="002F434F" w:rsidP="002F434F">
      <w:pPr>
        <w:shd w:val="clear" w:color="auto" w:fill="FEFEFE"/>
        <w:spacing w:after="0" w:line="23" w:lineRule="atLeast"/>
        <w:ind w:firstLine="708"/>
        <w:jc w:val="both"/>
        <w:rPr>
          <w:b/>
          <w:color w:val="000000"/>
          <w:szCs w:val="24"/>
          <w:lang w:eastAsia="bg-BG"/>
        </w:rPr>
      </w:pPr>
      <w:r>
        <w:rPr>
          <w:b/>
          <w:color w:val="000000"/>
          <w:szCs w:val="24"/>
          <w:lang w:eastAsia="bg-BG"/>
        </w:rPr>
        <w:t>Втори прием по процедурата ще бъде обявен само при наличие на остатъчен финансов ресурс след приключилия първи прием.</w:t>
      </w:r>
    </w:p>
    <w:p w14:paraId="22FCEF8B" w14:textId="77777777" w:rsidR="002F434F" w:rsidRPr="006F394A" w:rsidRDefault="002F434F" w:rsidP="006F394A">
      <w:pPr>
        <w:shd w:val="clear" w:color="auto" w:fill="FEFEFE"/>
        <w:spacing w:after="0" w:line="23" w:lineRule="atLeast"/>
        <w:rPr>
          <w:b/>
          <w:color w:val="000000"/>
          <w:szCs w:val="24"/>
          <w:lang w:eastAsia="bg-BG"/>
        </w:rPr>
      </w:pPr>
    </w:p>
    <w:p w14:paraId="600D63E6" w14:textId="77777777" w:rsidR="00D3123F" w:rsidRPr="00012F1A" w:rsidRDefault="00D3123F" w:rsidP="00CB701B">
      <w:pPr>
        <w:spacing w:line="23" w:lineRule="atLeast"/>
        <w:ind w:firstLine="708"/>
        <w:jc w:val="both"/>
        <w:rPr>
          <w:b/>
          <w:szCs w:val="24"/>
        </w:rPr>
      </w:pPr>
      <w:r>
        <w:rPr>
          <w:b/>
        </w:rPr>
        <w:t xml:space="preserve">Място на подаване на проектните предложения: </w:t>
      </w:r>
      <w:r w:rsidRPr="00012F1A">
        <w:rPr>
          <w:szCs w:val="24"/>
        </w:rPr>
        <w:t xml:space="preserve">Подаването на проектно предложение по настоящата процедура се извършва по изцяло електронен път чрез </w:t>
      </w:r>
      <w:r w:rsidRPr="00012F1A">
        <w:rPr>
          <w:b/>
          <w:bCs/>
          <w:szCs w:val="24"/>
        </w:rPr>
        <w:t>Информационната система за управление и наблюдение на Структурните инс</w:t>
      </w:r>
      <w:r>
        <w:rPr>
          <w:b/>
          <w:bCs/>
          <w:szCs w:val="24"/>
        </w:rPr>
        <w:t xml:space="preserve">трументи на ЕС в България (ИСУН </w:t>
      </w:r>
      <w:r w:rsidRPr="00012F1A">
        <w:rPr>
          <w:b/>
          <w:bCs/>
          <w:szCs w:val="24"/>
        </w:rPr>
        <w:t>2020) </w:t>
      </w:r>
      <w:r w:rsidRPr="00012F1A">
        <w:rPr>
          <w:szCs w:val="24"/>
        </w:rPr>
        <w:t xml:space="preserve">единствено с използването на Квалифициран електронен подпис (КЕП), чрез модула „Е-кандидатстване“ на следния интернет адрес: </w:t>
      </w:r>
      <w:hyperlink r:id="rId8" w:history="1">
        <w:r w:rsidRPr="00012F1A">
          <w:rPr>
            <w:rStyle w:val="a7"/>
            <w:szCs w:val="24"/>
          </w:rPr>
          <w:t>https://eumis2020.government.bg</w:t>
        </w:r>
      </w:hyperlink>
      <w:r w:rsidRPr="00012F1A">
        <w:rPr>
          <w:szCs w:val="24"/>
        </w:rPr>
        <w:t>.</w:t>
      </w:r>
    </w:p>
    <w:p w14:paraId="7CBE4565" w14:textId="77777777" w:rsidR="00314253" w:rsidRDefault="00314253" w:rsidP="002F434F">
      <w:pPr>
        <w:shd w:val="clear" w:color="auto" w:fill="FEFEFE"/>
        <w:spacing w:after="0" w:line="23" w:lineRule="atLeast"/>
        <w:rPr>
          <w:b/>
          <w:color w:val="000000"/>
          <w:szCs w:val="24"/>
          <w:lang w:eastAsia="bg-BG"/>
        </w:rPr>
      </w:pPr>
    </w:p>
    <w:p w14:paraId="2A79218A" w14:textId="77777777" w:rsidR="00D3123F" w:rsidRPr="009E539D" w:rsidRDefault="00314253" w:rsidP="00D3123F">
      <w:pPr>
        <w:shd w:val="clear" w:color="auto" w:fill="FEFEFE"/>
        <w:spacing w:line="23" w:lineRule="atLeast"/>
        <w:rPr>
          <w:b/>
          <w:i/>
          <w:color w:val="2F5496" w:themeColor="accent5" w:themeShade="BF"/>
          <w:szCs w:val="24"/>
          <w:lang w:val="ru-RU" w:eastAsia="bg-BG"/>
        </w:rPr>
      </w:pPr>
      <w:r w:rsidRPr="009E539D">
        <w:rPr>
          <w:b/>
          <w:color w:val="2F5496" w:themeColor="accent5" w:themeShade="BF"/>
          <w:szCs w:val="24"/>
          <w:lang w:eastAsia="bg-BG"/>
        </w:rPr>
        <w:t>6</w:t>
      </w:r>
      <w:r w:rsidR="00D3123F" w:rsidRPr="009E539D">
        <w:rPr>
          <w:b/>
          <w:color w:val="2F5496" w:themeColor="accent5" w:themeShade="BF"/>
          <w:szCs w:val="24"/>
          <w:lang w:eastAsia="bg-BG"/>
        </w:rPr>
        <w:t>. БЮДЖЕТ НА ПРИЕМА</w:t>
      </w:r>
    </w:p>
    <w:p w14:paraId="040869B4" w14:textId="06CFC762" w:rsidR="00314253" w:rsidRDefault="00F713D6" w:rsidP="000531BC">
      <w:pPr>
        <w:spacing w:line="23" w:lineRule="atLeast"/>
        <w:jc w:val="both"/>
        <w:rPr>
          <w:b/>
          <w:i/>
          <w:szCs w:val="24"/>
        </w:rPr>
      </w:pPr>
      <w:r w:rsidRPr="00C308B7">
        <w:rPr>
          <w:b/>
          <w:i/>
          <w:szCs w:val="24"/>
        </w:rPr>
        <w:t>Б</w:t>
      </w:r>
      <w:r w:rsidR="00D3123F" w:rsidRPr="00C308B7">
        <w:rPr>
          <w:b/>
          <w:i/>
          <w:szCs w:val="24"/>
        </w:rPr>
        <w:t>юджет</w:t>
      </w:r>
      <w:r w:rsidRPr="00C308B7">
        <w:rPr>
          <w:b/>
          <w:i/>
          <w:szCs w:val="24"/>
        </w:rPr>
        <w:t>ът</w:t>
      </w:r>
      <w:r w:rsidR="00D3123F" w:rsidRPr="00C308B7">
        <w:rPr>
          <w:b/>
          <w:i/>
          <w:szCs w:val="24"/>
        </w:rPr>
        <w:t xml:space="preserve"> по </w:t>
      </w:r>
      <w:r w:rsidRPr="00C308B7">
        <w:rPr>
          <w:b/>
          <w:i/>
          <w:szCs w:val="24"/>
        </w:rPr>
        <w:t xml:space="preserve">настоящата </w:t>
      </w:r>
      <w:r w:rsidR="00D3123F" w:rsidRPr="00C308B7">
        <w:rPr>
          <w:b/>
          <w:i/>
          <w:szCs w:val="24"/>
        </w:rPr>
        <w:t>проц</w:t>
      </w:r>
      <w:r w:rsidRPr="00C308B7">
        <w:rPr>
          <w:b/>
          <w:i/>
          <w:szCs w:val="24"/>
        </w:rPr>
        <w:t xml:space="preserve">едура </w:t>
      </w:r>
      <w:r w:rsidR="00D3123F" w:rsidRPr="00C308B7">
        <w:rPr>
          <w:b/>
          <w:i/>
          <w:szCs w:val="24"/>
        </w:rPr>
        <w:t xml:space="preserve">е: </w:t>
      </w:r>
      <w:r w:rsidR="000531BC">
        <w:rPr>
          <w:rFonts w:cs="Times New Roman"/>
          <w:b/>
          <w:i/>
          <w:szCs w:val="24"/>
        </w:rPr>
        <w:t xml:space="preserve"> 146 687  </w:t>
      </w:r>
      <w:r w:rsidR="00D3123F" w:rsidRPr="007F37CA">
        <w:rPr>
          <w:b/>
          <w:i/>
          <w:szCs w:val="24"/>
        </w:rPr>
        <w:t>лева.</w:t>
      </w:r>
    </w:p>
    <w:p w14:paraId="6C20AC6D" w14:textId="77777777" w:rsidR="001B5A8E" w:rsidRPr="000531BC" w:rsidRDefault="001B5A8E" w:rsidP="002F434F">
      <w:pPr>
        <w:spacing w:after="0" w:line="23" w:lineRule="atLeast"/>
        <w:jc w:val="both"/>
        <w:rPr>
          <w:b/>
          <w:i/>
          <w:szCs w:val="24"/>
        </w:rPr>
      </w:pPr>
    </w:p>
    <w:p w14:paraId="51CBC534" w14:textId="77777777" w:rsidR="00D3123F" w:rsidRPr="009E539D" w:rsidRDefault="00314253" w:rsidP="00D3123F">
      <w:pPr>
        <w:shd w:val="clear" w:color="auto" w:fill="FEFEFE"/>
        <w:spacing w:line="23" w:lineRule="atLeast"/>
        <w:rPr>
          <w:b/>
          <w:color w:val="2F5496" w:themeColor="accent5" w:themeShade="BF"/>
          <w:szCs w:val="24"/>
          <w:lang w:eastAsia="bg-BG"/>
        </w:rPr>
      </w:pPr>
      <w:r w:rsidRPr="009E539D">
        <w:rPr>
          <w:b/>
          <w:color w:val="2F5496" w:themeColor="accent5" w:themeShade="BF"/>
          <w:szCs w:val="24"/>
          <w:lang w:eastAsia="bg-BG"/>
        </w:rPr>
        <w:t>7</w:t>
      </w:r>
      <w:r w:rsidR="00D3123F" w:rsidRPr="009E539D">
        <w:rPr>
          <w:b/>
          <w:color w:val="2F5496" w:themeColor="accent5" w:themeShade="BF"/>
          <w:szCs w:val="24"/>
          <w:lang w:eastAsia="bg-BG"/>
        </w:rPr>
        <w:t xml:space="preserve">. МИНИМАЛЕН И МАКСИМАЛЕН РАЗМЕР НА </w:t>
      </w:r>
      <w:r w:rsidR="000744AA" w:rsidRPr="009E539D">
        <w:rPr>
          <w:b/>
          <w:color w:val="2F5496" w:themeColor="accent5" w:themeShade="BF"/>
          <w:szCs w:val="24"/>
          <w:lang w:eastAsia="bg-BG"/>
        </w:rPr>
        <w:t xml:space="preserve">ДОПУСТИМИТЕ РАЗХОДИ </w:t>
      </w:r>
      <w:r w:rsidR="00D3123F" w:rsidRPr="009E539D">
        <w:rPr>
          <w:b/>
          <w:color w:val="2F5496" w:themeColor="accent5" w:themeShade="BF"/>
          <w:szCs w:val="24"/>
          <w:lang w:eastAsia="bg-BG"/>
        </w:rPr>
        <w:t>ЗА ПРОЕКТ</w:t>
      </w:r>
    </w:p>
    <w:p w14:paraId="1159392E" w14:textId="77777777" w:rsidR="000531BC" w:rsidRDefault="000744AA" w:rsidP="000531BC">
      <w:pPr>
        <w:shd w:val="clear" w:color="auto" w:fill="FEFEFE"/>
        <w:spacing w:after="0" w:line="240" w:lineRule="auto"/>
        <w:rPr>
          <w:b/>
          <w:szCs w:val="24"/>
          <w:lang w:eastAsia="bg-BG"/>
        </w:rPr>
      </w:pPr>
      <w:r>
        <w:rPr>
          <w:szCs w:val="24"/>
          <w:lang w:eastAsia="bg-BG"/>
        </w:rPr>
        <w:t xml:space="preserve">Минимален размер на допустимите разходи за проект: - </w:t>
      </w:r>
      <w:r w:rsidR="000531BC">
        <w:rPr>
          <w:b/>
          <w:szCs w:val="24"/>
        </w:rPr>
        <w:t xml:space="preserve">2 445 </w:t>
      </w:r>
      <w:r w:rsidR="000531BC" w:rsidRPr="00A07FF1">
        <w:rPr>
          <w:b/>
          <w:szCs w:val="24"/>
        </w:rPr>
        <w:t>лева</w:t>
      </w:r>
      <w:r>
        <w:rPr>
          <w:b/>
          <w:szCs w:val="24"/>
          <w:lang w:eastAsia="bg-BG"/>
        </w:rPr>
        <w:br/>
      </w:r>
      <w:r>
        <w:rPr>
          <w:szCs w:val="24"/>
          <w:lang w:eastAsia="bg-BG"/>
        </w:rPr>
        <w:t xml:space="preserve">Максимален размер на допустимите разходи за проект: - </w:t>
      </w:r>
      <w:r w:rsidR="000531BC">
        <w:rPr>
          <w:b/>
          <w:szCs w:val="24"/>
        </w:rPr>
        <w:t xml:space="preserve">48 896 </w:t>
      </w:r>
      <w:r w:rsidR="000531BC" w:rsidRPr="000531BC">
        <w:rPr>
          <w:b/>
          <w:szCs w:val="24"/>
        </w:rPr>
        <w:t>лева</w:t>
      </w:r>
    </w:p>
    <w:p w14:paraId="26F352A9" w14:textId="77777777" w:rsidR="000531BC" w:rsidRPr="000531BC" w:rsidRDefault="000531BC" w:rsidP="000531BC">
      <w:pPr>
        <w:shd w:val="clear" w:color="auto" w:fill="FEFEFE"/>
        <w:spacing w:after="0" w:line="240" w:lineRule="auto"/>
        <w:rPr>
          <w:b/>
          <w:szCs w:val="24"/>
          <w:lang w:eastAsia="bg-BG"/>
        </w:rPr>
      </w:pPr>
      <w:r w:rsidRPr="000531BC">
        <w:rPr>
          <w:szCs w:val="24"/>
          <w:lang w:eastAsia="sr-Cyrl-CS"/>
        </w:rPr>
        <w:t xml:space="preserve">Максимален размер на общите допустими разходи за колективни инвестиции - </w:t>
      </w:r>
      <w:r w:rsidRPr="000531BC">
        <w:rPr>
          <w:b/>
          <w:szCs w:val="24"/>
          <w:lang w:eastAsia="sr-Cyrl-CS"/>
        </w:rPr>
        <w:t>136 908 лева</w:t>
      </w:r>
    </w:p>
    <w:p w14:paraId="5FB6D2AB" w14:textId="0CA82A09" w:rsidR="003D15FA" w:rsidRDefault="000744AA" w:rsidP="007726CC">
      <w:pPr>
        <w:tabs>
          <w:tab w:val="left" w:pos="177"/>
        </w:tabs>
        <w:jc w:val="both"/>
        <w:rPr>
          <w:szCs w:val="24"/>
          <w:lang w:val="en-US" w:eastAsia="sr-Cyrl-CS"/>
        </w:rPr>
      </w:pPr>
      <w:r>
        <w:rPr>
          <w:b/>
          <w:szCs w:val="24"/>
          <w:lang w:eastAsia="bg-BG"/>
        </w:rPr>
        <w:br/>
      </w:r>
      <w:r w:rsidR="00923D72" w:rsidRPr="00A07FF1">
        <w:rPr>
          <w:rFonts w:cs="Times New Roman"/>
          <w:b/>
          <w:color w:val="000000" w:themeColor="text1"/>
          <w:szCs w:val="24"/>
        </w:rPr>
        <w:t>Интензитет на финансовата помощ</w:t>
      </w:r>
      <w:r w:rsidR="00993E78">
        <w:rPr>
          <w:rFonts w:cs="Times New Roman"/>
          <w:b/>
          <w:color w:val="000000" w:themeColor="text1"/>
          <w:szCs w:val="24"/>
        </w:rPr>
        <w:t xml:space="preserve"> </w:t>
      </w:r>
      <w:r w:rsidR="000531BC" w:rsidRPr="00A07FF1">
        <w:rPr>
          <w:szCs w:val="24"/>
          <w:lang w:eastAsia="sr-Cyrl-CS"/>
        </w:rPr>
        <w:t xml:space="preserve">е в размер до 60 % </w:t>
      </w:r>
      <w:r w:rsidR="000531BC">
        <w:rPr>
          <w:szCs w:val="24"/>
          <w:lang w:eastAsia="sr-Cyrl-CS"/>
        </w:rPr>
        <w:t xml:space="preserve"> от общия размер на допустимите </w:t>
      </w:r>
      <w:r w:rsidR="000531BC" w:rsidRPr="00A07FF1">
        <w:rPr>
          <w:szCs w:val="24"/>
          <w:lang w:eastAsia="sr-Cyrl-CS"/>
        </w:rPr>
        <w:t>за финансово подпомагане разходи</w:t>
      </w:r>
      <w:r w:rsidR="000531BC">
        <w:rPr>
          <w:szCs w:val="24"/>
          <w:lang w:eastAsia="sr-Cyrl-CS"/>
        </w:rPr>
        <w:t>;</w:t>
      </w:r>
    </w:p>
    <w:p w14:paraId="03BCC995" w14:textId="77777777" w:rsidR="003D15FA" w:rsidRPr="003D15FA" w:rsidRDefault="003D15FA" w:rsidP="002F434F">
      <w:pPr>
        <w:tabs>
          <w:tab w:val="left" w:pos="177"/>
        </w:tabs>
        <w:spacing w:after="0"/>
        <w:rPr>
          <w:sz w:val="22"/>
        </w:rPr>
      </w:pPr>
      <w:r>
        <w:t>Мин. стойност БФП/ФИ</w:t>
      </w:r>
      <w:r>
        <w:rPr>
          <w:lang w:val="en-US"/>
        </w:rPr>
        <w:t xml:space="preserve"> – 1 467, 00</w:t>
      </w:r>
      <w:r>
        <w:t>лв.</w:t>
      </w:r>
    </w:p>
    <w:p w14:paraId="7C8E1C56" w14:textId="708E4F16" w:rsidR="003D15FA" w:rsidRPr="00AA6728" w:rsidRDefault="003D15FA" w:rsidP="002F434F">
      <w:pPr>
        <w:tabs>
          <w:tab w:val="left" w:pos="177"/>
        </w:tabs>
        <w:spacing w:after="0"/>
        <w:rPr>
          <w:szCs w:val="24"/>
        </w:rPr>
      </w:pPr>
      <w:r>
        <w:rPr>
          <w:sz w:val="22"/>
        </w:rPr>
        <w:t>Макс. стойност БФП/ФИ</w:t>
      </w:r>
      <w:r>
        <w:rPr>
          <w:szCs w:val="24"/>
        </w:rPr>
        <w:t xml:space="preserve"> </w:t>
      </w:r>
      <w:r w:rsidR="00AA6728">
        <w:rPr>
          <w:szCs w:val="24"/>
        </w:rPr>
        <w:t>–</w:t>
      </w:r>
      <w:r>
        <w:rPr>
          <w:szCs w:val="24"/>
        </w:rPr>
        <w:t xml:space="preserve"> 29 337,60 лв</w:t>
      </w:r>
      <w:r>
        <w:t>.</w:t>
      </w:r>
    </w:p>
    <w:p w14:paraId="72E20CD2" w14:textId="77777777" w:rsidR="000531BC" w:rsidRPr="00552723" w:rsidRDefault="00923D72" w:rsidP="00721FFD">
      <w:pPr>
        <w:tabs>
          <w:tab w:val="left" w:pos="177"/>
        </w:tabs>
        <w:spacing w:after="0"/>
        <w:jc w:val="both"/>
        <w:rPr>
          <w:b/>
          <w:szCs w:val="24"/>
          <w:lang w:eastAsia="sr-Cyrl-CS"/>
        </w:rPr>
      </w:pPr>
      <w:r w:rsidRPr="00A07FF1">
        <w:rPr>
          <w:rFonts w:eastAsia="Times New Roman" w:cs="Times New Roman"/>
          <w:b/>
          <w:szCs w:val="24"/>
          <w:lang w:eastAsia="bg-BG"/>
        </w:rPr>
        <w:t>Размерът на финансовата помощ</w:t>
      </w:r>
      <w:r w:rsidRPr="00A07FF1">
        <w:rPr>
          <w:rFonts w:eastAsia="Times New Roman" w:cs="Times New Roman"/>
          <w:szCs w:val="24"/>
          <w:lang w:eastAsia="bg-BG"/>
        </w:rPr>
        <w:t xml:space="preserve"> </w:t>
      </w:r>
      <w:r w:rsidR="000531BC" w:rsidRPr="00A07FF1">
        <w:rPr>
          <w:szCs w:val="24"/>
          <w:lang w:eastAsia="sr-Cyrl-CS"/>
        </w:rPr>
        <w:t>се увеличава с 10 процентни пункта, като максималното комбинирано подпомагане не може да надхвърля 80% в следните случаи:</w:t>
      </w:r>
    </w:p>
    <w:p w14:paraId="6512BE9C" w14:textId="77777777" w:rsidR="000531BC" w:rsidRPr="00A07FF1" w:rsidRDefault="000531BC" w:rsidP="00721FFD">
      <w:pPr>
        <w:tabs>
          <w:tab w:val="left" w:pos="177"/>
        </w:tabs>
        <w:spacing w:after="0"/>
        <w:rPr>
          <w:szCs w:val="24"/>
          <w:lang w:eastAsia="sr-Cyrl-CS"/>
        </w:rPr>
      </w:pPr>
      <w:r w:rsidRPr="00A07FF1">
        <w:rPr>
          <w:szCs w:val="24"/>
          <w:lang w:eastAsia="sr-Cyrl-CS"/>
        </w:rPr>
        <w:t>•</w:t>
      </w:r>
      <w:r w:rsidRPr="00A07FF1">
        <w:rPr>
          <w:szCs w:val="24"/>
          <w:lang w:eastAsia="sr-Cyrl-CS"/>
        </w:rPr>
        <w:tab/>
        <w:t>За проекти представени от млади селскостопански производители;</w:t>
      </w:r>
    </w:p>
    <w:p w14:paraId="1B275D49" w14:textId="77777777" w:rsidR="000531BC" w:rsidRPr="00A07FF1" w:rsidRDefault="000531BC" w:rsidP="00721FFD">
      <w:pPr>
        <w:tabs>
          <w:tab w:val="left" w:pos="177"/>
        </w:tabs>
        <w:spacing w:after="0"/>
        <w:rPr>
          <w:szCs w:val="24"/>
          <w:lang w:eastAsia="sr-Cyrl-CS"/>
        </w:rPr>
      </w:pPr>
      <w:r w:rsidRPr="00A07FF1">
        <w:rPr>
          <w:szCs w:val="24"/>
          <w:lang w:eastAsia="sr-Cyrl-CS"/>
        </w:rPr>
        <w:t>•</w:t>
      </w:r>
      <w:r w:rsidRPr="00A07FF1">
        <w:rPr>
          <w:szCs w:val="24"/>
          <w:lang w:eastAsia="sr-Cyrl-CS"/>
        </w:rPr>
        <w:tab/>
        <w:t>За колективни инвестиции или интегрирани проекти, които включват подпомагане в рамките на повече от една мярка;</w:t>
      </w:r>
    </w:p>
    <w:p w14:paraId="5032819A" w14:textId="77777777" w:rsidR="000531BC" w:rsidRPr="00A07FF1" w:rsidRDefault="000531BC" w:rsidP="00721FFD">
      <w:pPr>
        <w:tabs>
          <w:tab w:val="left" w:pos="177"/>
        </w:tabs>
        <w:spacing w:after="0"/>
        <w:rPr>
          <w:color w:val="FF0000"/>
          <w:szCs w:val="24"/>
          <w:lang w:eastAsia="sr-Cyrl-CS"/>
        </w:rPr>
      </w:pPr>
      <w:r w:rsidRPr="00A07FF1">
        <w:rPr>
          <w:szCs w:val="24"/>
          <w:lang w:eastAsia="sr-Cyrl-CS"/>
        </w:rPr>
        <w:t>•</w:t>
      </w:r>
      <w:r w:rsidRPr="00A07FF1">
        <w:rPr>
          <w:szCs w:val="24"/>
          <w:lang w:eastAsia="sr-Cyrl-CS"/>
        </w:rPr>
        <w:tab/>
        <w:t>За проекти с инвестиции в райони с природни и други специфични ограничения;</w:t>
      </w:r>
    </w:p>
    <w:p w14:paraId="3CA2C0BF" w14:textId="77777777" w:rsidR="000531BC" w:rsidRPr="00A07FF1" w:rsidRDefault="000531BC" w:rsidP="00721FFD">
      <w:pPr>
        <w:tabs>
          <w:tab w:val="left" w:pos="177"/>
        </w:tabs>
        <w:spacing w:after="0"/>
        <w:rPr>
          <w:szCs w:val="24"/>
          <w:lang w:eastAsia="sr-Cyrl-CS"/>
        </w:rPr>
      </w:pPr>
      <w:r w:rsidRPr="00A07FF1">
        <w:rPr>
          <w:szCs w:val="24"/>
          <w:lang w:eastAsia="sr-Cyrl-CS"/>
        </w:rPr>
        <w:t>•</w:t>
      </w:r>
      <w:r w:rsidRPr="00A07FF1">
        <w:rPr>
          <w:szCs w:val="24"/>
          <w:lang w:eastAsia="sr-Cyrl-CS"/>
        </w:rPr>
        <w:tab/>
        <w:t>За проекти с дейности, подпомагани по линия на ЕПИ за селскостопанска производителност – 10 %;</w:t>
      </w:r>
    </w:p>
    <w:p w14:paraId="4AC92405" w14:textId="77777777" w:rsidR="000531BC" w:rsidRPr="00A07FF1" w:rsidRDefault="000531BC" w:rsidP="00721FFD">
      <w:pPr>
        <w:tabs>
          <w:tab w:val="left" w:pos="177"/>
        </w:tabs>
        <w:spacing w:after="0"/>
        <w:jc w:val="both"/>
        <w:rPr>
          <w:szCs w:val="24"/>
          <w:lang w:eastAsia="sr-Cyrl-CS"/>
        </w:rPr>
      </w:pPr>
      <w:r w:rsidRPr="00A07FF1">
        <w:rPr>
          <w:szCs w:val="24"/>
          <w:lang w:eastAsia="sr-Cyrl-CS"/>
        </w:rPr>
        <w:lastRenderedPageBreak/>
        <w:t>•</w:t>
      </w:r>
      <w:r w:rsidRPr="00A07FF1">
        <w:rPr>
          <w:szCs w:val="24"/>
          <w:lang w:eastAsia="sr-Cyrl-CS"/>
        </w:rPr>
        <w:tab/>
        <w:t xml:space="preserve">За проекти с инвестиции за изпълнение на дейности по член 28 и член 29 – 15 % </w:t>
      </w:r>
    </w:p>
    <w:p w14:paraId="01C69C14" w14:textId="1558DA63" w:rsidR="000531BC" w:rsidRPr="00CB701B" w:rsidRDefault="000531BC" w:rsidP="00721FFD">
      <w:pPr>
        <w:spacing w:after="0"/>
        <w:jc w:val="both"/>
        <w:rPr>
          <w:szCs w:val="24"/>
        </w:rPr>
      </w:pPr>
      <w:r>
        <w:rPr>
          <w:szCs w:val="24"/>
          <w:lang w:eastAsia="sr-Cyrl-CS"/>
        </w:rPr>
        <w:t>•</w:t>
      </w:r>
      <w:r w:rsidR="00552723">
        <w:rPr>
          <w:szCs w:val="24"/>
          <w:lang w:eastAsia="sr-Cyrl-CS"/>
        </w:rPr>
        <w:t xml:space="preserve"> </w:t>
      </w:r>
      <w:r w:rsidRPr="00A07FF1">
        <w:rPr>
          <w:szCs w:val="24"/>
          <w:lang w:eastAsia="sr-Cyrl-CS"/>
        </w:rPr>
        <w:t>Проекти, интегриращи хоризонталните приоритети за иновации, опазване и възстановяване на околната среда, включително биологично производство, икономия на ресурси и адаптация към климатичните промени.</w:t>
      </w:r>
    </w:p>
    <w:p w14:paraId="0EE346B5" w14:textId="77777777" w:rsidR="007726CC" w:rsidRDefault="007726CC" w:rsidP="002F434F">
      <w:pPr>
        <w:shd w:val="clear" w:color="auto" w:fill="FEFEFE"/>
        <w:spacing w:after="0" w:line="23" w:lineRule="atLeast"/>
        <w:rPr>
          <w:b/>
          <w:color w:val="2F5496" w:themeColor="accent5" w:themeShade="BF"/>
          <w:szCs w:val="24"/>
          <w:lang w:eastAsia="bg-BG"/>
        </w:rPr>
      </w:pPr>
    </w:p>
    <w:p w14:paraId="187D94E8" w14:textId="0CBEBEBE" w:rsidR="007726CC" w:rsidRPr="00CB701B" w:rsidRDefault="00314253" w:rsidP="00993E78">
      <w:pPr>
        <w:shd w:val="clear" w:color="auto" w:fill="FEFEFE"/>
        <w:spacing w:line="23" w:lineRule="atLeast"/>
        <w:rPr>
          <w:b/>
          <w:color w:val="2F5496" w:themeColor="accent5" w:themeShade="BF"/>
          <w:szCs w:val="24"/>
          <w:lang w:eastAsia="bg-BG"/>
        </w:rPr>
      </w:pPr>
      <w:r w:rsidRPr="009E539D">
        <w:rPr>
          <w:b/>
          <w:color w:val="2F5496" w:themeColor="accent5" w:themeShade="BF"/>
          <w:szCs w:val="24"/>
          <w:lang w:eastAsia="bg-BG"/>
        </w:rPr>
        <w:t>8</w:t>
      </w:r>
      <w:r w:rsidR="00D3123F" w:rsidRPr="009E539D">
        <w:rPr>
          <w:b/>
          <w:color w:val="2F5496" w:themeColor="accent5" w:themeShade="BF"/>
          <w:szCs w:val="24"/>
          <w:lang w:eastAsia="bg-BG"/>
        </w:rPr>
        <w:t>. КРИТЕРИИ ЗА ИЗБОР НА ПРОЕКТНИ ПРЕДЛОЖЕНИЯ И ТЯХНАТА ТЕЖЕСТ</w:t>
      </w:r>
      <w:r w:rsidR="00966FFB" w:rsidRPr="009E539D">
        <w:rPr>
          <w:b/>
          <w:color w:val="2F5496" w:themeColor="accent5" w:themeShade="BF"/>
          <w:szCs w:val="24"/>
          <w:lang w:eastAsia="bg-BG"/>
        </w:rPr>
        <w:t>:</w:t>
      </w:r>
    </w:p>
    <w:tbl>
      <w:tblPr>
        <w:tblStyle w:val="a8"/>
        <w:tblW w:w="10207" w:type="dxa"/>
        <w:tblInd w:w="-318" w:type="dxa"/>
        <w:tblLayout w:type="fixed"/>
        <w:tblLook w:val="04A0" w:firstRow="1" w:lastRow="0" w:firstColumn="1" w:lastColumn="0" w:noHBand="0" w:noVBand="1"/>
      </w:tblPr>
      <w:tblGrid>
        <w:gridCol w:w="710"/>
        <w:gridCol w:w="8221"/>
        <w:gridCol w:w="1276"/>
      </w:tblGrid>
      <w:tr w:rsidR="007C3C18" w:rsidRPr="00EA7618" w14:paraId="5480A910" w14:textId="77777777" w:rsidTr="000531BC">
        <w:tc>
          <w:tcPr>
            <w:tcW w:w="710" w:type="dxa"/>
            <w:shd w:val="clear" w:color="auto" w:fill="D9D9D9" w:themeFill="background1" w:themeFillShade="D9"/>
            <w:vAlign w:val="center"/>
          </w:tcPr>
          <w:p w14:paraId="2FE97F3D" w14:textId="77777777" w:rsidR="007C3C18" w:rsidRPr="001D4E72" w:rsidRDefault="007C3C18" w:rsidP="007C3C18">
            <w:pPr>
              <w:jc w:val="center"/>
              <w:rPr>
                <w:b/>
              </w:rPr>
            </w:pPr>
            <w:r>
              <w:rPr>
                <w:b/>
              </w:rPr>
              <w:t>№</w:t>
            </w:r>
          </w:p>
        </w:tc>
        <w:tc>
          <w:tcPr>
            <w:tcW w:w="8221" w:type="dxa"/>
            <w:shd w:val="clear" w:color="auto" w:fill="D9D9D9" w:themeFill="background1" w:themeFillShade="D9"/>
            <w:vAlign w:val="center"/>
          </w:tcPr>
          <w:p w14:paraId="2BC3244C" w14:textId="77777777" w:rsidR="007C3C18" w:rsidRPr="00EA7618" w:rsidRDefault="007C3C18" w:rsidP="007C3C18">
            <w:pPr>
              <w:jc w:val="center"/>
              <w:rPr>
                <w:b/>
              </w:rPr>
            </w:pPr>
            <w:r w:rsidRPr="00EA7618">
              <w:rPr>
                <w:b/>
              </w:rPr>
              <w:t>Критерии</w:t>
            </w:r>
          </w:p>
        </w:tc>
        <w:tc>
          <w:tcPr>
            <w:tcW w:w="1276" w:type="dxa"/>
            <w:shd w:val="clear" w:color="auto" w:fill="D9D9D9" w:themeFill="background1" w:themeFillShade="D9"/>
            <w:vAlign w:val="center"/>
          </w:tcPr>
          <w:p w14:paraId="785448FA" w14:textId="77777777" w:rsidR="007C3C18" w:rsidRPr="00EA7618" w:rsidRDefault="007C3C18" w:rsidP="007C3C18">
            <w:pPr>
              <w:jc w:val="center"/>
              <w:rPr>
                <w:b/>
              </w:rPr>
            </w:pPr>
            <w:r w:rsidRPr="00EA7618">
              <w:rPr>
                <w:b/>
              </w:rPr>
              <w:t>Мак</w:t>
            </w:r>
            <w:r w:rsidR="00A67769">
              <w:rPr>
                <w:b/>
              </w:rPr>
              <w:t>с</w:t>
            </w:r>
            <w:r w:rsidRPr="00EA7618">
              <w:rPr>
                <w:b/>
              </w:rPr>
              <w:t>.</w:t>
            </w:r>
            <w:r w:rsidR="009078AD">
              <w:rPr>
                <w:b/>
                <w:lang w:val="en-US"/>
              </w:rPr>
              <w:t xml:space="preserve"> </w:t>
            </w:r>
            <w:r w:rsidRPr="00EA7618">
              <w:rPr>
                <w:b/>
              </w:rPr>
              <w:t>точки</w:t>
            </w:r>
          </w:p>
        </w:tc>
      </w:tr>
      <w:tr w:rsidR="000531BC" w14:paraId="7B176BC7" w14:textId="77777777" w:rsidTr="000531BC">
        <w:trPr>
          <w:trHeight w:val="836"/>
        </w:trPr>
        <w:tc>
          <w:tcPr>
            <w:tcW w:w="8931" w:type="dxa"/>
            <w:gridSpan w:val="2"/>
          </w:tcPr>
          <w:p w14:paraId="66E2A998" w14:textId="77777777" w:rsidR="000531BC" w:rsidRPr="000531BC" w:rsidRDefault="000531BC" w:rsidP="002E737E">
            <w:pPr>
              <w:pStyle w:val="a9"/>
              <w:tabs>
                <w:tab w:val="left" w:pos="256"/>
              </w:tabs>
              <w:ind w:left="0"/>
              <w:jc w:val="both"/>
              <w:rPr>
                <w:color w:val="000000" w:themeColor="text1"/>
                <w:szCs w:val="24"/>
              </w:rPr>
            </w:pPr>
            <w:r>
              <w:rPr>
                <w:color w:val="000000" w:themeColor="text1"/>
                <w:szCs w:val="24"/>
              </w:rPr>
              <w:t xml:space="preserve">1.  </w:t>
            </w:r>
            <w:r w:rsidRPr="000531BC">
              <w:rPr>
                <w:color w:val="000000" w:themeColor="text1"/>
                <w:szCs w:val="24"/>
              </w:rPr>
              <w:t xml:space="preserve">Кандидатът е млад фермер, който е физическо лице или едноличен търговец на възраст от 18 навършени до 40 </w:t>
            </w:r>
            <w:proofErr w:type="spellStart"/>
            <w:r w:rsidRPr="000531BC">
              <w:rPr>
                <w:color w:val="000000" w:themeColor="text1"/>
                <w:szCs w:val="24"/>
              </w:rPr>
              <w:t>ненавършени</w:t>
            </w:r>
            <w:proofErr w:type="spellEnd"/>
            <w:r w:rsidRPr="000531BC">
              <w:rPr>
                <w:color w:val="000000" w:themeColor="text1"/>
                <w:szCs w:val="24"/>
              </w:rPr>
              <w:t xml:space="preserve"> години, към датата на кандидатстване</w:t>
            </w:r>
          </w:p>
        </w:tc>
        <w:tc>
          <w:tcPr>
            <w:tcW w:w="1276" w:type="dxa"/>
            <w:vAlign w:val="center"/>
          </w:tcPr>
          <w:p w14:paraId="209123CE" w14:textId="77777777" w:rsidR="000531BC" w:rsidRPr="000531BC" w:rsidRDefault="000531BC" w:rsidP="000531BC">
            <w:pPr>
              <w:jc w:val="center"/>
              <w:rPr>
                <w:b/>
                <w:color w:val="000000" w:themeColor="text1"/>
                <w:szCs w:val="24"/>
              </w:rPr>
            </w:pPr>
            <w:r w:rsidRPr="000531BC">
              <w:rPr>
                <w:b/>
                <w:color w:val="000000" w:themeColor="text1"/>
                <w:szCs w:val="24"/>
              </w:rPr>
              <w:t>20</w:t>
            </w:r>
          </w:p>
        </w:tc>
      </w:tr>
      <w:tr w:rsidR="000531BC" w14:paraId="29C526D9" w14:textId="77777777" w:rsidTr="000531BC">
        <w:trPr>
          <w:trHeight w:val="240"/>
        </w:trPr>
        <w:tc>
          <w:tcPr>
            <w:tcW w:w="8931" w:type="dxa"/>
            <w:gridSpan w:val="2"/>
            <w:vAlign w:val="center"/>
          </w:tcPr>
          <w:p w14:paraId="4C8E983E" w14:textId="77777777" w:rsidR="000531BC" w:rsidRPr="000531BC" w:rsidRDefault="000531BC" w:rsidP="000531BC">
            <w:pPr>
              <w:tabs>
                <w:tab w:val="left" w:pos="255"/>
              </w:tabs>
              <w:jc w:val="both"/>
              <w:rPr>
                <w:szCs w:val="24"/>
              </w:rPr>
            </w:pPr>
            <w:r>
              <w:rPr>
                <w:szCs w:val="24"/>
              </w:rPr>
              <w:t xml:space="preserve">2. </w:t>
            </w:r>
            <w:r w:rsidRPr="000531BC">
              <w:rPr>
                <w:szCs w:val="24"/>
              </w:rPr>
              <w:t>Дейностите по проекта са в областта на производството на плодове и/или зеленчукопроизводството и/или трайните насаждения и/или животновъдството</w:t>
            </w:r>
          </w:p>
          <w:p w14:paraId="1573728B" w14:textId="77777777" w:rsidR="000531BC" w:rsidRPr="000531BC" w:rsidRDefault="000531BC" w:rsidP="000531BC">
            <w:pPr>
              <w:tabs>
                <w:tab w:val="left" w:pos="114"/>
              </w:tabs>
              <w:ind w:left="1440" w:hanging="1440"/>
              <w:contextualSpacing/>
              <w:jc w:val="both"/>
              <w:rPr>
                <w:szCs w:val="24"/>
              </w:rPr>
            </w:pPr>
            <w:r w:rsidRPr="000531BC">
              <w:rPr>
                <w:szCs w:val="24"/>
              </w:rPr>
              <w:t>- над 30 % от инвестициите са в посочените сектори – 10 т.</w:t>
            </w:r>
          </w:p>
          <w:p w14:paraId="08FE072E" w14:textId="77777777" w:rsidR="000531BC" w:rsidRPr="000531BC" w:rsidRDefault="000531BC" w:rsidP="000531BC">
            <w:pPr>
              <w:tabs>
                <w:tab w:val="left" w:pos="114"/>
              </w:tabs>
              <w:ind w:left="1440" w:hanging="1440"/>
              <w:contextualSpacing/>
              <w:jc w:val="both"/>
              <w:rPr>
                <w:szCs w:val="24"/>
              </w:rPr>
            </w:pPr>
            <w:r w:rsidRPr="000531BC">
              <w:rPr>
                <w:szCs w:val="24"/>
              </w:rPr>
              <w:t>- над 50 % от инвестициите са в посочените сектори - 15 т.</w:t>
            </w:r>
          </w:p>
          <w:p w14:paraId="14662A88" w14:textId="77777777" w:rsidR="000531BC" w:rsidRPr="000531BC" w:rsidRDefault="000531BC" w:rsidP="002E737E">
            <w:pPr>
              <w:tabs>
                <w:tab w:val="left" w:pos="114"/>
              </w:tabs>
              <w:spacing w:after="120"/>
              <w:ind w:left="1440" w:hanging="1440"/>
              <w:contextualSpacing/>
              <w:jc w:val="both"/>
              <w:rPr>
                <w:szCs w:val="24"/>
              </w:rPr>
            </w:pPr>
            <w:r w:rsidRPr="000531BC">
              <w:rPr>
                <w:szCs w:val="24"/>
              </w:rPr>
              <w:t>- над 75 % - от инвестициите са в посочените сектори - 20 т.</w:t>
            </w:r>
          </w:p>
        </w:tc>
        <w:tc>
          <w:tcPr>
            <w:tcW w:w="1276" w:type="dxa"/>
            <w:vAlign w:val="center"/>
          </w:tcPr>
          <w:p w14:paraId="2E7A6D70" w14:textId="77777777" w:rsidR="000531BC" w:rsidRPr="000531BC" w:rsidRDefault="000531BC" w:rsidP="000531BC">
            <w:pPr>
              <w:jc w:val="center"/>
              <w:rPr>
                <w:b/>
                <w:szCs w:val="24"/>
              </w:rPr>
            </w:pPr>
            <w:r w:rsidRPr="000531BC">
              <w:rPr>
                <w:b/>
                <w:szCs w:val="24"/>
              </w:rPr>
              <w:t>20</w:t>
            </w:r>
          </w:p>
        </w:tc>
      </w:tr>
      <w:tr w:rsidR="000531BC" w14:paraId="4F375DCC" w14:textId="77777777" w:rsidTr="000531BC">
        <w:trPr>
          <w:trHeight w:val="240"/>
        </w:trPr>
        <w:tc>
          <w:tcPr>
            <w:tcW w:w="8931" w:type="dxa"/>
            <w:gridSpan w:val="2"/>
            <w:vAlign w:val="center"/>
          </w:tcPr>
          <w:p w14:paraId="6771CB0B" w14:textId="77777777" w:rsidR="000531BC" w:rsidRPr="000531BC" w:rsidRDefault="000531BC" w:rsidP="000531BC">
            <w:pPr>
              <w:tabs>
                <w:tab w:val="left" w:pos="-284"/>
                <w:tab w:val="left" w:pos="284"/>
              </w:tabs>
              <w:jc w:val="both"/>
              <w:rPr>
                <w:color w:val="000000" w:themeColor="text1"/>
                <w:szCs w:val="24"/>
              </w:rPr>
            </w:pPr>
            <w:r>
              <w:rPr>
                <w:color w:val="000000" w:themeColor="text1"/>
                <w:szCs w:val="24"/>
              </w:rPr>
              <w:t xml:space="preserve">3. </w:t>
            </w:r>
            <w:r w:rsidRPr="000531BC">
              <w:rPr>
                <w:color w:val="000000" w:themeColor="text1"/>
                <w:szCs w:val="24"/>
              </w:rPr>
              <w:t>Проектът създава нови работни места с постоянна заетост</w:t>
            </w:r>
          </w:p>
          <w:p w14:paraId="13876547" w14:textId="77777777" w:rsidR="000531BC" w:rsidRPr="000531BC" w:rsidRDefault="000531BC" w:rsidP="000531BC">
            <w:pPr>
              <w:pStyle w:val="a9"/>
              <w:numPr>
                <w:ilvl w:val="2"/>
                <w:numId w:val="33"/>
              </w:numPr>
              <w:tabs>
                <w:tab w:val="left" w:pos="256"/>
              </w:tabs>
              <w:spacing w:line="276" w:lineRule="auto"/>
              <w:ind w:left="256" w:hanging="284"/>
              <w:jc w:val="both"/>
              <w:rPr>
                <w:color w:val="000000" w:themeColor="text1"/>
                <w:szCs w:val="24"/>
              </w:rPr>
            </w:pPr>
            <w:r w:rsidRPr="000531BC">
              <w:rPr>
                <w:color w:val="000000" w:themeColor="text1"/>
                <w:szCs w:val="24"/>
              </w:rPr>
              <w:t>до 2 работни места – 10 точки</w:t>
            </w:r>
          </w:p>
          <w:p w14:paraId="4C450712" w14:textId="77777777" w:rsidR="000531BC" w:rsidRPr="000531BC" w:rsidRDefault="000531BC" w:rsidP="000531BC">
            <w:pPr>
              <w:pStyle w:val="a9"/>
              <w:numPr>
                <w:ilvl w:val="2"/>
                <w:numId w:val="33"/>
              </w:numPr>
              <w:tabs>
                <w:tab w:val="left" w:pos="256"/>
              </w:tabs>
              <w:spacing w:line="276" w:lineRule="auto"/>
              <w:ind w:hanging="2160"/>
              <w:jc w:val="both"/>
              <w:rPr>
                <w:color w:val="000000" w:themeColor="text1"/>
                <w:szCs w:val="24"/>
              </w:rPr>
            </w:pPr>
            <w:r w:rsidRPr="000531BC">
              <w:rPr>
                <w:color w:val="000000" w:themeColor="text1"/>
                <w:szCs w:val="24"/>
              </w:rPr>
              <w:t>над 2 работни места – 20 точки</w:t>
            </w:r>
          </w:p>
        </w:tc>
        <w:tc>
          <w:tcPr>
            <w:tcW w:w="1276" w:type="dxa"/>
            <w:vAlign w:val="center"/>
          </w:tcPr>
          <w:p w14:paraId="0F2D12D0" w14:textId="77777777" w:rsidR="000531BC" w:rsidRPr="000531BC" w:rsidRDefault="000531BC" w:rsidP="000531BC">
            <w:pPr>
              <w:jc w:val="center"/>
              <w:rPr>
                <w:b/>
                <w:color w:val="000000" w:themeColor="text1"/>
                <w:szCs w:val="24"/>
              </w:rPr>
            </w:pPr>
            <w:r w:rsidRPr="000531BC">
              <w:rPr>
                <w:b/>
                <w:color w:val="000000" w:themeColor="text1"/>
                <w:szCs w:val="24"/>
              </w:rPr>
              <w:t>20</w:t>
            </w:r>
          </w:p>
        </w:tc>
      </w:tr>
      <w:tr w:rsidR="000531BC" w14:paraId="4BD5E483" w14:textId="77777777" w:rsidTr="000531BC">
        <w:trPr>
          <w:trHeight w:val="240"/>
        </w:trPr>
        <w:tc>
          <w:tcPr>
            <w:tcW w:w="8931" w:type="dxa"/>
            <w:gridSpan w:val="2"/>
            <w:vAlign w:val="center"/>
          </w:tcPr>
          <w:p w14:paraId="1A1649B5" w14:textId="77777777" w:rsidR="000531BC" w:rsidRDefault="000531BC" w:rsidP="000531BC">
            <w:pPr>
              <w:tabs>
                <w:tab w:val="left" w:pos="256"/>
              </w:tabs>
              <w:jc w:val="both"/>
              <w:rPr>
                <w:color w:val="000000" w:themeColor="text1"/>
                <w:szCs w:val="24"/>
              </w:rPr>
            </w:pPr>
            <w:r>
              <w:rPr>
                <w:color w:val="000000" w:themeColor="text1"/>
                <w:szCs w:val="24"/>
              </w:rPr>
              <w:t xml:space="preserve">4. </w:t>
            </w:r>
            <w:r w:rsidRPr="000531BC">
              <w:rPr>
                <w:color w:val="000000" w:themeColor="text1"/>
                <w:szCs w:val="24"/>
              </w:rPr>
              <w:t>Иновативност - въвеждане на нови за територията практика, и/или услуга и/или продукт в предприятието - над 30 % от допустимите инвестиционни разходи по проекта са свързани с иновации в стопанството</w:t>
            </w:r>
          </w:p>
          <w:p w14:paraId="64165C20" w14:textId="77777777" w:rsidR="000531BC" w:rsidRPr="000531BC" w:rsidRDefault="000531BC" w:rsidP="000531BC">
            <w:pPr>
              <w:tabs>
                <w:tab w:val="left" w:pos="256"/>
              </w:tabs>
              <w:jc w:val="both"/>
              <w:rPr>
                <w:bCs/>
                <w:color w:val="000000" w:themeColor="text1"/>
                <w:szCs w:val="24"/>
              </w:rPr>
            </w:pPr>
          </w:p>
        </w:tc>
        <w:tc>
          <w:tcPr>
            <w:tcW w:w="1276" w:type="dxa"/>
            <w:vAlign w:val="center"/>
          </w:tcPr>
          <w:p w14:paraId="48D91A61" w14:textId="77777777" w:rsidR="000531BC" w:rsidRPr="000531BC" w:rsidRDefault="000531BC" w:rsidP="000531BC">
            <w:pPr>
              <w:jc w:val="center"/>
              <w:rPr>
                <w:b/>
                <w:color w:val="000000" w:themeColor="text1"/>
                <w:szCs w:val="24"/>
              </w:rPr>
            </w:pPr>
            <w:r w:rsidRPr="000531BC">
              <w:rPr>
                <w:b/>
                <w:color w:val="000000" w:themeColor="text1"/>
                <w:szCs w:val="24"/>
              </w:rPr>
              <w:t>10</w:t>
            </w:r>
          </w:p>
        </w:tc>
      </w:tr>
      <w:tr w:rsidR="000531BC" w14:paraId="748F9E09" w14:textId="77777777" w:rsidTr="000531BC">
        <w:trPr>
          <w:trHeight w:val="240"/>
        </w:trPr>
        <w:tc>
          <w:tcPr>
            <w:tcW w:w="8931" w:type="dxa"/>
            <w:gridSpan w:val="2"/>
            <w:vAlign w:val="center"/>
          </w:tcPr>
          <w:p w14:paraId="67AC574B" w14:textId="77777777" w:rsidR="000531BC" w:rsidRDefault="000531BC" w:rsidP="000531BC">
            <w:pPr>
              <w:tabs>
                <w:tab w:val="left" w:pos="113"/>
              </w:tabs>
              <w:jc w:val="both"/>
              <w:rPr>
                <w:color w:val="000000" w:themeColor="text1"/>
                <w:szCs w:val="24"/>
              </w:rPr>
            </w:pPr>
            <w:r>
              <w:rPr>
                <w:color w:val="000000" w:themeColor="text1"/>
                <w:szCs w:val="24"/>
              </w:rPr>
              <w:t xml:space="preserve">5. </w:t>
            </w:r>
            <w:r w:rsidRPr="000531BC">
              <w:rPr>
                <w:color w:val="000000" w:themeColor="text1"/>
                <w:szCs w:val="24"/>
              </w:rPr>
              <w:t>Минимум 10 % от допустимите инвестиционни разходи са за подобряване на енергийната ефективност на предприятието</w:t>
            </w:r>
          </w:p>
          <w:p w14:paraId="599DD30D" w14:textId="77777777" w:rsidR="000531BC" w:rsidRPr="000531BC" w:rsidRDefault="000531BC" w:rsidP="000531BC">
            <w:pPr>
              <w:tabs>
                <w:tab w:val="left" w:pos="113"/>
              </w:tabs>
              <w:jc w:val="both"/>
              <w:rPr>
                <w:color w:val="000000" w:themeColor="text1"/>
                <w:szCs w:val="24"/>
              </w:rPr>
            </w:pPr>
          </w:p>
        </w:tc>
        <w:tc>
          <w:tcPr>
            <w:tcW w:w="1276" w:type="dxa"/>
            <w:vAlign w:val="center"/>
          </w:tcPr>
          <w:p w14:paraId="16B68EC3" w14:textId="77777777" w:rsidR="000531BC" w:rsidRPr="000531BC" w:rsidRDefault="000531BC" w:rsidP="000531BC">
            <w:pPr>
              <w:jc w:val="center"/>
              <w:rPr>
                <w:b/>
                <w:color w:val="000000" w:themeColor="text1"/>
                <w:szCs w:val="24"/>
              </w:rPr>
            </w:pPr>
            <w:r w:rsidRPr="000531BC">
              <w:rPr>
                <w:b/>
                <w:color w:val="000000" w:themeColor="text1"/>
                <w:szCs w:val="24"/>
              </w:rPr>
              <w:t>10</w:t>
            </w:r>
          </w:p>
        </w:tc>
      </w:tr>
      <w:tr w:rsidR="000531BC" w14:paraId="26039082" w14:textId="77777777" w:rsidTr="000531BC">
        <w:trPr>
          <w:trHeight w:val="240"/>
        </w:trPr>
        <w:tc>
          <w:tcPr>
            <w:tcW w:w="8931" w:type="dxa"/>
            <w:gridSpan w:val="2"/>
            <w:tcBorders>
              <w:top w:val="single" w:sz="4" w:space="0" w:color="auto"/>
              <w:left w:val="single" w:sz="4" w:space="0" w:color="auto"/>
              <w:bottom w:val="single" w:sz="4" w:space="0" w:color="auto"/>
            </w:tcBorders>
            <w:vAlign w:val="center"/>
          </w:tcPr>
          <w:p w14:paraId="44AEBF3F" w14:textId="77777777" w:rsidR="000531BC" w:rsidRDefault="000531BC" w:rsidP="000531BC">
            <w:pPr>
              <w:jc w:val="both"/>
              <w:rPr>
                <w:color w:val="000000" w:themeColor="text1"/>
                <w:szCs w:val="24"/>
              </w:rPr>
            </w:pPr>
            <w:r>
              <w:rPr>
                <w:color w:val="000000" w:themeColor="text1"/>
                <w:szCs w:val="24"/>
              </w:rPr>
              <w:t xml:space="preserve">6. </w:t>
            </w:r>
            <w:r w:rsidRPr="000531BC">
              <w:rPr>
                <w:color w:val="000000" w:themeColor="text1"/>
                <w:szCs w:val="24"/>
              </w:rPr>
              <w:t>Кандидатът не е получавал подкрепа от европейската общност за подобна инвестиция</w:t>
            </w:r>
          </w:p>
          <w:p w14:paraId="7EEBB703" w14:textId="77777777" w:rsidR="000531BC" w:rsidRPr="000531BC" w:rsidRDefault="000531BC" w:rsidP="000531BC">
            <w:pPr>
              <w:jc w:val="both"/>
              <w:rPr>
                <w:color w:val="000000" w:themeColor="text1"/>
                <w:szCs w:val="24"/>
              </w:rPr>
            </w:pPr>
          </w:p>
        </w:tc>
        <w:tc>
          <w:tcPr>
            <w:tcW w:w="1276" w:type="dxa"/>
            <w:vAlign w:val="center"/>
          </w:tcPr>
          <w:p w14:paraId="33D8FA35" w14:textId="77777777" w:rsidR="000531BC" w:rsidRPr="000531BC" w:rsidRDefault="000531BC" w:rsidP="000531BC">
            <w:pPr>
              <w:jc w:val="center"/>
              <w:rPr>
                <w:b/>
                <w:color w:val="000000" w:themeColor="text1"/>
                <w:szCs w:val="24"/>
              </w:rPr>
            </w:pPr>
            <w:r w:rsidRPr="000531BC">
              <w:rPr>
                <w:b/>
                <w:color w:val="000000" w:themeColor="text1"/>
                <w:szCs w:val="24"/>
              </w:rPr>
              <w:t>10</w:t>
            </w:r>
          </w:p>
        </w:tc>
      </w:tr>
      <w:tr w:rsidR="000531BC" w14:paraId="7F8C85D4" w14:textId="77777777" w:rsidTr="000531BC">
        <w:trPr>
          <w:trHeight w:val="240"/>
        </w:trPr>
        <w:tc>
          <w:tcPr>
            <w:tcW w:w="8931" w:type="dxa"/>
            <w:gridSpan w:val="2"/>
            <w:tcBorders>
              <w:top w:val="single" w:sz="4" w:space="0" w:color="auto"/>
            </w:tcBorders>
          </w:tcPr>
          <w:p w14:paraId="71CB891D" w14:textId="77777777" w:rsidR="000531BC" w:rsidRPr="000531BC" w:rsidRDefault="000531BC" w:rsidP="000531BC">
            <w:pPr>
              <w:jc w:val="both"/>
              <w:rPr>
                <w:color w:val="000000" w:themeColor="text1"/>
                <w:szCs w:val="24"/>
              </w:rPr>
            </w:pPr>
            <w:r>
              <w:rPr>
                <w:color w:val="000000" w:themeColor="text1"/>
                <w:szCs w:val="24"/>
              </w:rPr>
              <w:t xml:space="preserve">7. </w:t>
            </w:r>
            <w:r w:rsidRPr="000531BC">
              <w:rPr>
                <w:color w:val="000000" w:themeColor="text1"/>
                <w:szCs w:val="24"/>
              </w:rPr>
              <w:t>Проектът включва дейности с позитивен принос към околната среда</w:t>
            </w:r>
          </w:p>
          <w:p w14:paraId="28581F17" w14:textId="77777777" w:rsidR="000531BC" w:rsidRPr="000531BC" w:rsidRDefault="000531BC" w:rsidP="000531BC">
            <w:pPr>
              <w:jc w:val="both"/>
              <w:rPr>
                <w:color w:val="000000" w:themeColor="text1"/>
                <w:szCs w:val="24"/>
              </w:rPr>
            </w:pPr>
            <w:r w:rsidRPr="000531BC">
              <w:rPr>
                <w:color w:val="000000" w:themeColor="text1"/>
                <w:szCs w:val="24"/>
              </w:rPr>
              <w:t>- над 30 % - от инвестициите са насочени към дейности, опазващи околната среда - 3 т.</w:t>
            </w:r>
          </w:p>
          <w:p w14:paraId="57AD6B14" w14:textId="77777777" w:rsidR="000531BC" w:rsidRPr="000531BC" w:rsidRDefault="000531BC" w:rsidP="000531BC">
            <w:pPr>
              <w:jc w:val="both"/>
              <w:rPr>
                <w:color w:val="000000" w:themeColor="text1"/>
                <w:szCs w:val="24"/>
              </w:rPr>
            </w:pPr>
            <w:r w:rsidRPr="000531BC">
              <w:rPr>
                <w:color w:val="000000" w:themeColor="text1"/>
                <w:szCs w:val="24"/>
              </w:rPr>
              <w:t>- над 50 % от инвестициите са насочени към дейности, опазващи околната среда - 5 т.</w:t>
            </w:r>
          </w:p>
        </w:tc>
        <w:tc>
          <w:tcPr>
            <w:tcW w:w="1276" w:type="dxa"/>
            <w:vAlign w:val="center"/>
          </w:tcPr>
          <w:p w14:paraId="32F1C12C" w14:textId="77777777" w:rsidR="000531BC" w:rsidRPr="000531BC" w:rsidRDefault="000531BC" w:rsidP="000531BC">
            <w:pPr>
              <w:jc w:val="center"/>
              <w:rPr>
                <w:b/>
                <w:color w:val="000000" w:themeColor="text1"/>
                <w:szCs w:val="24"/>
              </w:rPr>
            </w:pPr>
            <w:r w:rsidRPr="000531BC">
              <w:rPr>
                <w:b/>
                <w:color w:val="000000" w:themeColor="text1"/>
                <w:szCs w:val="24"/>
              </w:rPr>
              <w:t>5</w:t>
            </w:r>
          </w:p>
        </w:tc>
      </w:tr>
      <w:tr w:rsidR="000531BC" w14:paraId="1C93AD77" w14:textId="77777777" w:rsidTr="000531BC">
        <w:trPr>
          <w:trHeight w:val="240"/>
        </w:trPr>
        <w:tc>
          <w:tcPr>
            <w:tcW w:w="8931" w:type="dxa"/>
            <w:gridSpan w:val="2"/>
            <w:tcBorders>
              <w:top w:val="single" w:sz="4" w:space="0" w:color="auto"/>
            </w:tcBorders>
            <w:vAlign w:val="center"/>
          </w:tcPr>
          <w:p w14:paraId="4CF715D8" w14:textId="77777777" w:rsidR="000531BC" w:rsidRDefault="000531BC" w:rsidP="000531BC">
            <w:pPr>
              <w:jc w:val="both"/>
              <w:rPr>
                <w:color w:val="000000" w:themeColor="text1"/>
                <w:szCs w:val="24"/>
              </w:rPr>
            </w:pPr>
            <w:r>
              <w:rPr>
                <w:color w:val="000000" w:themeColor="text1"/>
                <w:szCs w:val="24"/>
              </w:rPr>
              <w:t xml:space="preserve">8. </w:t>
            </w:r>
            <w:r w:rsidRPr="000531BC">
              <w:rPr>
                <w:color w:val="000000" w:themeColor="text1"/>
                <w:szCs w:val="24"/>
              </w:rPr>
              <w:t>Проектът предвижда използването на местни доставчици на стоки и/или услуги</w:t>
            </w:r>
          </w:p>
          <w:p w14:paraId="3E0DD4D0" w14:textId="77777777" w:rsidR="000531BC" w:rsidRPr="000531BC" w:rsidRDefault="000531BC" w:rsidP="000531BC">
            <w:pPr>
              <w:jc w:val="both"/>
              <w:rPr>
                <w:color w:val="000000" w:themeColor="text1"/>
                <w:szCs w:val="24"/>
              </w:rPr>
            </w:pPr>
          </w:p>
        </w:tc>
        <w:tc>
          <w:tcPr>
            <w:tcW w:w="1276" w:type="dxa"/>
            <w:vAlign w:val="center"/>
          </w:tcPr>
          <w:p w14:paraId="33AA0522" w14:textId="77777777" w:rsidR="000531BC" w:rsidRPr="000531BC" w:rsidRDefault="000531BC" w:rsidP="000531BC">
            <w:pPr>
              <w:jc w:val="center"/>
              <w:rPr>
                <w:b/>
                <w:color w:val="000000" w:themeColor="text1"/>
                <w:szCs w:val="24"/>
              </w:rPr>
            </w:pPr>
            <w:r w:rsidRPr="000531BC">
              <w:rPr>
                <w:b/>
                <w:color w:val="000000" w:themeColor="text1"/>
                <w:szCs w:val="24"/>
              </w:rPr>
              <w:t>5</w:t>
            </w:r>
          </w:p>
        </w:tc>
      </w:tr>
      <w:tr w:rsidR="000531BC" w14:paraId="467E78C1" w14:textId="77777777" w:rsidTr="000531BC">
        <w:trPr>
          <w:trHeight w:val="240"/>
        </w:trPr>
        <w:tc>
          <w:tcPr>
            <w:tcW w:w="8931" w:type="dxa"/>
            <w:gridSpan w:val="2"/>
            <w:tcBorders>
              <w:top w:val="single" w:sz="4" w:space="0" w:color="auto"/>
            </w:tcBorders>
            <w:vAlign w:val="center"/>
          </w:tcPr>
          <w:p w14:paraId="687265FA" w14:textId="77777777" w:rsidR="000531BC" w:rsidRPr="000531BC" w:rsidRDefault="000531BC" w:rsidP="00F21BA0">
            <w:pPr>
              <w:tabs>
                <w:tab w:val="left" w:pos="-284"/>
                <w:tab w:val="left" w:pos="0"/>
              </w:tabs>
              <w:spacing w:beforeLines="60" w:before="144" w:afterLines="60" w:after="144"/>
              <w:rPr>
                <w:b/>
                <w:szCs w:val="24"/>
              </w:rPr>
            </w:pPr>
            <w:r w:rsidRPr="000531BC">
              <w:rPr>
                <w:b/>
                <w:szCs w:val="24"/>
              </w:rPr>
              <w:t>ОБЩО</w:t>
            </w:r>
          </w:p>
        </w:tc>
        <w:tc>
          <w:tcPr>
            <w:tcW w:w="1276" w:type="dxa"/>
            <w:vAlign w:val="center"/>
          </w:tcPr>
          <w:p w14:paraId="07BF070F" w14:textId="77777777" w:rsidR="000531BC" w:rsidRPr="000531BC" w:rsidRDefault="000531BC" w:rsidP="000531BC">
            <w:pPr>
              <w:jc w:val="center"/>
              <w:rPr>
                <w:b/>
                <w:szCs w:val="24"/>
              </w:rPr>
            </w:pPr>
            <w:r w:rsidRPr="000531BC">
              <w:rPr>
                <w:b/>
                <w:szCs w:val="24"/>
              </w:rPr>
              <w:t>100</w:t>
            </w:r>
          </w:p>
        </w:tc>
      </w:tr>
    </w:tbl>
    <w:p w14:paraId="7CEB67B1" w14:textId="77777777" w:rsidR="00552723" w:rsidRDefault="00552723" w:rsidP="00552723">
      <w:pPr>
        <w:rPr>
          <w:b/>
          <w:color w:val="44546A" w:themeColor="text2"/>
          <w:szCs w:val="24"/>
        </w:rPr>
      </w:pPr>
    </w:p>
    <w:p w14:paraId="67F744B8" w14:textId="5D441188" w:rsidR="007726CC" w:rsidRDefault="00552723" w:rsidP="00552723">
      <w:pPr>
        <w:rPr>
          <w:b/>
          <w:szCs w:val="24"/>
        </w:rPr>
      </w:pPr>
      <w:r>
        <w:rPr>
          <w:szCs w:val="24"/>
        </w:rPr>
        <w:t>М</w:t>
      </w:r>
      <w:r w:rsidRPr="005F2497">
        <w:rPr>
          <w:szCs w:val="24"/>
        </w:rPr>
        <w:t>инимално допустимата оценка за качество на проектните предложения</w:t>
      </w:r>
      <w:r>
        <w:rPr>
          <w:szCs w:val="24"/>
        </w:rPr>
        <w:t xml:space="preserve"> е – </w:t>
      </w:r>
      <w:r w:rsidR="004B6467">
        <w:rPr>
          <w:b/>
          <w:szCs w:val="24"/>
          <w:lang w:val="en-US"/>
        </w:rPr>
        <w:t>25</w:t>
      </w:r>
      <w:r w:rsidRPr="00E83488">
        <w:rPr>
          <w:b/>
          <w:szCs w:val="24"/>
        </w:rPr>
        <w:t xml:space="preserve"> точки</w:t>
      </w:r>
      <w:r>
        <w:rPr>
          <w:b/>
          <w:szCs w:val="24"/>
        </w:rPr>
        <w:t>.</w:t>
      </w:r>
      <w:bookmarkEnd w:id="0"/>
      <w:bookmarkEnd w:id="1"/>
      <w:bookmarkEnd w:id="2"/>
    </w:p>
    <w:p w14:paraId="17616DA5" w14:textId="77777777" w:rsidR="002E737E" w:rsidRPr="00C35C44" w:rsidRDefault="002E737E" w:rsidP="00552723">
      <w:pPr>
        <w:rPr>
          <w:b/>
          <w:szCs w:val="24"/>
        </w:rPr>
      </w:pPr>
    </w:p>
    <w:p w14:paraId="0BCC3B3E" w14:textId="24C656A9" w:rsidR="00552723" w:rsidRPr="009E539D" w:rsidRDefault="00552723" w:rsidP="00552723">
      <w:pPr>
        <w:rPr>
          <w:b/>
          <w:color w:val="2F5496" w:themeColor="accent5" w:themeShade="BF"/>
          <w:szCs w:val="24"/>
        </w:rPr>
      </w:pPr>
      <w:r w:rsidRPr="009E539D">
        <w:rPr>
          <w:rFonts w:cs="Times New Roman"/>
          <w:b/>
          <w:color w:val="2F5496" w:themeColor="accent5" w:themeShade="BF"/>
          <w:szCs w:val="24"/>
          <w:lang w:eastAsia="bg-BG"/>
        </w:rPr>
        <w:lastRenderedPageBreak/>
        <w:t>9. ЛИЦЕ/А ЗА КОНТАКТ И МЯСТО ЗА ДОСТЪП ДО ПОДРОБНА ИНФОРМАЦИЯ:</w:t>
      </w:r>
    </w:p>
    <w:p w14:paraId="35096BCD" w14:textId="668F0C9D" w:rsidR="00552723" w:rsidRPr="008772E7" w:rsidRDefault="00552723" w:rsidP="00552723">
      <w:pPr>
        <w:spacing w:after="0" w:line="276" w:lineRule="auto"/>
        <w:rPr>
          <w:rFonts w:cs="Times New Roman"/>
          <w:szCs w:val="24"/>
        </w:rPr>
      </w:pPr>
      <w:r w:rsidRPr="008772E7">
        <w:rPr>
          <w:rFonts w:cs="Times New Roman"/>
          <w:szCs w:val="24"/>
        </w:rPr>
        <w:t>Лице за контакт:</w:t>
      </w:r>
      <w:r w:rsidRPr="008772E7">
        <w:rPr>
          <w:rFonts w:cs="Times New Roman"/>
          <w:szCs w:val="24"/>
        </w:rPr>
        <w:br/>
      </w:r>
      <w:r w:rsidR="00DE64E9">
        <w:rPr>
          <w:rFonts w:cs="Times New Roman"/>
          <w:szCs w:val="24"/>
        </w:rPr>
        <w:t>Емил Мирчев</w:t>
      </w:r>
      <w:r w:rsidRPr="008772E7">
        <w:rPr>
          <w:rFonts w:cs="Times New Roman"/>
          <w:szCs w:val="24"/>
        </w:rPr>
        <w:t xml:space="preserve"> – </w:t>
      </w:r>
      <w:r w:rsidR="00DE64E9">
        <w:rPr>
          <w:rFonts w:cs="Times New Roman"/>
          <w:szCs w:val="24"/>
        </w:rPr>
        <w:t>Изпълнителен директор</w:t>
      </w:r>
      <w:r w:rsidRPr="008772E7">
        <w:rPr>
          <w:rFonts w:cs="Times New Roman"/>
          <w:szCs w:val="24"/>
        </w:rPr>
        <w:t>, тел. 0886 33</w:t>
      </w:r>
      <w:r w:rsidR="00DE64E9">
        <w:rPr>
          <w:rFonts w:cs="Times New Roman"/>
          <w:szCs w:val="24"/>
        </w:rPr>
        <w:t>1</w:t>
      </w:r>
      <w:r w:rsidRPr="008772E7">
        <w:rPr>
          <w:rFonts w:cs="Times New Roman"/>
          <w:szCs w:val="24"/>
        </w:rPr>
        <w:t xml:space="preserve"> 550; </w:t>
      </w:r>
    </w:p>
    <w:p w14:paraId="45796CBE" w14:textId="00365FBC" w:rsidR="00552723" w:rsidRPr="00DE64E9" w:rsidRDefault="00552723" w:rsidP="00552723">
      <w:pPr>
        <w:spacing w:after="0" w:line="276" w:lineRule="auto"/>
        <w:rPr>
          <w:rStyle w:val="st"/>
          <w:rFonts w:cs="Times New Roman"/>
          <w:color w:val="000000" w:themeColor="text1"/>
          <w:szCs w:val="24"/>
        </w:rPr>
      </w:pPr>
      <w:r w:rsidRPr="008772E7">
        <w:rPr>
          <w:rFonts w:cs="Times New Roman"/>
          <w:szCs w:val="24"/>
        </w:rPr>
        <w:t>е-</w:t>
      </w:r>
      <w:r w:rsidRPr="008772E7">
        <w:rPr>
          <w:rFonts w:cs="Times New Roman"/>
          <w:szCs w:val="24"/>
          <w:lang w:val="en-US"/>
        </w:rPr>
        <w:t>mail</w:t>
      </w:r>
      <w:r w:rsidRPr="008772E7">
        <w:rPr>
          <w:rFonts w:cs="Times New Roman"/>
          <w:szCs w:val="24"/>
          <w:lang w:val="ru-RU"/>
        </w:rPr>
        <w:t>:</w:t>
      </w:r>
      <w:r w:rsidRPr="008772E7">
        <w:rPr>
          <w:rFonts w:cs="Times New Roman"/>
          <w:color w:val="4472C4" w:themeColor="accent5"/>
          <w:szCs w:val="24"/>
          <w:lang w:val="ru-RU"/>
        </w:rPr>
        <w:t xml:space="preserve"> </w:t>
      </w:r>
      <w:hyperlink r:id="rId9" w:history="1">
        <w:r w:rsidRPr="008772E7">
          <w:rPr>
            <w:rStyle w:val="a7"/>
            <w:rFonts w:cs="Times New Roman"/>
            <w:szCs w:val="24"/>
          </w:rPr>
          <w:t>mignpk</w:t>
        </w:r>
        <w:r w:rsidRPr="008772E7">
          <w:rPr>
            <w:rStyle w:val="a7"/>
            <w:rFonts w:cs="Times New Roman"/>
            <w:i/>
            <w:szCs w:val="24"/>
          </w:rPr>
          <w:t>@</w:t>
        </w:r>
        <w:r w:rsidRPr="008772E7">
          <w:rPr>
            <w:rStyle w:val="a7"/>
            <w:rFonts w:cs="Times New Roman"/>
            <w:szCs w:val="24"/>
          </w:rPr>
          <w:t>abv.bg</w:t>
        </w:r>
      </w:hyperlink>
      <w:r w:rsidRPr="008772E7">
        <w:rPr>
          <w:rStyle w:val="st"/>
          <w:rFonts w:cs="Times New Roman"/>
          <w:color w:val="4472C4" w:themeColor="accent5"/>
          <w:szCs w:val="24"/>
        </w:rPr>
        <w:t xml:space="preserve"> </w:t>
      </w:r>
      <w:r w:rsidRPr="008772E7">
        <w:rPr>
          <w:rStyle w:val="st"/>
          <w:rFonts w:cs="Times New Roman"/>
          <w:color w:val="4472C4" w:themeColor="accent5"/>
          <w:szCs w:val="24"/>
        </w:rPr>
        <w:br/>
      </w:r>
      <w:r w:rsidR="00DE64E9">
        <w:rPr>
          <w:rStyle w:val="st"/>
          <w:rFonts w:cs="Times New Roman"/>
          <w:color w:val="000000" w:themeColor="text1"/>
          <w:szCs w:val="24"/>
        </w:rPr>
        <w:t xml:space="preserve">Информация и консултации по процедурата може да получите всеки работен ден от 09:00 до 17:00ч. в офиса на МИГ „Нови пазар – Каспичан“ на </w:t>
      </w:r>
      <w:r w:rsidRPr="008772E7">
        <w:rPr>
          <w:rStyle w:val="st"/>
          <w:rFonts w:cs="Times New Roman"/>
          <w:color w:val="000000" w:themeColor="text1"/>
          <w:szCs w:val="24"/>
        </w:rPr>
        <w:t xml:space="preserve">адрес: гр. Нови пазар, </w:t>
      </w:r>
      <w:proofErr w:type="spellStart"/>
      <w:r w:rsidRPr="008772E7">
        <w:rPr>
          <w:rStyle w:val="st"/>
          <w:rFonts w:cs="Times New Roman"/>
          <w:color w:val="000000" w:themeColor="text1"/>
          <w:szCs w:val="24"/>
        </w:rPr>
        <w:t>ул</w:t>
      </w:r>
      <w:proofErr w:type="spellEnd"/>
      <w:r w:rsidRPr="008772E7">
        <w:rPr>
          <w:rStyle w:val="st"/>
          <w:rFonts w:cs="Times New Roman"/>
          <w:color w:val="000000" w:themeColor="text1"/>
          <w:szCs w:val="24"/>
        </w:rPr>
        <w:t>.”Оборище” №</w:t>
      </w:r>
      <w:r w:rsidR="00592F2C">
        <w:rPr>
          <w:rStyle w:val="st"/>
          <w:rFonts w:cs="Times New Roman"/>
          <w:color w:val="000000" w:themeColor="text1"/>
          <w:szCs w:val="24"/>
          <w:lang w:val="en-US"/>
        </w:rPr>
        <w:t>5</w:t>
      </w:r>
      <w:r w:rsidRPr="008772E7">
        <w:rPr>
          <w:rStyle w:val="st"/>
          <w:rFonts w:cs="Times New Roman"/>
          <w:color w:val="000000" w:themeColor="text1"/>
          <w:szCs w:val="24"/>
        </w:rPr>
        <w:t xml:space="preserve">, ет. </w:t>
      </w:r>
      <w:r w:rsidR="00592F2C">
        <w:rPr>
          <w:rStyle w:val="st"/>
          <w:rFonts w:cs="Times New Roman"/>
          <w:color w:val="000000" w:themeColor="text1"/>
          <w:szCs w:val="24"/>
          <w:lang w:val="en-US"/>
        </w:rPr>
        <w:t>2</w:t>
      </w:r>
      <w:r w:rsidR="00DE64E9">
        <w:rPr>
          <w:rStyle w:val="st"/>
          <w:rFonts w:cs="Times New Roman"/>
          <w:color w:val="000000" w:themeColor="text1"/>
          <w:szCs w:val="24"/>
        </w:rPr>
        <w:t>, тел.: 0886 336 550</w:t>
      </w:r>
    </w:p>
    <w:p w14:paraId="5E4D839F" w14:textId="2786B14D" w:rsidR="00552723" w:rsidRDefault="00552723" w:rsidP="00552723">
      <w:pPr>
        <w:spacing w:after="0" w:line="276" w:lineRule="auto"/>
        <w:rPr>
          <w:rStyle w:val="st"/>
          <w:rFonts w:cs="Times New Roman"/>
          <w:color w:val="000000" w:themeColor="text1"/>
          <w:szCs w:val="24"/>
        </w:rPr>
      </w:pPr>
    </w:p>
    <w:p w14:paraId="5D4A618C" w14:textId="77777777" w:rsidR="00C35C44" w:rsidRPr="00884C6B" w:rsidRDefault="00C35C44" w:rsidP="00C35C44">
      <w:pPr>
        <w:pStyle w:val="a9"/>
        <w:spacing w:line="240" w:lineRule="auto"/>
        <w:ind w:left="0"/>
        <w:contextualSpacing w:val="0"/>
        <w:jc w:val="both"/>
        <w:rPr>
          <w:rFonts w:cs="Times New Roman"/>
          <w:szCs w:val="24"/>
          <w:lang w:val="en-US"/>
        </w:rPr>
      </w:pPr>
      <w:r w:rsidRPr="00884C6B">
        <w:rPr>
          <w:rFonts w:cs="Times New Roman"/>
          <w:b/>
          <w:szCs w:val="24"/>
        </w:rPr>
        <w:t xml:space="preserve">ВАЖНО! </w:t>
      </w:r>
      <w:r w:rsidRPr="00884C6B">
        <w:rPr>
          <w:rFonts w:cs="Times New Roman"/>
          <w:szCs w:val="24"/>
        </w:rPr>
        <w:t xml:space="preserve">След обявяване на процедура да подбор МИГ „Нови пазар – Каспичан”  осигурява предоставяне на разяснения по документите. Кандидатите могат да задават допълнителни въпроси и да искат разяснения във връзка с Условията за кандидатстване </w:t>
      </w:r>
      <w:r w:rsidRPr="00884C6B">
        <w:rPr>
          <w:rFonts w:cs="Times New Roman"/>
          <w:b/>
          <w:szCs w:val="24"/>
        </w:rPr>
        <w:t>до три седмици</w:t>
      </w:r>
      <w:r w:rsidRPr="00884C6B">
        <w:rPr>
          <w:rFonts w:cs="Times New Roman"/>
          <w:szCs w:val="24"/>
        </w:rPr>
        <w:t xml:space="preserve"> преди крайния срок за подаване на проектни предложения. Допълнителни въпроси могат да се задават само по електронната поща на </w:t>
      </w:r>
      <w:r w:rsidRPr="00884C6B">
        <w:rPr>
          <w:rFonts w:cs="Times New Roman"/>
          <w:b/>
          <w:szCs w:val="24"/>
        </w:rPr>
        <w:t xml:space="preserve">МИГ - </w:t>
      </w:r>
      <w:hyperlink r:id="rId10" w:history="1">
        <w:r w:rsidRPr="00884C6B">
          <w:rPr>
            <w:rStyle w:val="a7"/>
            <w:rFonts w:cs="Times New Roman"/>
            <w:b/>
            <w:color w:val="4472C4" w:themeColor="accent5"/>
            <w:szCs w:val="24"/>
          </w:rPr>
          <w:t>mignpk</w:t>
        </w:r>
        <w:r w:rsidRPr="00884C6B">
          <w:rPr>
            <w:rStyle w:val="a7"/>
            <w:rFonts w:cs="Times New Roman"/>
            <w:b/>
            <w:color w:val="4472C4" w:themeColor="accent5"/>
            <w:szCs w:val="24"/>
            <w:lang w:val="ru-RU"/>
          </w:rPr>
          <w:t>@</w:t>
        </w:r>
        <w:r w:rsidRPr="00884C6B">
          <w:rPr>
            <w:rStyle w:val="a7"/>
            <w:rFonts w:cs="Times New Roman"/>
            <w:b/>
            <w:color w:val="4472C4" w:themeColor="accent5"/>
            <w:szCs w:val="24"/>
          </w:rPr>
          <w:t>abv</w:t>
        </w:r>
        <w:r w:rsidRPr="00884C6B">
          <w:rPr>
            <w:rStyle w:val="a7"/>
            <w:rFonts w:cs="Times New Roman"/>
            <w:b/>
            <w:color w:val="4472C4" w:themeColor="accent5"/>
            <w:szCs w:val="24"/>
            <w:lang w:val="ru-RU"/>
          </w:rPr>
          <w:t>.</w:t>
        </w:r>
        <w:proofErr w:type="spellStart"/>
        <w:r w:rsidRPr="00884C6B">
          <w:rPr>
            <w:rStyle w:val="a7"/>
            <w:rFonts w:cs="Times New Roman"/>
            <w:b/>
            <w:color w:val="4472C4" w:themeColor="accent5"/>
            <w:szCs w:val="24"/>
          </w:rPr>
          <w:t>b</w:t>
        </w:r>
        <w:r w:rsidRPr="00884C6B">
          <w:rPr>
            <w:rStyle w:val="a7"/>
            <w:rFonts w:cs="Times New Roman"/>
            <w:b/>
            <w:szCs w:val="24"/>
          </w:rPr>
          <w:t>g</w:t>
        </w:r>
        <w:proofErr w:type="spellEnd"/>
      </w:hyperlink>
      <w:r w:rsidRPr="00884C6B">
        <w:rPr>
          <w:rFonts w:cs="Times New Roman"/>
          <w:b/>
          <w:szCs w:val="24"/>
        </w:rPr>
        <w:t xml:space="preserve">, </w:t>
      </w:r>
      <w:r w:rsidRPr="00884C6B">
        <w:rPr>
          <w:rFonts w:cs="Times New Roman"/>
          <w:szCs w:val="24"/>
        </w:rPr>
        <w:t xml:space="preserve">като се посочва наименованието на процедурата за подбор на проекти. Разясненията следва да бъдат утвърдени от Председателя на Управителния съвет или оправомощено от него лице. Разясненията следва да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съобщават в срок </w:t>
      </w:r>
      <w:r w:rsidRPr="00884C6B">
        <w:rPr>
          <w:rFonts w:cs="Times New Roman"/>
          <w:b/>
          <w:szCs w:val="24"/>
        </w:rPr>
        <w:t>до две седмици</w:t>
      </w:r>
      <w:r w:rsidRPr="00884C6B">
        <w:rPr>
          <w:rFonts w:cs="Times New Roman"/>
          <w:szCs w:val="24"/>
        </w:rPr>
        <w:t xml:space="preserve"> преди изтичането на срока за кандидатстване. Отговорите на въпросите на кандидатите се публикуват </w:t>
      </w:r>
      <w:r>
        <w:rPr>
          <w:rFonts w:cs="Times New Roman"/>
          <w:szCs w:val="24"/>
        </w:rPr>
        <w:t>в</w:t>
      </w:r>
      <w:r w:rsidRPr="00884C6B">
        <w:rPr>
          <w:rFonts w:cs="Times New Roman"/>
          <w:b/>
          <w:szCs w:val="24"/>
        </w:rPr>
        <w:t xml:space="preserve"> ИСУН 2020 в 10</w:t>
      </w:r>
      <w:r>
        <w:rPr>
          <w:rFonts w:cs="Times New Roman"/>
          <w:b/>
          <w:szCs w:val="24"/>
        </w:rPr>
        <w:t xml:space="preserve"> </w:t>
      </w:r>
      <w:r w:rsidRPr="00884C6B">
        <w:rPr>
          <w:rFonts w:cs="Times New Roman"/>
          <w:b/>
          <w:szCs w:val="24"/>
        </w:rPr>
        <w:t xml:space="preserve">- дневен срок </w:t>
      </w:r>
      <w:r w:rsidRPr="00884C6B">
        <w:rPr>
          <w:rFonts w:cs="Times New Roman"/>
          <w:szCs w:val="24"/>
        </w:rPr>
        <w:t xml:space="preserve">от получаването им, но не по-късно от две седмици преди изтичането на срока за кандидатстване. </w:t>
      </w:r>
    </w:p>
    <w:p w14:paraId="754C8D4B" w14:textId="77777777" w:rsidR="00C35C44" w:rsidRPr="008772E7" w:rsidRDefault="00C35C44" w:rsidP="00552723">
      <w:pPr>
        <w:spacing w:after="0" w:line="276" w:lineRule="auto"/>
        <w:rPr>
          <w:rStyle w:val="st"/>
          <w:rFonts w:cs="Times New Roman"/>
          <w:color w:val="000000" w:themeColor="text1"/>
          <w:szCs w:val="24"/>
        </w:rPr>
      </w:pPr>
    </w:p>
    <w:p w14:paraId="5EBF595B" w14:textId="0004DAED" w:rsidR="00552723" w:rsidRPr="008772E7" w:rsidRDefault="00552723" w:rsidP="00552723">
      <w:pPr>
        <w:spacing w:after="0" w:line="276" w:lineRule="auto"/>
        <w:jc w:val="both"/>
        <w:rPr>
          <w:rFonts w:cs="Times New Roman"/>
          <w:szCs w:val="24"/>
        </w:rPr>
      </w:pPr>
      <w:r w:rsidRPr="008772E7">
        <w:rPr>
          <w:rFonts w:cs="Times New Roman"/>
          <w:szCs w:val="24"/>
        </w:rPr>
        <w:t>Пълният пакет документи за кандидатстване са публикувани на следните интернет адреси:</w:t>
      </w:r>
    </w:p>
    <w:p w14:paraId="6DD3D5CB" w14:textId="77777777" w:rsidR="00552723" w:rsidRPr="008772E7" w:rsidRDefault="00552723" w:rsidP="00552723">
      <w:pPr>
        <w:numPr>
          <w:ilvl w:val="0"/>
          <w:numId w:val="13"/>
        </w:numPr>
        <w:tabs>
          <w:tab w:val="left" w:pos="142"/>
        </w:tabs>
        <w:snapToGrid w:val="0"/>
        <w:spacing w:after="0" w:line="276" w:lineRule="auto"/>
        <w:ind w:left="0" w:firstLine="0"/>
        <w:jc w:val="both"/>
        <w:rPr>
          <w:rFonts w:cs="Times New Roman"/>
          <w:szCs w:val="24"/>
        </w:rPr>
      </w:pPr>
      <w:r w:rsidRPr="008772E7">
        <w:rPr>
          <w:rFonts w:cs="Times New Roman"/>
          <w:szCs w:val="24"/>
        </w:rPr>
        <w:t xml:space="preserve">на сайта на Сдружение „МИГ Нови пазар – Каспичан” - </w:t>
      </w:r>
      <w:hyperlink r:id="rId11" w:history="1">
        <w:r w:rsidRPr="008772E7">
          <w:rPr>
            <w:rStyle w:val="a7"/>
            <w:rFonts w:cs="Times New Roman"/>
            <w:szCs w:val="24"/>
          </w:rPr>
          <w:t>http://www.migbg.org./</w:t>
        </w:r>
      </w:hyperlink>
      <w:r w:rsidRPr="008772E7">
        <w:rPr>
          <w:rFonts w:cs="Times New Roman"/>
          <w:szCs w:val="24"/>
        </w:rPr>
        <w:t>;</w:t>
      </w:r>
    </w:p>
    <w:p w14:paraId="72BDAF80" w14:textId="119FF5A5" w:rsidR="00552723" w:rsidRDefault="00552723" w:rsidP="00552723">
      <w:pPr>
        <w:spacing w:after="0" w:line="276" w:lineRule="auto"/>
        <w:jc w:val="both"/>
        <w:rPr>
          <w:rStyle w:val="a7"/>
          <w:rFonts w:cs="Times New Roman"/>
          <w:szCs w:val="24"/>
        </w:rPr>
      </w:pPr>
      <w:r w:rsidRPr="008772E7">
        <w:rPr>
          <w:rFonts w:cs="Times New Roman"/>
          <w:szCs w:val="24"/>
        </w:rPr>
        <w:t xml:space="preserve">- на сайта на Информационната система за управление и наблюдение на средствата от Европейските структурни и инвестиционни фондове </w:t>
      </w:r>
      <w:r w:rsidRPr="008772E7">
        <w:rPr>
          <w:rFonts w:cs="Times New Roman"/>
          <w:szCs w:val="24"/>
          <w:lang w:val="en-US"/>
        </w:rPr>
        <w:t>(</w:t>
      </w:r>
      <w:r w:rsidRPr="008772E7">
        <w:rPr>
          <w:rFonts w:cs="Times New Roman"/>
          <w:szCs w:val="24"/>
        </w:rPr>
        <w:t>ИСУН 2020</w:t>
      </w:r>
      <w:r w:rsidRPr="008772E7">
        <w:rPr>
          <w:rFonts w:cs="Times New Roman"/>
          <w:szCs w:val="24"/>
          <w:lang w:val="en-US"/>
        </w:rPr>
        <w:t>)</w:t>
      </w:r>
      <w:r w:rsidRPr="008772E7">
        <w:rPr>
          <w:rFonts w:cs="Times New Roman"/>
          <w:szCs w:val="24"/>
        </w:rPr>
        <w:t xml:space="preserve"> в модула за електронно кандидатстване: </w:t>
      </w:r>
      <w:hyperlink r:id="rId12" w:history="1">
        <w:r w:rsidRPr="008772E7">
          <w:rPr>
            <w:rStyle w:val="a7"/>
            <w:rFonts w:cs="Times New Roman"/>
            <w:szCs w:val="24"/>
          </w:rPr>
          <w:t>http://eumis2020.government.bg/</w:t>
        </w:r>
      </w:hyperlink>
    </w:p>
    <w:p w14:paraId="409F71B7" w14:textId="77777777" w:rsidR="007726CC" w:rsidRDefault="007726CC" w:rsidP="00552723">
      <w:pPr>
        <w:spacing w:after="0" w:line="276" w:lineRule="auto"/>
        <w:jc w:val="both"/>
        <w:rPr>
          <w:rStyle w:val="a7"/>
          <w:rFonts w:cs="Times New Roman"/>
          <w:szCs w:val="24"/>
        </w:rPr>
      </w:pPr>
    </w:p>
    <w:p w14:paraId="7202AAEC" w14:textId="77777777" w:rsidR="00552723" w:rsidRPr="008772E7" w:rsidRDefault="00552723" w:rsidP="00552723">
      <w:pPr>
        <w:spacing w:after="0" w:line="276" w:lineRule="auto"/>
        <w:jc w:val="both"/>
        <w:rPr>
          <w:rFonts w:cs="Times New Roman"/>
          <w:szCs w:val="24"/>
          <w:lang w:val="en-US"/>
        </w:rPr>
      </w:pPr>
    </w:p>
    <w:p w14:paraId="6B640F73" w14:textId="77777777" w:rsidR="00552723" w:rsidRPr="009E539D" w:rsidRDefault="00552723" w:rsidP="007726CC">
      <w:pPr>
        <w:shd w:val="clear" w:color="auto" w:fill="FEFEFE"/>
        <w:spacing w:after="120" w:line="276" w:lineRule="auto"/>
        <w:rPr>
          <w:rFonts w:cs="Times New Roman"/>
          <w:b/>
          <w:color w:val="2F5496" w:themeColor="accent5" w:themeShade="BF"/>
          <w:szCs w:val="24"/>
          <w:lang w:eastAsia="bg-BG"/>
        </w:rPr>
      </w:pPr>
      <w:r w:rsidRPr="009E539D">
        <w:rPr>
          <w:rFonts w:cs="Times New Roman"/>
          <w:b/>
          <w:color w:val="2F5496" w:themeColor="accent5" w:themeShade="BF"/>
          <w:szCs w:val="24"/>
          <w:lang w:eastAsia="bg-BG"/>
        </w:rPr>
        <w:t>10. НАЧИН ЗА ПОДАВАНЕ НА ПРОЕКТНИ ПРЕДЛОЖЕНИЯ:</w:t>
      </w:r>
    </w:p>
    <w:p w14:paraId="78B1A862" w14:textId="77777777" w:rsidR="00552723" w:rsidRPr="008772E7" w:rsidRDefault="00552723" w:rsidP="00552723">
      <w:pPr>
        <w:spacing w:after="0" w:line="276" w:lineRule="auto"/>
        <w:jc w:val="both"/>
        <w:rPr>
          <w:rFonts w:cs="Times New Roman"/>
          <w:szCs w:val="24"/>
          <w:lang w:val="en-US"/>
        </w:rPr>
      </w:pPr>
      <w:r w:rsidRPr="008772E7">
        <w:rPr>
          <w:rFonts w:cs="Times New Roman"/>
          <w:szCs w:val="24"/>
        </w:rPr>
        <w:t xml:space="preserve">Подаването на проектно предложение по настоящата процедура се извършва по изцяло електронен път чрез </w:t>
      </w:r>
      <w:r w:rsidRPr="008772E7">
        <w:rPr>
          <w:rFonts w:cs="Times New Roman"/>
          <w:b/>
          <w:bCs/>
          <w:szCs w:val="24"/>
        </w:rPr>
        <w:t>Информационната система за управление и наблюдение на Структурните инструменти на ЕС в България (ИСУН 2020) </w:t>
      </w:r>
      <w:r w:rsidRPr="008772E7">
        <w:rPr>
          <w:rFonts w:cs="Times New Roman"/>
          <w:szCs w:val="24"/>
        </w:rPr>
        <w:t xml:space="preserve">в модула за електронно кандидатстване: </w:t>
      </w:r>
      <w:hyperlink r:id="rId13" w:history="1">
        <w:r w:rsidRPr="008772E7">
          <w:rPr>
            <w:rStyle w:val="a7"/>
            <w:rFonts w:cs="Times New Roman"/>
            <w:szCs w:val="24"/>
          </w:rPr>
          <w:t>http://eumis2020.government.bg/</w:t>
        </w:r>
      </w:hyperlink>
    </w:p>
    <w:p w14:paraId="5295B04F" w14:textId="77777777" w:rsidR="009A3ED8" w:rsidRDefault="009A3ED8">
      <w:pPr>
        <w:rPr>
          <w:lang w:val="en-US"/>
        </w:rPr>
      </w:pPr>
    </w:p>
    <w:p w14:paraId="5399B884" w14:textId="77777777" w:rsidR="0056493E" w:rsidRDefault="0056493E">
      <w:pPr>
        <w:rPr>
          <w:lang w:val="en-US"/>
        </w:rPr>
      </w:pPr>
    </w:p>
    <w:p w14:paraId="35F3D83D" w14:textId="77777777" w:rsidR="0056493E" w:rsidRPr="009078AD" w:rsidRDefault="0056493E">
      <w:pPr>
        <w:rPr>
          <w:lang w:val="en-US"/>
        </w:rPr>
      </w:pPr>
    </w:p>
    <w:sectPr w:rsidR="0056493E" w:rsidRPr="009078AD" w:rsidSect="006D40C0">
      <w:headerReference w:type="default" r:id="rId14"/>
      <w:footerReference w:type="default" r:id="rId15"/>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9C64" w14:textId="77777777" w:rsidR="00D94290" w:rsidRDefault="00D94290" w:rsidP="00617FB6">
      <w:pPr>
        <w:spacing w:after="0" w:line="240" w:lineRule="auto"/>
      </w:pPr>
      <w:r>
        <w:separator/>
      </w:r>
    </w:p>
  </w:endnote>
  <w:endnote w:type="continuationSeparator" w:id="0">
    <w:p w14:paraId="4626760D" w14:textId="77777777" w:rsidR="00D94290" w:rsidRDefault="00D94290" w:rsidP="0061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64E1" w14:textId="77777777" w:rsidR="00946B8A" w:rsidRPr="00946B8A" w:rsidRDefault="00946B8A" w:rsidP="00946B8A">
    <w:pPr>
      <w:pStyle w:val="a5"/>
      <w:jc w:val="center"/>
      <w:rPr>
        <w:sz w:val="20"/>
        <w:szCs w:val="20"/>
        <w:lang w:val="ru-RU"/>
      </w:rPr>
    </w:pPr>
    <w:r w:rsidRPr="00946B8A">
      <w:rPr>
        <w:sz w:val="20"/>
        <w:szCs w:val="20"/>
        <w:lang w:val="ru-RU"/>
      </w:rPr>
      <w:t xml:space="preserve">------------------------------------------------------------- </w:t>
    </w:r>
    <w:r w:rsidRPr="00946B8A">
      <w:rPr>
        <w:sz w:val="20"/>
        <w:szCs w:val="20"/>
        <w:lang w:val="en-US"/>
      </w:rPr>
      <w:t>www</w:t>
    </w:r>
    <w:r w:rsidRPr="00946B8A">
      <w:rPr>
        <w:sz w:val="20"/>
        <w:szCs w:val="20"/>
        <w:lang w:val="ru-RU"/>
      </w:rPr>
      <w:t>.</w:t>
    </w:r>
    <w:proofErr w:type="spellStart"/>
    <w:r w:rsidRPr="00946B8A">
      <w:rPr>
        <w:sz w:val="20"/>
        <w:szCs w:val="20"/>
        <w:lang w:val="en-US"/>
      </w:rPr>
      <w:t>eufunds</w:t>
    </w:r>
    <w:proofErr w:type="spellEnd"/>
    <w:r w:rsidRPr="00946B8A">
      <w:rPr>
        <w:sz w:val="20"/>
        <w:szCs w:val="20"/>
        <w:lang w:val="ru-RU"/>
      </w:rPr>
      <w:t>.</w:t>
    </w:r>
    <w:proofErr w:type="spellStart"/>
    <w:r w:rsidRPr="00946B8A">
      <w:rPr>
        <w:sz w:val="20"/>
        <w:szCs w:val="20"/>
        <w:lang w:val="en-US"/>
      </w:rPr>
      <w:t>bg</w:t>
    </w:r>
    <w:proofErr w:type="spellEnd"/>
    <w:r w:rsidRPr="00946B8A">
      <w:rPr>
        <w:sz w:val="20"/>
        <w:szCs w:val="20"/>
        <w:lang w:val="ru-RU"/>
      </w:rPr>
      <w:t xml:space="preserve"> -------------------------------------------------------------</w:t>
    </w:r>
  </w:p>
  <w:p w14:paraId="2FAFBDB7" w14:textId="77777777" w:rsidR="00946B8A" w:rsidRPr="00946B8A" w:rsidRDefault="00946B8A" w:rsidP="00946B8A">
    <w:pPr>
      <w:pStyle w:val="a5"/>
      <w:jc w:val="center"/>
      <w:rPr>
        <w:sz w:val="20"/>
        <w:szCs w:val="20"/>
      </w:rPr>
    </w:pPr>
    <w:r w:rsidRPr="00946B8A">
      <w:rPr>
        <w:b/>
        <w:bCs/>
        <w:sz w:val="20"/>
        <w:szCs w:val="20"/>
      </w:rPr>
      <w:t>Проект:</w:t>
    </w:r>
    <w:r w:rsidRPr="00946B8A">
      <w:rPr>
        <w:sz w:val="20"/>
        <w:szCs w:val="20"/>
      </w:rPr>
      <w:t xml:space="preserve"> „Изпълнение на Стратегия за ВОМР”</w:t>
    </w:r>
    <w:r w:rsidRPr="00946B8A">
      <w:rPr>
        <w:sz w:val="20"/>
        <w:szCs w:val="20"/>
        <w:lang w:val="ru-RU"/>
      </w:rPr>
      <w:t xml:space="preserve">, № 19-19-2-01-12/31.05.2016 г. </w:t>
    </w:r>
    <w:r w:rsidRPr="00946B8A">
      <w:rPr>
        <w:sz w:val="20"/>
        <w:szCs w:val="20"/>
      </w:rPr>
      <w:t>Споразумение № РД 50-150/21.10.2016г., СДРУЖЕНИЕ „МЕСТНА ИНИЦИАТИВНА ГРУПА НОВИ ПАЗАР-КАСПИЧАН”</w:t>
    </w:r>
  </w:p>
  <w:p w14:paraId="040DF53E" w14:textId="261FAD01" w:rsidR="00946B8A" w:rsidRPr="00946B8A" w:rsidRDefault="00946B8A" w:rsidP="00946B8A">
    <w:pPr>
      <w:pStyle w:val="a5"/>
      <w:jc w:val="center"/>
      <w:rPr>
        <w:sz w:val="20"/>
        <w:szCs w:val="20"/>
      </w:rPr>
    </w:pPr>
    <w:proofErr w:type="spellStart"/>
    <w:r w:rsidRPr="00946B8A">
      <w:rPr>
        <w:sz w:val="20"/>
        <w:szCs w:val="20"/>
      </w:rPr>
      <w:t>гр.Нови</w:t>
    </w:r>
    <w:proofErr w:type="spellEnd"/>
    <w:r w:rsidRPr="00946B8A">
      <w:rPr>
        <w:sz w:val="20"/>
        <w:szCs w:val="20"/>
      </w:rPr>
      <w:t xml:space="preserve"> пазар, 9900, </w:t>
    </w:r>
    <w:proofErr w:type="spellStart"/>
    <w:r w:rsidRPr="00946B8A">
      <w:rPr>
        <w:sz w:val="20"/>
        <w:szCs w:val="20"/>
      </w:rPr>
      <w:t>ул</w:t>
    </w:r>
    <w:proofErr w:type="spellEnd"/>
    <w:r w:rsidRPr="00946B8A">
      <w:rPr>
        <w:sz w:val="20"/>
        <w:szCs w:val="20"/>
      </w:rPr>
      <w:t xml:space="preserve">.”Оборище” </w:t>
    </w:r>
    <w:r w:rsidR="00592F2C">
      <w:rPr>
        <w:sz w:val="20"/>
        <w:szCs w:val="20"/>
        <w:lang w:val="en-US"/>
      </w:rPr>
      <w:t>5</w:t>
    </w:r>
    <w:r w:rsidRPr="00946B8A">
      <w:rPr>
        <w:sz w:val="20"/>
        <w:szCs w:val="20"/>
      </w:rPr>
      <w:t xml:space="preserve">, </w:t>
    </w:r>
    <w:r w:rsidR="00592F2C">
      <w:rPr>
        <w:sz w:val="20"/>
        <w:szCs w:val="20"/>
      </w:rPr>
      <w:t xml:space="preserve">ет. 2, </w:t>
    </w:r>
    <w:r w:rsidRPr="00946B8A">
      <w:rPr>
        <w:sz w:val="20"/>
        <w:szCs w:val="20"/>
        <w:lang w:val="en-US"/>
      </w:rPr>
      <w:t>e</w:t>
    </w:r>
    <w:r w:rsidRPr="00946B8A">
      <w:rPr>
        <w:sz w:val="20"/>
        <w:szCs w:val="20"/>
        <w:lang w:val="ru-RU"/>
      </w:rPr>
      <w:t>-</w:t>
    </w:r>
    <w:r w:rsidRPr="00946B8A">
      <w:rPr>
        <w:sz w:val="20"/>
        <w:szCs w:val="20"/>
        <w:lang w:val="en-US"/>
      </w:rPr>
      <w:t>mail</w:t>
    </w:r>
    <w:r w:rsidRPr="00946B8A">
      <w:rPr>
        <w:sz w:val="20"/>
        <w:szCs w:val="20"/>
        <w:lang w:val="ru-RU"/>
      </w:rPr>
      <w:t xml:space="preserve">: </w:t>
    </w:r>
    <w:hyperlink r:id="rId1" w:history="1">
      <w:r w:rsidRPr="00946B8A">
        <w:rPr>
          <w:rStyle w:val="a7"/>
          <w:sz w:val="20"/>
          <w:szCs w:val="20"/>
        </w:rPr>
        <w:t>mignpk</w:t>
      </w:r>
      <w:r w:rsidRPr="00946B8A">
        <w:rPr>
          <w:rStyle w:val="a7"/>
          <w:sz w:val="20"/>
          <w:szCs w:val="20"/>
          <w:lang w:val="ru-RU"/>
        </w:rPr>
        <w:t>@</w:t>
      </w:r>
      <w:r w:rsidRPr="00946B8A">
        <w:rPr>
          <w:rStyle w:val="a7"/>
          <w:sz w:val="20"/>
          <w:szCs w:val="20"/>
        </w:rPr>
        <w:t>abv</w:t>
      </w:r>
      <w:r w:rsidRPr="00946B8A">
        <w:rPr>
          <w:rStyle w:val="a7"/>
          <w:sz w:val="20"/>
          <w:szCs w:val="20"/>
          <w:lang w:val="ru-RU"/>
        </w:rPr>
        <w:t>.</w:t>
      </w:r>
      <w:r w:rsidRPr="00946B8A">
        <w:rPr>
          <w:rStyle w:val="a7"/>
          <w:sz w:val="20"/>
          <w:szCs w:val="20"/>
        </w:rPr>
        <w:t>bg</w:t>
      </w:r>
    </w:hyperlink>
    <w:r w:rsidRPr="00946B8A">
      <w:rPr>
        <w:sz w:val="20"/>
        <w:szCs w:val="20"/>
        <w:lang w:val="ru-RU"/>
      </w:rPr>
      <w:t xml:space="preserve">, </w:t>
    </w:r>
    <w:r w:rsidRPr="00946B8A">
      <w:rPr>
        <w:sz w:val="20"/>
        <w:szCs w:val="20"/>
        <w:lang w:val="en-US"/>
      </w:rPr>
      <w:t>www</w:t>
    </w:r>
    <w:r w:rsidRPr="00946B8A">
      <w:rPr>
        <w:sz w:val="20"/>
        <w:szCs w:val="20"/>
        <w:lang w:val="ru-RU"/>
      </w:rPr>
      <w:t>.</w:t>
    </w:r>
    <w:r w:rsidRPr="00946B8A">
      <w:rPr>
        <w:sz w:val="20"/>
        <w:szCs w:val="20"/>
        <w:lang w:val="en-US"/>
      </w:rPr>
      <w:t>migbg</w:t>
    </w:r>
    <w:r w:rsidRPr="00946B8A">
      <w:rPr>
        <w:sz w:val="20"/>
        <w:szCs w:val="20"/>
        <w:lang w:val="ru-RU"/>
      </w:rPr>
      <w:t>.</w:t>
    </w:r>
    <w:r w:rsidRPr="00946B8A">
      <w:rPr>
        <w:sz w:val="20"/>
        <w:szCs w:val="20"/>
        <w:lang w:val="en-US"/>
      </w:rPr>
      <w:t>org</w:t>
    </w:r>
  </w:p>
  <w:p w14:paraId="2686043F" w14:textId="77777777" w:rsidR="00946B8A" w:rsidRPr="00946B8A" w:rsidRDefault="00946B8A" w:rsidP="00946B8A">
    <w:pPr>
      <w:pStyle w:val="a5"/>
      <w:jc w:val="center"/>
      <w:rPr>
        <w:sz w:val="20"/>
        <w:szCs w:val="20"/>
      </w:rPr>
    </w:pPr>
  </w:p>
  <w:p w14:paraId="7E5DAB9E" w14:textId="77777777" w:rsidR="00617FB6" w:rsidRPr="00946B8A" w:rsidRDefault="00617FB6" w:rsidP="00946B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EC47" w14:textId="77777777" w:rsidR="00D94290" w:rsidRDefault="00D94290" w:rsidP="00617FB6">
      <w:pPr>
        <w:spacing w:after="0" w:line="240" w:lineRule="auto"/>
      </w:pPr>
      <w:r>
        <w:separator/>
      </w:r>
    </w:p>
  </w:footnote>
  <w:footnote w:type="continuationSeparator" w:id="0">
    <w:p w14:paraId="54CA82EB" w14:textId="77777777" w:rsidR="00D94290" w:rsidRDefault="00D94290" w:rsidP="00617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4AD3" w14:textId="77777777" w:rsidR="00946B8A" w:rsidRDefault="00946B8A" w:rsidP="00946B8A">
    <w:pPr>
      <w:pStyle w:val="a3"/>
      <w:rPr>
        <w:noProof/>
      </w:rPr>
    </w:pPr>
    <w:r>
      <w:rPr>
        <w:noProof/>
        <w:lang w:eastAsia="bg-BG"/>
      </w:rPr>
      <w:drawing>
        <wp:inline distT="0" distB="0" distL="0" distR="0" wp14:anchorId="2D504166" wp14:editId="7AE9BD58">
          <wp:extent cx="876300" cy="587410"/>
          <wp:effectExtent l="19050" t="0" r="0" b="0"/>
          <wp:docPr id="32"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1"/>
                  <a:srcRect/>
                  <a:stretch>
                    <a:fillRect/>
                  </a:stretch>
                </pic:blipFill>
                <pic:spPr bwMode="auto">
                  <a:xfrm>
                    <a:off x="0" y="0"/>
                    <a:ext cx="876596" cy="587608"/>
                  </a:xfrm>
                  <a:prstGeom prst="rect">
                    <a:avLst/>
                  </a:prstGeom>
                  <a:noFill/>
                  <a:ln w="9525">
                    <a:noFill/>
                    <a:miter lim="800000"/>
                    <a:headEnd/>
                    <a:tailEnd/>
                  </a:ln>
                </pic:spPr>
              </pic:pic>
            </a:graphicData>
          </a:graphic>
        </wp:inline>
      </w:drawing>
    </w:r>
    <w:r>
      <w:rPr>
        <w:noProof/>
      </w:rPr>
      <w:t xml:space="preserve">       </w:t>
    </w:r>
    <w:r>
      <w:rPr>
        <w:noProof/>
        <w:lang w:eastAsia="bg-BG"/>
      </w:rPr>
      <w:drawing>
        <wp:inline distT="0" distB="0" distL="0" distR="0" wp14:anchorId="7411CA42" wp14:editId="69893864">
          <wp:extent cx="628650" cy="590550"/>
          <wp:effectExtent l="19050" t="0" r="0" b="0"/>
          <wp:docPr id="33"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2"/>
                  <a:srcRect/>
                  <a:stretch>
                    <a:fillRect/>
                  </a:stretch>
                </pic:blipFill>
                <pic:spPr bwMode="auto">
                  <a:xfrm>
                    <a:off x="0" y="0"/>
                    <a:ext cx="628650" cy="590550"/>
                  </a:xfrm>
                  <a:prstGeom prst="rect">
                    <a:avLst/>
                  </a:prstGeom>
                  <a:noFill/>
                  <a:ln w="9525">
                    <a:noFill/>
                    <a:miter lim="800000"/>
                    <a:headEnd/>
                    <a:tailEnd/>
                  </a:ln>
                </pic:spPr>
              </pic:pic>
            </a:graphicData>
          </a:graphic>
        </wp:inline>
      </w:drawing>
    </w:r>
    <w:r>
      <w:rPr>
        <w:noProof/>
      </w:rPr>
      <w:t xml:space="preserve">      </w:t>
    </w:r>
    <w:r>
      <w:rPr>
        <w:noProof/>
        <w:lang w:eastAsia="bg-BG"/>
      </w:rPr>
      <w:drawing>
        <wp:inline distT="0" distB="0" distL="0" distR="0" wp14:anchorId="50453C41" wp14:editId="0B2560FC">
          <wp:extent cx="1333500" cy="581025"/>
          <wp:effectExtent l="19050" t="0" r="0" b="0"/>
          <wp:docPr id="34"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pic:cNvPicPr>
                    <a:picLocks noChangeAspect="1" noChangeArrowheads="1"/>
                  </pic:cNvPicPr>
                </pic:nvPicPr>
                <pic:blipFill>
                  <a:blip r:embed="rId3"/>
                  <a:srcRect/>
                  <a:stretch>
                    <a:fillRect/>
                  </a:stretch>
                </pic:blipFill>
                <pic:spPr bwMode="auto">
                  <a:xfrm>
                    <a:off x="0" y="0"/>
                    <a:ext cx="1333500" cy="581025"/>
                  </a:xfrm>
                  <a:prstGeom prst="rect">
                    <a:avLst/>
                  </a:prstGeom>
                  <a:noFill/>
                  <a:ln w="9525">
                    <a:noFill/>
                    <a:miter lim="800000"/>
                    <a:headEnd/>
                    <a:tailEnd/>
                  </a:ln>
                </pic:spPr>
              </pic:pic>
            </a:graphicData>
          </a:graphic>
        </wp:inline>
      </w:drawing>
    </w:r>
    <w:r>
      <w:rPr>
        <w:noProof/>
      </w:rPr>
      <w:t xml:space="preserve">     </w:t>
    </w:r>
    <w:r>
      <w:rPr>
        <w:noProof/>
        <w:lang w:eastAsia="bg-BG"/>
      </w:rPr>
      <w:drawing>
        <wp:inline distT="0" distB="0" distL="0" distR="0" wp14:anchorId="34064F15" wp14:editId="7114A08F">
          <wp:extent cx="1400175" cy="590550"/>
          <wp:effectExtent l="19050" t="0" r="9525" b="0"/>
          <wp:docPr id="35"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srcRect/>
                  <a:stretch>
                    <a:fillRect/>
                  </a:stretch>
                </pic:blipFill>
                <pic:spPr bwMode="auto">
                  <a:xfrm>
                    <a:off x="0" y="0"/>
                    <a:ext cx="1400175" cy="590550"/>
                  </a:xfrm>
                  <a:prstGeom prst="rect">
                    <a:avLst/>
                  </a:prstGeom>
                  <a:noFill/>
                  <a:ln w="9525">
                    <a:noFill/>
                    <a:miter lim="800000"/>
                    <a:headEnd/>
                    <a:tailEnd/>
                  </a:ln>
                </pic:spPr>
              </pic:pic>
            </a:graphicData>
          </a:graphic>
        </wp:inline>
      </w:drawing>
    </w:r>
    <w:r>
      <w:rPr>
        <w:noProof/>
      </w:rPr>
      <w:t xml:space="preserve">      </w:t>
    </w:r>
    <w:r>
      <w:rPr>
        <w:noProof/>
        <w:lang w:eastAsia="bg-BG"/>
      </w:rPr>
      <w:drawing>
        <wp:inline distT="0" distB="0" distL="0" distR="0" wp14:anchorId="3F60762D" wp14:editId="72A2694C">
          <wp:extent cx="809625" cy="542925"/>
          <wp:effectExtent l="19050" t="0" r="9525" b="0"/>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809625" cy="542925"/>
                  </a:xfrm>
                  <a:prstGeom prst="rect">
                    <a:avLst/>
                  </a:prstGeom>
                  <a:noFill/>
                  <a:ln w="9525">
                    <a:noFill/>
                    <a:miter lim="800000"/>
                    <a:headEnd/>
                    <a:tailEnd/>
                  </a:ln>
                </pic:spPr>
              </pic:pic>
            </a:graphicData>
          </a:graphic>
        </wp:inline>
      </w:drawing>
    </w:r>
  </w:p>
  <w:p w14:paraId="78954369" w14:textId="77777777" w:rsidR="00946B8A" w:rsidRPr="00F713D6" w:rsidRDefault="00F713D6" w:rsidP="00946B8A">
    <w:pPr>
      <w:pStyle w:val="a3"/>
      <w:rPr>
        <w:noProof/>
        <w:sz w:val="14"/>
        <w:szCs w:val="14"/>
      </w:rPr>
    </w:pPr>
    <w:r>
      <w:rPr>
        <w:noProof/>
        <w:sz w:val="16"/>
        <w:szCs w:val="16"/>
      </w:rPr>
      <w:t xml:space="preserve"> </w:t>
    </w:r>
    <w:r w:rsidR="00946B8A" w:rsidRPr="00F713D6">
      <w:rPr>
        <w:noProof/>
        <w:sz w:val="14"/>
        <w:szCs w:val="14"/>
      </w:rPr>
      <w:t>ЕВРОПЕЙСКИ СЪЮЗ</w:t>
    </w:r>
  </w:p>
  <w:p w14:paraId="11480D48" w14:textId="77777777" w:rsidR="00946B8A" w:rsidRPr="00861B7F" w:rsidRDefault="00946B8A" w:rsidP="00F713D6">
    <w:pPr>
      <w:tabs>
        <w:tab w:val="left" w:pos="-720"/>
        <w:tab w:val="left" w:pos="567"/>
      </w:tabs>
      <w:suppressAutoHyphens/>
      <w:spacing w:after="0"/>
      <w:ind w:left="-180"/>
      <w:rPr>
        <w:rFonts w:ascii="Arial" w:hAnsi="Arial" w:cs="Arial"/>
        <w:b/>
        <w:snapToGrid w:val="0"/>
        <w:sz w:val="16"/>
        <w:szCs w:val="16"/>
        <w:lang w:val="ru-RU"/>
      </w:rPr>
    </w:pPr>
    <w:r>
      <w:rPr>
        <w:rFonts w:ascii="Arial" w:hAnsi="Arial" w:cs="Arial"/>
        <w:b/>
        <w:snapToGrid w:val="0"/>
        <w:sz w:val="16"/>
        <w:szCs w:val="16"/>
        <w:lang w:val="ru-RU"/>
      </w:rPr>
      <w:t xml:space="preserve">    ЕВРОПЕЙСКИ</w:t>
    </w:r>
    <w:r w:rsidRPr="00861B7F">
      <w:rPr>
        <w:rFonts w:ascii="Arial" w:hAnsi="Arial" w:cs="Arial"/>
        <w:b/>
        <w:snapToGrid w:val="0"/>
        <w:sz w:val="16"/>
        <w:szCs w:val="16"/>
        <w:lang w:val="ru-RU"/>
      </w:rPr>
      <w:t xml:space="preserve"> ЗЕМЕДЕЛСКИ ФОНД ЗА РАЗВИТИЕ НА СЕЛСКИТЕ РАЙОНИ-ЕВРОПА ИНВЕСТИРА В СЕЛСКИТЕ РАЙОНИ</w:t>
    </w:r>
  </w:p>
  <w:p w14:paraId="143239A2" w14:textId="77777777" w:rsidR="00946B8A" w:rsidRPr="005C344A" w:rsidRDefault="00946B8A" w:rsidP="00F713D6">
    <w:pPr>
      <w:pStyle w:val="a3"/>
      <w:jc w:val="center"/>
      <w:rPr>
        <w:rFonts w:ascii="Arial" w:hAnsi="Arial" w:cs="Arial"/>
        <w:b/>
        <w:sz w:val="16"/>
        <w:szCs w:val="16"/>
        <w:lang w:val="ru-RU"/>
      </w:rPr>
    </w:pPr>
    <w:r w:rsidRPr="00861CD1">
      <w:rPr>
        <w:rFonts w:ascii="Arial" w:hAnsi="Arial" w:cs="Arial"/>
        <w:b/>
        <w:sz w:val="16"/>
        <w:szCs w:val="16"/>
      </w:rPr>
      <w:t>ПРОГРАМА ЗА РАЗВИТИЕ НА СЕЛСКИТЕ РАЙОНИ 2014-2020г.</w:t>
    </w:r>
  </w:p>
  <w:p w14:paraId="65D9B159" w14:textId="77777777" w:rsidR="00946B8A" w:rsidRPr="00946B8A" w:rsidRDefault="00946B8A">
    <w:pPr>
      <w:pStyle w:val="a3"/>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455"/>
    <w:multiLevelType w:val="hybridMultilevel"/>
    <w:tmpl w:val="00BC95E0"/>
    <w:lvl w:ilvl="0" w:tplc="DDAA6624">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00F15041"/>
    <w:multiLevelType w:val="hybridMultilevel"/>
    <w:tmpl w:val="2EA4D4FC"/>
    <w:lvl w:ilvl="0" w:tplc="76841F42">
      <w:start w:val="1"/>
      <w:numFmt w:val="bullet"/>
      <w:lvlText w:val=""/>
      <w:lvlJc w:val="left"/>
      <w:pPr>
        <w:tabs>
          <w:tab w:val="num" w:pos="720"/>
        </w:tabs>
        <w:ind w:left="720" w:hanging="360"/>
      </w:pPr>
      <w:rPr>
        <w:rFonts w:ascii="Symbol" w:hAnsi="Symbol" w:hint="default"/>
      </w:rPr>
    </w:lvl>
    <w:lvl w:ilvl="1" w:tplc="81B68B3C">
      <w:start w:val="1"/>
      <w:numFmt w:val="bullet"/>
      <w:lvlText w:val=""/>
      <w:lvlJc w:val="left"/>
      <w:pPr>
        <w:tabs>
          <w:tab w:val="num" w:pos="1440"/>
        </w:tabs>
        <w:ind w:left="1440" w:hanging="360"/>
      </w:pPr>
      <w:rPr>
        <w:rFonts w:ascii="Symbol" w:hAnsi="Symbol" w:hint="default"/>
      </w:rPr>
    </w:lvl>
    <w:lvl w:ilvl="2" w:tplc="164CA580" w:tentative="1">
      <w:start w:val="1"/>
      <w:numFmt w:val="bullet"/>
      <w:lvlText w:val=""/>
      <w:lvlJc w:val="left"/>
      <w:pPr>
        <w:tabs>
          <w:tab w:val="num" w:pos="2160"/>
        </w:tabs>
        <w:ind w:left="2160" w:hanging="360"/>
      </w:pPr>
      <w:rPr>
        <w:rFonts w:ascii="Symbol" w:hAnsi="Symbol" w:hint="default"/>
      </w:rPr>
    </w:lvl>
    <w:lvl w:ilvl="3" w:tplc="B2BECD06" w:tentative="1">
      <w:start w:val="1"/>
      <w:numFmt w:val="bullet"/>
      <w:lvlText w:val=""/>
      <w:lvlJc w:val="left"/>
      <w:pPr>
        <w:tabs>
          <w:tab w:val="num" w:pos="2880"/>
        </w:tabs>
        <w:ind w:left="2880" w:hanging="360"/>
      </w:pPr>
      <w:rPr>
        <w:rFonts w:ascii="Symbol" w:hAnsi="Symbol" w:hint="default"/>
      </w:rPr>
    </w:lvl>
    <w:lvl w:ilvl="4" w:tplc="F086F148" w:tentative="1">
      <w:start w:val="1"/>
      <w:numFmt w:val="bullet"/>
      <w:lvlText w:val=""/>
      <w:lvlJc w:val="left"/>
      <w:pPr>
        <w:tabs>
          <w:tab w:val="num" w:pos="3600"/>
        </w:tabs>
        <w:ind w:left="3600" w:hanging="360"/>
      </w:pPr>
      <w:rPr>
        <w:rFonts w:ascii="Symbol" w:hAnsi="Symbol" w:hint="default"/>
      </w:rPr>
    </w:lvl>
    <w:lvl w:ilvl="5" w:tplc="F0D0F952" w:tentative="1">
      <w:start w:val="1"/>
      <w:numFmt w:val="bullet"/>
      <w:lvlText w:val=""/>
      <w:lvlJc w:val="left"/>
      <w:pPr>
        <w:tabs>
          <w:tab w:val="num" w:pos="4320"/>
        </w:tabs>
        <w:ind w:left="4320" w:hanging="360"/>
      </w:pPr>
      <w:rPr>
        <w:rFonts w:ascii="Symbol" w:hAnsi="Symbol" w:hint="default"/>
      </w:rPr>
    </w:lvl>
    <w:lvl w:ilvl="6" w:tplc="886896C0" w:tentative="1">
      <w:start w:val="1"/>
      <w:numFmt w:val="bullet"/>
      <w:lvlText w:val=""/>
      <w:lvlJc w:val="left"/>
      <w:pPr>
        <w:tabs>
          <w:tab w:val="num" w:pos="5040"/>
        </w:tabs>
        <w:ind w:left="5040" w:hanging="360"/>
      </w:pPr>
      <w:rPr>
        <w:rFonts w:ascii="Symbol" w:hAnsi="Symbol" w:hint="default"/>
      </w:rPr>
    </w:lvl>
    <w:lvl w:ilvl="7" w:tplc="D1B835B6" w:tentative="1">
      <w:start w:val="1"/>
      <w:numFmt w:val="bullet"/>
      <w:lvlText w:val=""/>
      <w:lvlJc w:val="left"/>
      <w:pPr>
        <w:tabs>
          <w:tab w:val="num" w:pos="5760"/>
        </w:tabs>
        <w:ind w:left="5760" w:hanging="360"/>
      </w:pPr>
      <w:rPr>
        <w:rFonts w:ascii="Symbol" w:hAnsi="Symbol" w:hint="default"/>
      </w:rPr>
    </w:lvl>
    <w:lvl w:ilvl="8" w:tplc="EACEA97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1E6D5A"/>
    <w:multiLevelType w:val="hybridMultilevel"/>
    <w:tmpl w:val="EA7423EC"/>
    <w:lvl w:ilvl="0" w:tplc="6EA41378">
      <w:start w:val="1"/>
      <w:numFmt w:val="bullet"/>
      <w:lvlText w:val="-"/>
      <w:lvlJc w:val="left"/>
      <w:pPr>
        <w:tabs>
          <w:tab w:val="num" w:pos="720"/>
        </w:tabs>
        <w:ind w:left="720" w:hanging="360"/>
      </w:pPr>
      <w:rPr>
        <w:rFonts w:ascii="Times New Roman" w:hAnsi="Times New Roman" w:hint="default"/>
      </w:rPr>
    </w:lvl>
    <w:lvl w:ilvl="1" w:tplc="3E640C0E" w:tentative="1">
      <w:start w:val="1"/>
      <w:numFmt w:val="bullet"/>
      <w:lvlText w:val="-"/>
      <w:lvlJc w:val="left"/>
      <w:pPr>
        <w:tabs>
          <w:tab w:val="num" w:pos="1440"/>
        </w:tabs>
        <w:ind w:left="1440" w:hanging="360"/>
      </w:pPr>
      <w:rPr>
        <w:rFonts w:ascii="Times New Roman" w:hAnsi="Times New Roman" w:hint="default"/>
      </w:rPr>
    </w:lvl>
    <w:lvl w:ilvl="2" w:tplc="D5B4DB7A">
      <w:start w:val="1"/>
      <w:numFmt w:val="bullet"/>
      <w:lvlText w:val="-"/>
      <w:lvlJc w:val="left"/>
      <w:pPr>
        <w:tabs>
          <w:tab w:val="num" w:pos="2160"/>
        </w:tabs>
        <w:ind w:left="2160" w:hanging="360"/>
      </w:pPr>
      <w:rPr>
        <w:rFonts w:ascii="Times New Roman" w:hAnsi="Times New Roman" w:hint="default"/>
      </w:rPr>
    </w:lvl>
    <w:lvl w:ilvl="3" w:tplc="850EE89C" w:tentative="1">
      <w:start w:val="1"/>
      <w:numFmt w:val="bullet"/>
      <w:lvlText w:val="-"/>
      <w:lvlJc w:val="left"/>
      <w:pPr>
        <w:tabs>
          <w:tab w:val="num" w:pos="2880"/>
        </w:tabs>
        <w:ind w:left="2880" w:hanging="360"/>
      </w:pPr>
      <w:rPr>
        <w:rFonts w:ascii="Times New Roman" w:hAnsi="Times New Roman" w:hint="default"/>
      </w:rPr>
    </w:lvl>
    <w:lvl w:ilvl="4" w:tplc="6A361C66" w:tentative="1">
      <w:start w:val="1"/>
      <w:numFmt w:val="bullet"/>
      <w:lvlText w:val="-"/>
      <w:lvlJc w:val="left"/>
      <w:pPr>
        <w:tabs>
          <w:tab w:val="num" w:pos="3600"/>
        </w:tabs>
        <w:ind w:left="3600" w:hanging="360"/>
      </w:pPr>
      <w:rPr>
        <w:rFonts w:ascii="Times New Roman" w:hAnsi="Times New Roman" w:hint="default"/>
      </w:rPr>
    </w:lvl>
    <w:lvl w:ilvl="5" w:tplc="CD9A1EA4" w:tentative="1">
      <w:start w:val="1"/>
      <w:numFmt w:val="bullet"/>
      <w:lvlText w:val="-"/>
      <w:lvlJc w:val="left"/>
      <w:pPr>
        <w:tabs>
          <w:tab w:val="num" w:pos="4320"/>
        </w:tabs>
        <w:ind w:left="4320" w:hanging="360"/>
      </w:pPr>
      <w:rPr>
        <w:rFonts w:ascii="Times New Roman" w:hAnsi="Times New Roman" w:hint="default"/>
      </w:rPr>
    </w:lvl>
    <w:lvl w:ilvl="6" w:tplc="C3EE1E38" w:tentative="1">
      <w:start w:val="1"/>
      <w:numFmt w:val="bullet"/>
      <w:lvlText w:val="-"/>
      <w:lvlJc w:val="left"/>
      <w:pPr>
        <w:tabs>
          <w:tab w:val="num" w:pos="5040"/>
        </w:tabs>
        <w:ind w:left="5040" w:hanging="360"/>
      </w:pPr>
      <w:rPr>
        <w:rFonts w:ascii="Times New Roman" w:hAnsi="Times New Roman" w:hint="default"/>
      </w:rPr>
    </w:lvl>
    <w:lvl w:ilvl="7" w:tplc="C562C228" w:tentative="1">
      <w:start w:val="1"/>
      <w:numFmt w:val="bullet"/>
      <w:lvlText w:val="-"/>
      <w:lvlJc w:val="left"/>
      <w:pPr>
        <w:tabs>
          <w:tab w:val="num" w:pos="5760"/>
        </w:tabs>
        <w:ind w:left="5760" w:hanging="360"/>
      </w:pPr>
      <w:rPr>
        <w:rFonts w:ascii="Times New Roman" w:hAnsi="Times New Roman" w:hint="default"/>
      </w:rPr>
    </w:lvl>
    <w:lvl w:ilvl="8" w:tplc="F06E66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515477"/>
    <w:multiLevelType w:val="hybridMultilevel"/>
    <w:tmpl w:val="91A8442E"/>
    <w:lvl w:ilvl="0" w:tplc="6812F4D0">
      <w:numFmt w:val="bullet"/>
      <w:lvlText w:val="-"/>
      <w:lvlJc w:val="left"/>
      <w:pPr>
        <w:ind w:left="1068" w:hanging="708"/>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8A7030"/>
    <w:multiLevelType w:val="hybridMultilevel"/>
    <w:tmpl w:val="7FA2FCAC"/>
    <w:lvl w:ilvl="0" w:tplc="0402000F">
      <w:start w:val="1"/>
      <w:numFmt w:val="decimal"/>
      <w:lvlText w:val="%1."/>
      <w:lvlJc w:val="left"/>
      <w:pPr>
        <w:ind w:left="1570" w:hanging="360"/>
      </w:pPr>
      <w:rPr>
        <w:rFonts w:cs="Times New Roman" w:hint="default"/>
      </w:rPr>
    </w:lvl>
    <w:lvl w:ilvl="1" w:tplc="04020003" w:tentative="1">
      <w:start w:val="1"/>
      <w:numFmt w:val="bullet"/>
      <w:lvlText w:val="o"/>
      <w:lvlJc w:val="left"/>
      <w:pPr>
        <w:ind w:left="2290" w:hanging="360"/>
      </w:pPr>
      <w:rPr>
        <w:rFonts w:ascii="Courier New" w:hAnsi="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5" w15:restartNumberingAfterBreak="0">
    <w:nsid w:val="19A62C08"/>
    <w:multiLevelType w:val="hybridMultilevel"/>
    <w:tmpl w:val="E5BE3DBC"/>
    <w:lvl w:ilvl="0" w:tplc="DDAA6624">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A05D16"/>
    <w:multiLevelType w:val="hybridMultilevel"/>
    <w:tmpl w:val="9D86A9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ECF2F86"/>
    <w:multiLevelType w:val="hybridMultilevel"/>
    <w:tmpl w:val="D94CF980"/>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F024670"/>
    <w:multiLevelType w:val="hybridMultilevel"/>
    <w:tmpl w:val="DE5646D0"/>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F8E3D6A"/>
    <w:multiLevelType w:val="hybridMultilevel"/>
    <w:tmpl w:val="C29C53CA"/>
    <w:lvl w:ilvl="0" w:tplc="F8BE16CC">
      <w:start w:val="1"/>
      <w:numFmt w:val="decimal"/>
      <w:lvlText w:val="%1."/>
      <w:lvlJc w:val="left"/>
      <w:pPr>
        <w:ind w:left="755" w:hanging="360"/>
      </w:pPr>
      <w:rPr>
        <w:rFonts w:hint="default"/>
      </w:rPr>
    </w:lvl>
    <w:lvl w:ilvl="1" w:tplc="04020019" w:tentative="1">
      <w:start w:val="1"/>
      <w:numFmt w:val="lowerLetter"/>
      <w:lvlText w:val="%2."/>
      <w:lvlJc w:val="left"/>
      <w:pPr>
        <w:ind w:left="1475" w:hanging="360"/>
      </w:pPr>
    </w:lvl>
    <w:lvl w:ilvl="2" w:tplc="0402001B" w:tentative="1">
      <w:start w:val="1"/>
      <w:numFmt w:val="lowerRoman"/>
      <w:lvlText w:val="%3."/>
      <w:lvlJc w:val="right"/>
      <w:pPr>
        <w:ind w:left="2195" w:hanging="180"/>
      </w:pPr>
    </w:lvl>
    <w:lvl w:ilvl="3" w:tplc="0402000F" w:tentative="1">
      <w:start w:val="1"/>
      <w:numFmt w:val="decimal"/>
      <w:lvlText w:val="%4."/>
      <w:lvlJc w:val="left"/>
      <w:pPr>
        <w:ind w:left="2915" w:hanging="360"/>
      </w:pPr>
    </w:lvl>
    <w:lvl w:ilvl="4" w:tplc="04020019" w:tentative="1">
      <w:start w:val="1"/>
      <w:numFmt w:val="lowerLetter"/>
      <w:lvlText w:val="%5."/>
      <w:lvlJc w:val="left"/>
      <w:pPr>
        <w:ind w:left="3635" w:hanging="360"/>
      </w:pPr>
    </w:lvl>
    <w:lvl w:ilvl="5" w:tplc="0402001B" w:tentative="1">
      <w:start w:val="1"/>
      <w:numFmt w:val="lowerRoman"/>
      <w:lvlText w:val="%6."/>
      <w:lvlJc w:val="right"/>
      <w:pPr>
        <w:ind w:left="4355" w:hanging="180"/>
      </w:pPr>
    </w:lvl>
    <w:lvl w:ilvl="6" w:tplc="0402000F" w:tentative="1">
      <w:start w:val="1"/>
      <w:numFmt w:val="decimal"/>
      <w:lvlText w:val="%7."/>
      <w:lvlJc w:val="left"/>
      <w:pPr>
        <w:ind w:left="5075" w:hanging="360"/>
      </w:pPr>
    </w:lvl>
    <w:lvl w:ilvl="7" w:tplc="04020019" w:tentative="1">
      <w:start w:val="1"/>
      <w:numFmt w:val="lowerLetter"/>
      <w:lvlText w:val="%8."/>
      <w:lvlJc w:val="left"/>
      <w:pPr>
        <w:ind w:left="5795" w:hanging="360"/>
      </w:pPr>
    </w:lvl>
    <w:lvl w:ilvl="8" w:tplc="0402001B" w:tentative="1">
      <w:start w:val="1"/>
      <w:numFmt w:val="lowerRoman"/>
      <w:lvlText w:val="%9."/>
      <w:lvlJc w:val="right"/>
      <w:pPr>
        <w:ind w:left="6515" w:hanging="180"/>
      </w:pPr>
    </w:lvl>
  </w:abstractNum>
  <w:abstractNum w:abstractNumId="10" w15:restartNumberingAfterBreak="0">
    <w:nsid w:val="21306B0B"/>
    <w:multiLevelType w:val="hybridMultilevel"/>
    <w:tmpl w:val="C6B49C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CCC5865"/>
    <w:multiLevelType w:val="hybridMultilevel"/>
    <w:tmpl w:val="71E4B1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F44034A"/>
    <w:multiLevelType w:val="hybridMultilevel"/>
    <w:tmpl w:val="9EBE557C"/>
    <w:lvl w:ilvl="0" w:tplc="6812F4D0">
      <w:numFmt w:val="bullet"/>
      <w:lvlText w:val="-"/>
      <w:lvlJc w:val="left"/>
      <w:pPr>
        <w:ind w:left="1635" w:hanging="708"/>
      </w:pPr>
      <w:rPr>
        <w:rFonts w:ascii="Times New Roman" w:eastAsiaTheme="minorHAnsi"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15:restartNumberingAfterBreak="0">
    <w:nsid w:val="41120BC3"/>
    <w:multiLevelType w:val="hybridMultilevel"/>
    <w:tmpl w:val="DF848A20"/>
    <w:lvl w:ilvl="0" w:tplc="56D6BA68">
      <w:start w:val="1"/>
      <w:numFmt w:val="bullet"/>
      <w:lvlText w:val="•"/>
      <w:lvlJc w:val="left"/>
      <w:pPr>
        <w:ind w:left="850" w:hanging="360"/>
      </w:pPr>
      <w:rPr>
        <w:rFonts w:ascii="Arial" w:eastAsia="Times New Roman" w:hAnsi="Arial" w:hint="default"/>
        <w:b w:val="0"/>
        <w:i w:val="0"/>
        <w:strike w:val="0"/>
        <w:dstrike w:val="0"/>
        <w:color w:val="000000"/>
        <w:sz w:val="24"/>
        <w:u w:val="none" w:color="000000"/>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11639D5"/>
    <w:multiLevelType w:val="hybridMultilevel"/>
    <w:tmpl w:val="06F8C706"/>
    <w:lvl w:ilvl="0" w:tplc="ABEE411A">
      <w:start w:val="1"/>
      <w:numFmt w:val="bullet"/>
      <w:lvlText w:val="•"/>
      <w:lvlJc w:val="left"/>
      <w:pPr>
        <w:tabs>
          <w:tab w:val="num" w:pos="720"/>
        </w:tabs>
        <w:ind w:left="720" w:hanging="360"/>
      </w:pPr>
      <w:rPr>
        <w:rFonts w:ascii="Arial" w:hAnsi="Arial" w:hint="default"/>
      </w:rPr>
    </w:lvl>
    <w:lvl w:ilvl="1" w:tplc="2EF60F58" w:tentative="1">
      <w:start w:val="1"/>
      <w:numFmt w:val="bullet"/>
      <w:lvlText w:val=""/>
      <w:lvlJc w:val="left"/>
      <w:pPr>
        <w:tabs>
          <w:tab w:val="num" w:pos="1440"/>
        </w:tabs>
        <w:ind w:left="1440" w:hanging="360"/>
      </w:pPr>
      <w:rPr>
        <w:rFonts w:ascii="Wingdings" w:hAnsi="Wingdings" w:hint="default"/>
      </w:rPr>
    </w:lvl>
    <w:lvl w:ilvl="2" w:tplc="1A0A4286" w:tentative="1">
      <w:start w:val="1"/>
      <w:numFmt w:val="bullet"/>
      <w:lvlText w:val=""/>
      <w:lvlJc w:val="left"/>
      <w:pPr>
        <w:tabs>
          <w:tab w:val="num" w:pos="2160"/>
        </w:tabs>
        <w:ind w:left="2160" w:hanging="360"/>
      </w:pPr>
      <w:rPr>
        <w:rFonts w:ascii="Wingdings" w:hAnsi="Wingdings" w:hint="default"/>
      </w:rPr>
    </w:lvl>
    <w:lvl w:ilvl="3" w:tplc="7EF048F2" w:tentative="1">
      <w:start w:val="1"/>
      <w:numFmt w:val="bullet"/>
      <w:lvlText w:val=""/>
      <w:lvlJc w:val="left"/>
      <w:pPr>
        <w:tabs>
          <w:tab w:val="num" w:pos="2880"/>
        </w:tabs>
        <w:ind w:left="2880" w:hanging="360"/>
      </w:pPr>
      <w:rPr>
        <w:rFonts w:ascii="Wingdings" w:hAnsi="Wingdings" w:hint="default"/>
      </w:rPr>
    </w:lvl>
    <w:lvl w:ilvl="4" w:tplc="020CED8C" w:tentative="1">
      <w:start w:val="1"/>
      <w:numFmt w:val="bullet"/>
      <w:lvlText w:val=""/>
      <w:lvlJc w:val="left"/>
      <w:pPr>
        <w:tabs>
          <w:tab w:val="num" w:pos="3600"/>
        </w:tabs>
        <w:ind w:left="3600" w:hanging="360"/>
      </w:pPr>
      <w:rPr>
        <w:rFonts w:ascii="Wingdings" w:hAnsi="Wingdings" w:hint="default"/>
      </w:rPr>
    </w:lvl>
    <w:lvl w:ilvl="5" w:tplc="A5F4FA14" w:tentative="1">
      <w:start w:val="1"/>
      <w:numFmt w:val="bullet"/>
      <w:lvlText w:val=""/>
      <w:lvlJc w:val="left"/>
      <w:pPr>
        <w:tabs>
          <w:tab w:val="num" w:pos="4320"/>
        </w:tabs>
        <w:ind w:left="4320" w:hanging="360"/>
      </w:pPr>
      <w:rPr>
        <w:rFonts w:ascii="Wingdings" w:hAnsi="Wingdings" w:hint="default"/>
      </w:rPr>
    </w:lvl>
    <w:lvl w:ilvl="6" w:tplc="9CA27BB6" w:tentative="1">
      <w:start w:val="1"/>
      <w:numFmt w:val="bullet"/>
      <w:lvlText w:val=""/>
      <w:lvlJc w:val="left"/>
      <w:pPr>
        <w:tabs>
          <w:tab w:val="num" w:pos="5040"/>
        </w:tabs>
        <w:ind w:left="5040" w:hanging="360"/>
      </w:pPr>
      <w:rPr>
        <w:rFonts w:ascii="Wingdings" w:hAnsi="Wingdings" w:hint="default"/>
      </w:rPr>
    </w:lvl>
    <w:lvl w:ilvl="7" w:tplc="657E08D2" w:tentative="1">
      <w:start w:val="1"/>
      <w:numFmt w:val="bullet"/>
      <w:lvlText w:val=""/>
      <w:lvlJc w:val="left"/>
      <w:pPr>
        <w:tabs>
          <w:tab w:val="num" w:pos="5760"/>
        </w:tabs>
        <w:ind w:left="5760" w:hanging="360"/>
      </w:pPr>
      <w:rPr>
        <w:rFonts w:ascii="Wingdings" w:hAnsi="Wingdings" w:hint="default"/>
      </w:rPr>
    </w:lvl>
    <w:lvl w:ilvl="8" w:tplc="C47083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9B5347"/>
    <w:multiLevelType w:val="hybridMultilevel"/>
    <w:tmpl w:val="5F40B8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C6D2764"/>
    <w:multiLevelType w:val="hybridMultilevel"/>
    <w:tmpl w:val="B1CA2D0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F60688A"/>
    <w:multiLevelType w:val="hybridMultilevel"/>
    <w:tmpl w:val="755A6D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4A91DBE"/>
    <w:multiLevelType w:val="hybridMultilevel"/>
    <w:tmpl w:val="1420604E"/>
    <w:lvl w:ilvl="0" w:tplc="4E5A27E0">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5E9163E"/>
    <w:multiLevelType w:val="hybridMultilevel"/>
    <w:tmpl w:val="46B4C582"/>
    <w:lvl w:ilvl="0" w:tplc="0402000F">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0" w15:restartNumberingAfterBreak="0">
    <w:nsid w:val="561B0802"/>
    <w:multiLevelType w:val="hybridMultilevel"/>
    <w:tmpl w:val="040C7836"/>
    <w:lvl w:ilvl="0" w:tplc="04020001">
      <w:start w:val="1"/>
      <w:numFmt w:val="bullet"/>
      <w:lvlText w:val=""/>
      <w:lvlJc w:val="left"/>
      <w:pPr>
        <w:ind w:left="1713" w:hanging="360"/>
      </w:pPr>
      <w:rPr>
        <w:rFonts w:ascii="Symbol" w:hAnsi="Symbol" w:hint="default"/>
      </w:rPr>
    </w:lvl>
    <w:lvl w:ilvl="1" w:tplc="0E7AC9F6">
      <w:start w:val="2"/>
      <w:numFmt w:val="bullet"/>
      <w:lvlText w:val="-"/>
      <w:lvlJc w:val="left"/>
      <w:pPr>
        <w:ind w:left="2433" w:hanging="360"/>
      </w:pPr>
      <w:rPr>
        <w:rFonts w:ascii="Times New Roman" w:eastAsiaTheme="minorHAnsi" w:hAnsi="Times New Roman" w:cs="Times New Roman"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21" w15:restartNumberingAfterBreak="0">
    <w:nsid w:val="5D5008A0"/>
    <w:multiLevelType w:val="hybridMultilevel"/>
    <w:tmpl w:val="0A3ABD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FDC4D03"/>
    <w:multiLevelType w:val="hybridMultilevel"/>
    <w:tmpl w:val="354030AE"/>
    <w:lvl w:ilvl="0" w:tplc="5868E344">
      <w:numFmt w:val="bullet"/>
      <w:lvlText w:val="•"/>
      <w:lvlJc w:val="left"/>
      <w:pPr>
        <w:ind w:left="1416" w:hanging="708"/>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3" w15:restartNumberingAfterBreak="0">
    <w:nsid w:val="62BA392F"/>
    <w:multiLevelType w:val="hybridMultilevel"/>
    <w:tmpl w:val="3828DD66"/>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547EC190">
      <w:numFmt w:val="bullet"/>
      <w:lvlText w:val="-"/>
      <w:lvlJc w:val="left"/>
      <w:pPr>
        <w:ind w:left="1636" w:hanging="360"/>
      </w:pPr>
      <w:rPr>
        <w:rFonts w:ascii="Times New Roman" w:eastAsiaTheme="minorHAnsi" w:hAnsi="Times New Roman" w:cs="Times New Roman"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214582"/>
    <w:multiLevelType w:val="hybridMultilevel"/>
    <w:tmpl w:val="D6143398"/>
    <w:lvl w:ilvl="0" w:tplc="8DA21076">
      <w:numFmt w:val="bullet"/>
      <w:lvlText w:val="-"/>
      <w:lvlJc w:val="left"/>
      <w:pPr>
        <w:ind w:left="1004" w:hanging="360"/>
      </w:pPr>
      <w:rPr>
        <w:rFonts w:ascii="Times New Roman" w:eastAsia="Times New Roman" w:hAnsi="Times New Roman" w:cs="Times New Roman" w:hint="default"/>
        <w:b w:val="0"/>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5" w15:restartNumberingAfterBreak="0">
    <w:nsid w:val="6C81622C"/>
    <w:multiLevelType w:val="hybridMultilevel"/>
    <w:tmpl w:val="FB221558"/>
    <w:lvl w:ilvl="0" w:tplc="E2267CE2">
      <w:start w:val="1"/>
      <w:numFmt w:val="decimal"/>
      <w:lvlText w:val="%1."/>
      <w:lvlJc w:val="left"/>
      <w:pPr>
        <w:ind w:left="85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D64556F"/>
    <w:multiLevelType w:val="hybridMultilevel"/>
    <w:tmpl w:val="143CB5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F5A3201"/>
    <w:multiLevelType w:val="hybridMultilevel"/>
    <w:tmpl w:val="4B848F62"/>
    <w:lvl w:ilvl="0" w:tplc="0402000F">
      <w:start w:val="1"/>
      <w:numFmt w:val="decimal"/>
      <w:lvlText w:val="%1."/>
      <w:lvlJc w:val="left"/>
      <w:pPr>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8" w15:restartNumberingAfterBreak="0">
    <w:nsid w:val="6F613B59"/>
    <w:multiLevelType w:val="hybridMultilevel"/>
    <w:tmpl w:val="E19CDCA8"/>
    <w:lvl w:ilvl="0" w:tplc="1CB21EF8">
      <w:start w:val="1"/>
      <w:numFmt w:val="bullet"/>
      <w:lvlText w:val="-"/>
      <w:lvlJc w:val="left"/>
      <w:pPr>
        <w:tabs>
          <w:tab w:val="num" w:pos="720"/>
        </w:tabs>
        <w:ind w:left="720" w:hanging="360"/>
      </w:pPr>
      <w:rPr>
        <w:rFonts w:ascii="Times New Roman" w:hAnsi="Times New Roman" w:hint="default"/>
      </w:rPr>
    </w:lvl>
    <w:lvl w:ilvl="1" w:tplc="75F230AA">
      <w:start w:val="1"/>
      <w:numFmt w:val="bullet"/>
      <w:lvlText w:val="-"/>
      <w:lvlJc w:val="left"/>
      <w:pPr>
        <w:tabs>
          <w:tab w:val="num" w:pos="1440"/>
        </w:tabs>
        <w:ind w:left="1440" w:hanging="360"/>
      </w:pPr>
      <w:rPr>
        <w:rFonts w:ascii="Times New Roman" w:hAnsi="Times New Roman" w:hint="default"/>
      </w:rPr>
    </w:lvl>
    <w:lvl w:ilvl="2" w:tplc="75FA7240" w:tentative="1">
      <w:start w:val="1"/>
      <w:numFmt w:val="bullet"/>
      <w:lvlText w:val="-"/>
      <w:lvlJc w:val="left"/>
      <w:pPr>
        <w:tabs>
          <w:tab w:val="num" w:pos="2160"/>
        </w:tabs>
        <w:ind w:left="2160" w:hanging="360"/>
      </w:pPr>
      <w:rPr>
        <w:rFonts w:ascii="Times New Roman" w:hAnsi="Times New Roman" w:hint="default"/>
      </w:rPr>
    </w:lvl>
    <w:lvl w:ilvl="3" w:tplc="91D2C69A" w:tentative="1">
      <w:start w:val="1"/>
      <w:numFmt w:val="bullet"/>
      <w:lvlText w:val="-"/>
      <w:lvlJc w:val="left"/>
      <w:pPr>
        <w:tabs>
          <w:tab w:val="num" w:pos="2880"/>
        </w:tabs>
        <w:ind w:left="2880" w:hanging="360"/>
      </w:pPr>
      <w:rPr>
        <w:rFonts w:ascii="Times New Roman" w:hAnsi="Times New Roman" w:hint="default"/>
      </w:rPr>
    </w:lvl>
    <w:lvl w:ilvl="4" w:tplc="B890F020" w:tentative="1">
      <w:start w:val="1"/>
      <w:numFmt w:val="bullet"/>
      <w:lvlText w:val="-"/>
      <w:lvlJc w:val="left"/>
      <w:pPr>
        <w:tabs>
          <w:tab w:val="num" w:pos="3600"/>
        </w:tabs>
        <w:ind w:left="3600" w:hanging="360"/>
      </w:pPr>
      <w:rPr>
        <w:rFonts w:ascii="Times New Roman" w:hAnsi="Times New Roman" w:hint="default"/>
      </w:rPr>
    </w:lvl>
    <w:lvl w:ilvl="5" w:tplc="A42836F8" w:tentative="1">
      <w:start w:val="1"/>
      <w:numFmt w:val="bullet"/>
      <w:lvlText w:val="-"/>
      <w:lvlJc w:val="left"/>
      <w:pPr>
        <w:tabs>
          <w:tab w:val="num" w:pos="4320"/>
        </w:tabs>
        <w:ind w:left="4320" w:hanging="360"/>
      </w:pPr>
      <w:rPr>
        <w:rFonts w:ascii="Times New Roman" w:hAnsi="Times New Roman" w:hint="default"/>
      </w:rPr>
    </w:lvl>
    <w:lvl w:ilvl="6" w:tplc="22D6F2E8" w:tentative="1">
      <w:start w:val="1"/>
      <w:numFmt w:val="bullet"/>
      <w:lvlText w:val="-"/>
      <w:lvlJc w:val="left"/>
      <w:pPr>
        <w:tabs>
          <w:tab w:val="num" w:pos="5040"/>
        </w:tabs>
        <w:ind w:left="5040" w:hanging="360"/>
      </w:pPr>
      <w:rPr>
        <w:rFonts w:ascii="Times New Roman" w:hAnsi="Times New Roman" w:hint="default"/>
      </w:rPr>
    </w:lvl>
    <w:lvl w:ilvl="7" w:tplc="30D0E23C" w:tentative="1">
      <w:start w:val="1"/>
      <w:numFmt w:val="bullet"/>
      <w:lvlText w:val="-"/>
      <w:lvlJc w:val="left"/>
      <w:pPr>
        <w:tabs>
          <w:tab w:val="num" w:pos="5760"/>
        </w:tabs>
        <w:ind w:left="5760" w:hanging="360"/>
      </w:pPr>
      <w:rPr>
        <w:rFonts w:ascii="Times New Roman" w:hAnsi="Times New Roman" w:hint="default"/>
      </w:rPr>
    </w:lvl>
    <w:lvl w:ilvl="8" w:tplc="D08867C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A65523D"/>
    <w:multiLevelType w:val="hybridMultilevel"/>
    <w:tmpl w:val="5380D5EC"/>
    <w:lvl w:ilvl="0" w:tplc="84588A68">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A7C368D"/>
    <w:multiLevelType w:val="hybridMultilevel"/>
    <w:tmpl w:val="E31E8D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E4604CB"/>
    <w:multiLevelType w:val="hybridMultilevel"/>
    <w:tmpl w:val="30AA30E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2" w15:restartNumberingAfterBreak="0">
    <w:nsid w:val="7F746515"/>
    <w:multiLevelType w:val="hybridMultilevel"/>
    <w:tmpl w:val="664CF582"/>
    <w:lvl w:ilvl="0" w:tplc="56D6BA68">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56D6BA68">
      <w:start w:val="1"/>
      <w:numFmt w:val="bullet"/>
      <w:lvlText w:val="•"/>
      <w:lvlJc w:val="left"/>
      <w:pPr>
        <w:ind w:left="1440" w:hanging="360"/>
      </w:pPr>
      <w:rPr>
        <w:rFonts w:ascii="Arial" w:eastAsia="Times New Roman" w:hAnsi="Arial" w:hint="default"/>
        <w:b w:val="0"/>
        <w:i w:val="0"/>
        <w:strike w:val="0"/>
        <w:dstrike w:val="0"/>
        <w:color w:val="000000"/>
        <w:sz w:val="24"/>
        <w:u w:val="none" w:color="000000"/>
        <w:vertAlign w:val="baseline"/>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30"/>
  </w:num>
  <w:num w:numId="4">
    <w:abstractNumId w:val="17"/>
  </w:num>
  <w:num w:numId="5">
    <w:abstractNumId w:val="25"/>
  </w:num>
  <w:num w:numId="6">
    <w:abstractNumId w:val="32"/>
  </w:num>
  <w:num w:numId="7">
    <w:abstractNumId w:val="13"/>
  </w:num>
  <w:num w:numId="8">
    <w:abstractNumId w:val="16"/>
  </w:num>
  <w:num w:numId="9">
    <w:abstractNumId w:val="14"/>
  </w:num>
  <w:num w:numId="10">
    <w:abstractNumId w:val="11"/>
  </w:num>
  <w:num w:numId="11">
    <w:abstractNumId w:val="8"/>
  </w:num>
  <w:num w:numId="12">
    <w:abstractNumId w:val="26"/>
  </w:num>
  <w:num w:numId="13">
    <w:abstractNumId w:val="24"/>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12"/>
  </w:num>
  <w:num w:numId="18">
    <w:abstractNumId w:val="0"/>
  </w:num>
  <w:num w:numId="19">
    <w:abstractNumId w:val="5"/>
  </w:num>
  <w:num w:numId="20">
    <w:abstractNumId w:val="22"/>
  </w:num>
  <w:num w:numId="21">
    <w:abstractNumId w:val="20"/>
  </w:num>
  <w:num w:numId="22">
    <w:abstractNumId w:val="21"/>
  </w:num>
  <w:num w:numId="23">
    <w:abstractNumId w:val="29"/>
  </w:num>
  <w:num w:numId="24">
    <w:abstractNumId w:val="28"/>
  </w:num>
  <w:num w:numId="25">
    <w:abstractNumId w:val="1"/>
  </w:num>
  <w:num w:numId="26">
    <w:abstractNumId w:val="31"/>
  </w:num>
  <w:num w:numId="27">
    <w:abstractNumId w:val="2"/>
  </w:num>
  <w:num w:numId="28">
    <w:abstractNumId w:val="19"/>
  </w:num>
  <w:num w:numId="29">
    <w:abstractNumId w:val="7"/>
  </w:num>
  <w:num w:numId="30">
    <w:abstractNumId w:val="18"/>
  </w:num>
  <w:num w:numId="31">
    <w:abstractNumId w:val="4"/>
  </w:num>
  <w:num w:numId="32">
    <w:abstractNumId w:val="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B6"/>
    <w:rsid w:val="000366F5"/>
    <w:rsid w:val="00044F6F"/>
    <w:rsid w:val="00050F04"/>
    <w:rsid w:val="000531BC"/>
    <w:rsid w:val="00065630"/>
    <w:rsid w:val="000744AA"/>
    <w:rsid w:val="000917B7"/>
    <w:rsid w:val="000B613D"/>
    <w:rsid w:val="000D0DD9"/>
    <w:rsid w:val="000D7F5E"/>
    <w:rsid w:val="000E05F3"/>
    <w:rsid w:val="000E438E"/>
    <w:rsid w:val="00104947"/>
    <w:rsid w:val="00120A83"/>
    <w:rsid w:val="00120BA4"/>
    <w:rsid w:val="00126EF6"/>
    <w:rsid w:val="00177F13"/>
    <w:rsid w:val="00181874"/>
    <w:rsid w:val="0018286F"/>
    <w:rsid w:val="001A3B05"/>
    <w:rsid w:val="001B2274"/>
    <w:rsid w:val="001B3F52"/>
    <w:rsid w:val="001B5A8E"/>
    <w:rsid w:val="001D2D9B"/>
    <w:rsid w:val="001D4E72"/>
    <w:rsid w:val="001E3DCB"/>
    <w:rsid w:val="001F77D2"/>
    <w:rsid w:val="002006BC"/>
    <w:rsid w:val="00245CD1"/>
    <w:rsid w:val="00252589"/>
    <w:rsid w:val="002560F0"/>
    <w:rsid w:val="00256FBA"/>
    <w:rsid w:val="00257D26"/>
    <w:rsid w:val="00265D45"/>
    <w:rsid w:val="002C1EE1"/>
    <w:rsid w:val="002C2EBB"/>
    <w:rsid w:val="002C393A"/>
    <w:rsid w:val="002C40CB"/>
    <w:rsid w:val="002D5249"/>
    <w:rsid w:val="002E4726"/>
    <w:rsid w:val="002E737E"/>
    <w:rsid w:val="002F434F"/>
    <w:rsid w:val="00300F41"/>
    <w:rsid w:val="00311A33"/>
    <w:rsid w:val="00314253"/>
    <w:rsid w:val="00323CAC"/>
    <w:rsid w:val="003442E4"/>
    <w:rsid w:val="0035203D"/>
    <w:rsid w:val="00353D1B"/>
    <w:rsid w:val="00356FA1"/>
    <w:rsid w:val="003600CC"/>
    <w:rsid w:val="0038245A"/>
    <w:rsid w:val="003D15FA"/>
    <w:rsid w:val="003F699C"/>
    <w:rsid w:val="00407EF1"/>
    <w:rsid w:val="00413006"/>
    <w:rsid w:val="00431948"/>
    <w:rsid w:val="004343EC"/>
    <w:rsid w:val="00453D30"/>
    <w:rsid w:val="00477810"/>
    <w:rsid w:val="0048142A"/>
    <w:rsid w:val="004868B7"/>
    <w:rsid w:val="004A0593"/>
    <w:rsid w:val="004A30BB"/>
    <w:rsid w:val="004B6467"/>
    <w:rsid w:val="004C47AB"/>
    <w:rsid w:val="004E786A"/>
    <w:rsid w:val="00527AE0"/>
    <w:rsid w:val="00531D1B"/>
    <w:rsid w:val="00552723"/>
    <w:rsid w:val="005562AA"/>
    <w:rsid w:val="0056493E"/>
    <w:rsid w:val="00584943"/>
    <w:rsid w:val="00592F2C"/>
    <w:rsid w:val="005B4A2A"/>
    <w:rsid w:val="005C486A"/>
    <w:rsid w:val="005D78CF"/>
    <w:rsid w:val="00617FB6"/>
    <w:rsid w:val="0067299F"/>
    <w:rsid w:val="0068075E"/>
    <w:rsid w:val="00684AC4"/>
    <w:rsid w:val="0069691C"/>
    <w:rsid w:val="006A4A2F"/>
    <w:rsid w:val="006B0E2D"/>
    <w:rsid w:val="006B17C5"/>
    <w:rsid w:val="006B7D24"/>
    <w:rsid w:val="006C2B88"/>
    <w:rsid w:val="006C6FE0"/>
    <w:rsid w:val="006D40C0"/>
    <w:rsid w:val="006D45A0"/>
    <w:rsid w:val="006F394A"/>
    <w:rsid w:val="00721FFD"/>
    <w:rsid w:val="00757CB3"/>
    <w:rsid w:val="007726CC"/>
    <w:rsid w:val="007A4B81"/>
    <w:rsid w:val="007A5405"/>
    <w:rsid w:val="007C3C18"/>
    <w:rsid w:val="007C4224"/>
    <w:rsid w:val="007D21CC"/>
    <w:rsid w:val="007F37CA"/>
    <w:rsid w:val="007F3FAE"/>
    <w:rsid w:val="00806203"/>
    <w:rsid w:val="00832EC4"/>
    <w:rsid w:val="008366AF"/>
    <w:rsid w:val="0085261D"/>
    <w:rsid w:val="0085296A"/>
    <w:rsid w:val="0085575D"/>
    <w:rsid w:val="008602B3"/>
    <w:rsid w:val="008605E2"/>
    <w:rsid w:val="00863849"/>
    <w:rsid w:val="00864369"/>
    <w:rsid w:val="00867BFB"/>
    <w:rsid w:val="00886E48"/>
    <w:rsid w:val="008A68F5"/>
    <w:rsid w:val="008C4784"/>
    <w:rsid w:val="009078AD"/>
    <w:rsid w:val="0091472B"/>
    <w:rsid w:val="009200F8"/>
    <w:rsid w:val="00920539"/>
    <w:rsid w:val="00923D72"/>
    <w:rsid w:val="00925984"/>
    <w:rsid w:val="00937511"/>
    <w:rsid w:val="00946B8A"/>
    <w:rsid w:val="009643F7"/>
    <w:rsid w:val="00966FFB"/>
    <w:rsid w:val="00986E72"/>
    <w:rsid w:val="00993696"/>
    <w:rsid w:val="00993E78"/>
    <w:rsid w:val="00994236"/>
    <w:rsid w:val="009A3ED8"/>
    <w:rsid w:val="009C3B81"/>
    <w:rsid w:val="009C50B4"/>
    <w:rsid w:val="009E539D"/>
    <w:rsid w:val="00A057BB"/>
    <w:rsid w:val="00A103B4"/>
    <w:rsid w:val="00A55D9D"/>
    <w:rsid w:val="00A67769"/>
    <w:rsid w:val="00A7370E"/>
    <w:rsid w:val="00A94D9F"/>
    <w:rsid w:val="00A97A26"/>
    <w:rsid w:val="00AA6728"/>
    <w:rsid w:val="00AA7329"/>
    <w:rsid w:val="00AC139A"/>
    <w:rsid w:val="00AC7B2E"/>
    <w:rsid w:val="00AE0C87"/>
    <w:rsid w:val="00AE1915"/>
    <w:rsid w:val="00B023E7"/>
    <w:rsid w:val="00B053A1"/>
    <w:rsid w:val="00B14395"/>
    <w:rsid w:val="00B262D9"/>
    <w:rsid w:val="00B34177"/>
    <w:rsid w:val="00B34A0F"/>
    <w:rsid w:val="00B53650"/>
    <w:rsid w:val="00B84E44"/>
    <w:rsid w:val="00B946D1"/>
    <w:rsid w:val="00B97B27"/>
    <w:rsid w:val="00BB644F"/>
    <w:rsid w:val="00BC3FD9"/>
    <w:rsid w:val="00BD5AD0"/>
    <w:rsid w:val="00BF27C3"/>
    <w:rsid w:val="00C2729B"/>
    <w:rsid w:val="00C308B7"/>
    <w:rsid w:val="00C34271"/>
    <w:rsid w:val="00C35C44"/>
    <w:rsid w:val="00C46207"/>
    <w:rsid w:val="00C512CB"/>
    <w:rsid w:val="00C529FF"/>
    <w:rsid w:val="00C67E85"/>
    <w:rsid w:val="00C86DA8"/>
    <w:rsid w:val="00CA7741"/>
    <w:rsid w:val="00CB701B"/>
    <w:rsid w:val="00CC03C7"/>
    <w:rsid w:val="00CC5E4F"/>
    <w:rsid w:val="00CF2568"/>
    <w:rsid w:val="00CF64DC"/>
    <w:rsid w:val="00D0210F"/>
    <w:rsid w:val="00D24C2A"/>
    <w:rsid w:val="00D257E1"/>
    <w:rsid w:val="00D30002"/>
    <w:rsid w:val="00D3123F"/>
    <w:rsid w:val="00D34EC9"/>
    <w:rsid w:val="00D47772"/>
    <w:rsid w:val="00D65212"/>
    <w:rsid w:val="00D93F35"/>
    <w:rsid w:val="00D94290"/>
    <w:rsid w:val="00DB47E7"/>
    <w:rsid w:val="00DB51AA"/>
    <w:rsid w:val="00DB6F4E"/>
    <w:rsid w:val="00DC06EB"/>
    <w:rsid w:val="00DC3579"/>
    <w:rsid w:val="00DC3896"/>
    <w:rsid w:val="00DE64E9"/>
    <w:rsid w:val="00DF24E3"/>
    <w:rsid w:val="00DF74CA"/>
    <w:rsid w:val="00E13949"/>
    <w:rsid w:val="00E33A67"/>
    <w:rsid w:val="00E35AA0"/>
    <w:rsid w:val="00E36EA7"/>
    <w:rsid w:val="00E549B9"/>
    <w:rsid w:val="00E713C3"/>
    <w:rsid w:val="00E84502"/>
    <w:rsid w:val="00E92D6B"/>
    <w:rsid w:val="00E95C64"/>
    <w:rsid w:val="00EA7618"/>
    <w:rsid w:val="00EC71BE"/>
    <w:rsid w:val="00F131C1"/>
    <w:rsid w:val="00F14DAE"/>
    <w:rsid w:val="00F21BA0"/>
    <w:rsid w:val="00F713D6"/>
    <w:rsid w:val="00FD4FCA"/>
    <w:rsid w:val="00FE0DC1"/>
    <w:rsid w:val="00FF5F8C"/>
    <w:rsid w:val="00FF75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5A384"/>
  <w15:docId w15:val="{4B6B1452-02C0-4C6F-8559-8ACBD105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B8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B6"/>
    <w:pPr>
      <w:tabs>
        <w:tab w:val="center" w:pos="4536"/>
        <w:tab w:val="right" w:pos="9072"/>
      </w:tabs>
      <w:spacing w:after="0" w:line="240" w:lineRule="auto"/>
    </w:pPr>
  </w:style>
  <w:style w:type="character" w:customStyle="1" w:styleId="a4">
    <w:name w:val="Горен колонтитул Знак"/>
    <w:basedOn w:val="a0"/>
    <w:link w:val="a3"/>
    <w:uiPriority w:val="99"/>
    <w:rsid w:val="00617FB6"/>
    <w:rPr>
      <w:rFonts w:ascii="Times New Roman" w:hAnsi="Times New Roman"/>
      <w:sz w:val="24"/>
    </w:rPr>
  </w:style>
  <w:style w:type="paragraph" w:styleId="a5">
    <w:name w:val="footer"/>
    <w:basedOn w:val="a"/>
    <w:link w:val="a6"/>
    <w:uiPriority w:val="99"/>
    <w:unhideWhenUsed/>
    <w:rsid w:val="00617FB6"/>
    <w:pPr>
      <w:tabs>
        <w:tab w:val="center" w:pos="4536"/>
        <w:tab w:val="right" w:pos="9072"/>
      </w:tabs>
      <w:spacing w:after="0" w:line="240" w:lineRule="auto"/>
    </w:pPr>
  </w:style>
  <w:style w:type="character" w:customStyle="1" w:styleId="a6">
    <w:name w:val="Долен колонтитул Знак"/>
    <w:basedOn w:val="a0"/>
    <w:link w:val="a5"/>
    <w:uiPriority w:val="99"/>
    <w:rsid w:val="00617FB6"/>
    <w:rPr>
      <w:rFonts w:ascii="Times New Roman" w:hAnsi="Times New Roman"/>
      <w:sz w:val="24"/>
    </w:rPr>
  </w:style>
  <w:style w:type="character" w:styleId="a7">
    <w:name w:val="Hyperlink"/>
    <w:basedOn w:val="a0"/>
    <w:uiPriority w:val="99"/>
    <w:unhideWhenUsed/>
    <w:rsid w:val="00617FB6"/>
    <w:rPr>
      <w:color w:val="0563C1" w:themeColor="hyperlink"/>
      <w:u w:val="single"/>
    </w:rPr>
  </w:style>
  <w:style w:type="table" w:styleId="a8">
    <w:name w:val="Table Grid"/>
    <w:basedOn w:val="a1"/>
    <w:uiPriority w:val="39"/>
    <w:rsid w:val="00617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ПАРАГРАФ,List Paragraph1,List1,List Paragraph11,List Paragraph111,Colorful List - Accent 11,List Paragraph1111"/>
    <w:basedOn w:val="a"/>
    <w:link w:val="aa"/>
    <w:uiPriority w:val="34"/>
    <w:qFormat/>
    <w:rsid w:val="00D0210F"/>
    <w:pPr>
      <w:ind w:left="720"/>
      <w:contextualSpacing/>
    </w:pPr>
  </w:style>
  <w:style w:type="paragraph" w:styleId="ab">
    <w:name w:val="Balloon Text"/>
    <w:basedOn w:val="a"/>
    <w:link w:val="ac"/>
    <w:uiPriority w:val="99"/>
    <w:semiHidden/>
    <w:unhideWhenUsed/>
    <w:rsid w:val="0067299F"/>
    <w:pPr>
      <w:spacing w:after="0" w:line="240" w:lineRule="auto"/>
    </w:pPr>
    <w:rPr>
      <w:rFonts w:ascii="Segoe UI" w:hAnsi="Segoe UI" w:cs="Segoe UI"/>
      <w:sz w:val="18"/>
      <w:szCs w:val="18"/>
    </w:rPr>
  </w:style>
  <w:style w:type="character" w:customStyle="1" w:styleId="ac">
    <w:name w:val="Изнесен текст Знак"/>
    <w:basedOn w:val="a0"/>
    <w:link w:val="ab"/>
    <w:uiPriority w:val="99"/>
    <w:semiHidden/>
    <w:rsid w:val="0067299F"/>
    <w:rPr>
      <w:rFonts w:ascii="Segoe UI" w:hAnsi="Segoe UI" w:cs="Segoe UI"/>
      <w:sz w:val="18"/>
      <w:szCs w:val="18"/>
    </w:rPr>
  </w:style>
  <w:style w:type="character" w:styleId="ad">
    <w:name w:val="footnote reference"/>
    <w:uiPriority w:val="99"/>
    <w:semiHidden/>
    <w:rsid w:val="00D3123F"/>
    <w:rPr>
      <w:rFonts w:ascii="Times New Roman" w:hAnsi="Times New Roman"/>
      <w:noProof w:val="0"/>
      <w:sz w:val="27"/>
      <w:vertAlign w:val="superscript"/>
      <w:lang w:val="en-US"/>
    </w:rPr>
  </w:style>
  <w:style w:type="paragraph" w:styleId="ae">
    <w:name w:val="footnote text"/>
    <w:basedOn w:val="a"/>
    <w:link w:val="af"/>
    <w:uiPriority w:val="99"/>
    <w:semiHidden/>
    <w:rsid w:val="00D3123F"/>
    <w:pPr>
      <w:widowControl w:val="0"/>
      <w:tabs>
        <w:tab w:val="left" w:pos="-720"/>
      </w:tabs>
      <w:suppressAutoHyphens/>
      <w:spacing w:after="0" w:line="240" w:lineRule="auto"/>
      <w:jc w:val="both"/>
    </w:pPr>
    <w:rPr>
      <w:rFonts w:eastAsia="Times New Roman" w:cs="Times New Roman"/>
      <w:snapToGrid w:val="0"/>
      <w:spacing w:val="-2"/>
      <w:sz w:val="20"/>
      <w:szCs w:val="20"/>
      <w:lang w:val="en-GB"/>
    </w:rPr>
  </w:style>
  <w:style w:type="character" w:customStyle="1" w:styleId="af">
    <w:name w:val="Текст под линия Знак"/>
    <w:basedOn w:val="a0"/>
    <w:link w:val="ae"/>
    <w:uiPriority w:val="99"/>
    <w:semiHidden/>
    <w:rsid w:val="00D3123F"/>
    <w:rPr>
      <w:rFonts w:ascii="Times New Roman" w:eastAsia="Times New Roman" w:hAnsi="Times New Roman" w:cs="Times New Roman"/>
      <w:snapToGrid w:val="0"/>
      <w:spacing w:val="-2"/>
      <w:sz w:val="20"/>
      <w:szCs w:val="20"/>
      <w:lang w:val="en-GB"/>
    </w:rPr>
  </w:style>
  <w:style w:type="paragraph" w:customStyle="1" w:styleId="TableParagraph">
    <w:name w:val="Table Paragraph"/>
    <w:basedOn w:val="a"/>
    <w:uiPriority w:val="1"/>
    <w:qFormat/>
    <w:rsid w:val="00D3123F"/>
    <w:pPr>
      <w:widowControl w:val="0"/>
      <w:spacing w:after="0" w:line="240" w:lineRule="auto"/>
      <w:ind w:left="244"/>
    </w:pPr>
    <w:rPr>
      <w:rFonts w:ascii="Calibri" w:eastAsia="Calibri" w:hAnsi="Calibri" w:cs="Calibri"/>
      <w:sz w:val="22"/>
      <w:lang w:val="en-US"/>
    </w:rPr>
  </w:style>
  <w:style w:type="paragraph" w:styleId="af0">
    <w:name w:val="Body Text"/>
    <w:basedOn w:val="a"/>
    <w:link w:val="af1"/>
    <w:uiPriority w:val="1"/>
    <w:qFormat/>
    <w:rsid w:val="00D3123F"/>
    <w:pPr>
      <w:widowControl w:val="0"/>
      <w:spacing w:after="0" w:line="240" w:lineRule="auto"/>
    </w:pPr>
    <w:rPr>
      <w:rFonts w:ascii="Calibri" w:eastAsia="Calibri" w:hAnsi="Calibri" w:cs="Times New Roman"/>
      <w:szCs w:val="24"/>
      <w:lang w:val="en-US"/>
    </w:rPr>
  </w:style>
  <w:style w:type="character" w:customStyle="1" w:styleId="af1">
    <w:name w:val="Основен текст Знак"/>
    <w:basedOn w:val="a0"/>
    <w:link w:val="af0"/>
    <w:uiPriority w:val="1"/>
    <w:rsid w:val="00D3123F"/>
    <w:rPr>
      <w:rFonts w:ascii="Calibri" w:eastAsia="Calibri" w:hAnsi="Calibri" w:cs="Times New Roman"/>
      <w:sz w:val="24"/>
      <w:szCs w:val="24"/>
      <w:lang w:val="en-US"/>
    </w:rPr>
  </w:style>
  <w:style w:type="character" w:customStyle="1" w:styleId="indented">
    <w:name w:val="indented"/>
    <w:basedOn w:val="a0"/>
    <w:rsid w:val="00D3123F"/>
  </w:style>
  <w:style w:type="character" w:customStyle="1" w:styleId="st">
    <w:name w:val="st"/>
    <w:basedOn w:val="a0"/>
    <w:rsid w:val="00863849"/>
  </w:style>
  <w:style w:type="character" w:styleId="af2">
    <w:name w:val="Emphasis"/>
    <w:basedOn w:val="a0"/>
    <w:uiPriority w:val="20"/>
    <w:qFormat/>
    <w:rsid w:val="00C512CB"/>
    <w:rPr>
      <w:i/>
      <w:iCs/>
    </w:rPr>
  </w:style>
  <w:style w:type="paragraph" w:customStyle="1" w:styleId="Default">
    <w:name w:val="Default"/>
    <w:rsid w:val="00923D72"/>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FollowedHyperlink"/>
    <w:basedOn w:val="a0"/>
    <w:uiPriority w:val="99"/>
    <w:semiHidden/>
    <w:unhideWhenUsed/>
    <w:rsid w:val="00A67769"/>
    <w:rPr>
      <w:color w:val="954F72" w:themeColor="followedHyperlink"/>
      <w:u w:val="single"/>
    </w:rPr>
  </w:style>
  <w:style w:type="paragraph" w:styleId="af4">
    <w:name w:val="Normal (Web)"/>
    <w:basedOn w:val="a"/>
    <w:uiPriority w:val="99"/>
    <w:unhideWhenUsed/>
    <w:rsid w:val="00B053A1"/>
    <w:pPr>
      <w:spacing w:before="100" w:beforeAutospacing="1" w:after="100" w:afterAutospacing="1" w:line="240" w:lineRule="auto"/>
    </w:pPr>
    <w:rPr>
      <w:rFonts w:eastAsia="Times New Roman" w:cs="Times New Roman"/>
      <w:szCs w:val="24"/>
      <w:lang w:eastAsia="bg-BG"/>
    </w:rPr>
  </w:style>
  <w:style w:type="character" w:customStyle="1" w:styleId="aa">
    <w:name w:val="Списък на абзаци Знак"/>
    <w:aliases w:val="ПАРАГРАФ Знак,List Paragraph1 Знак,List1 Знак,List Paragraph11 Знак,List Paragraph111 Знак,Colorful List - Accent 11 Знак,List Paragraph1111 Знак"/>
    <w:link w:val="a9"/>
    <w:uiPriority w:val="34"/>
    <w:qFormat/>
    <w:rsid w:val="00993E7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38521">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sChild>
        <w:div w:id="1335301006">
          <w:marLeft w:val="1800"/>
          <w:marRight w:val="0"/>
          <w:marTop w:val="0"/>
          <w:marBottom w:val="0"/>
          <w:divBdr>
            <w:top w:val="none" w:sz="0" w:space="0" w:color="auto"/>
            <w:left w:val="none" w:sz="0" w:space="0" w:color="auto"/>
            <w:bottom w:val="none" w:sz="0" w:space="0" w:color="auto"/>
            <w:right w:val="none" w:sz="0" w:space="0" w:color="auto"/>
          </w:divBdr>
        </w:div>
        <w:div w:id="1113550683">
          <w:marLeft w:val="1800"/>
          <w:marRight w:val="0"/>
          <w:marTop w:val="0"/>
          <w:marBottom w:val="0"/>
          <w:divBdr>
            <w:top w:val="none" w:sz="0" w:space="0" w:color="auto"/>
            <w:left w:val="none" w:sz="0" w:space="0" w:color="auto"/>
            <w:bottom w:val="none" w:sz="0" w:space="0" w:color="auto"/>
            <w:right w:val="none" w:sz="0" w:space="0" w:color="auto"/>
          </w:divBdr>
        </w:div>
      </w:divsChild>
    </w:div>
    <w:div w:id="758870016">
      <w:bodyDiv w:val="1"/>
      <w:marLeft w:val="0"/>
      <w:marRight w:val="0"/>
      <w:marTop w:val="0"/>
      <w:marBottom w:val="0"/>
      <w:divBdr>
        <w:top w:val="none" w:sz="0" w:space="0" w:color="auto"/>
        <w:left w:val="none" w:sz="0" w:space="0" w:color="auto"/>
        <w:bottom w:val="none" w:sz="0" w:space="0" w:color="auto"/>
        <w:right w:val="none" w:sz="0" w:space="0" w:color="auto"/>
      </w:divBdr>
      <w:divsChild>
        <w:div w:id="626351675">
          <w:marLeft w:val="907"/>
          <w:marRight w:val="0"/>
          <w:marTop w:val="67"/>
          <w:marBottom w:val="0"/>
          <w:divBdr>
            <w:top w:val="none" w:sz="0" w:space="0" w:color="auto"/>
            <w:left w:val="none" w:sz="0" w:space="0" w:color="auto"/>
            <w:bottom w:val="none" w:sz="0" w:space="0" w:color="auto"/>
            <w:right w:val="none" w:sz="0" w:space="0" w:color="auto"/>
          </w:divBdr>
        </w:div>
      </w:divsChild>
    </w:div>
    <w:div w:id="1257715088">
      <w:bodyDiv w:val="1"/>
      <w:marLeft w:val="0"/>
      <w:marRight w:val="0"/>
      <w:marTop w:val="0"/>
      <w:marBottom w:val="0"/>
      <w:divBdr>
        <w:top w:val="none" w:sz="0" w:space="0" w:color="auto"/>
        <w:left w:val="none" w:sz="0" w:space="0" w:color="auto"/>
        <w:bottom w:val="none" w:sz="0" w:space="0" w:color="auto"/>
        <w:right w:val="none" w:sz="0" w:space="0" w:color="auto"/>
      </w:divBdr>
    </w:div>
    <w:div w:id="1415080392">
      <w:bodyDiv w:val="1"/>
      <w:marLeft w:val="0"/>
      <w:marRight w:val="0"/>
      <w:marTop w:val="0"/>
      <w:marBottom w:val="0"/>
      <w:divBdr>
        <w:top w:val="none" w:sz="0" w:space="0" w:color="auto"/>
        <w:left w:val="none" w:sz="0" w:space="0" w:color="auto"/>
        <w:bottom w:val="none" w:sz="0" w:space="0" w:color="auto"/>
        <w:right w:val="none" w:sz="0" w:space="0" w:color="auto"/>
      </w:divBdr>
    </w:div>
    <w:div w:id="1456758343">
      <w:bodyDiv w:val="1"/>
      <w:marLeft w:val="0"/>
      <w:marRight w:val="0"/>
      <w:marTop w:val="0"/>
      <w:marBottom w:val="0"/>
      <w:divBdr>
        <w:top w:val="none" w:sz="0" w:space="0" w:color="auto"/>
        <w:left w:val="none" w:sz="0" w:space="0" w:color="auto"/>
        <w:bottom w:val="none" w:sz="0" w:space="0" w:color="auto"/>
        <w:right w:val="none" w:sz="0" w:space="0" w:color="auto"/>
      </w:divBdr>
    </w:div>
    <w:div w:id="1556159416">
      <w:bodyDiv w:val="1"/>
      <w:marLeft w:val="0"/>
      <w:marRight w:val="0"/>
      <w:marTop w:val="0"/>
      <w:marBottom w:val="0"/>
      <w:divBdr>
        <w:top w:val="none" w:sz="0" w:space="0" w:color="auto"/>
        <w:left w:val="none" w:sz="0" w:space="0" w:color="auto"/>
        <w:bottom w:val="none" w:sz="0" w:space="0" w:color="auto"/>
        <w:right w:val="none" w:sz="0" w:space="0" w:color="auto"/>
      </w:divBdr>
    </w:div>
    <w:div w:id="1785691768">
      <w:bodyDiv w:val="1"/>
      <w:marLeft w:val="0"/>
      <w:marRight w:val="0"/>
      <w:marTop w:val="0"/>
      <w:marBottom w:val="0"/>
      <w:divBdr>
        <w:top w:val="none" w:sz="0" w:space="0" w:color="auto"/>
        <w:left w:val="none" w:sz="0" w:space="0" w:color="auto"/>
        <w:bottom w:val="none" w:sz="0" w:space="0" w:color="auto"/>
        <w:right w:val="none" w:sz="0" w:space="0" w:color="auto"/>
      </w:divBdr>
    </w:div>
    <w:div w:id="1800224531">
      <w:bodyDiv w:val="1"/>
      <w:marLeft w:val="0"/>
      <w:marRight w:val="0"/>
      <w:marTop w:val="0"/>
      <w:marBottom w:val="0"/>
      <w:divBdr>
        <w:top w:val="none" w:sz="0" w:space="0" w:color="auto"/>
        <w:left w:val="none" w:sz="0" w:space="0" w:color="auto"/>
        <w:bottom w:val="none" w:sz="0" w:space="0" w:color="auto"/>
        <w:right w:val="none" w:sz="0" w:space="0" w:color="auto"/>
      </w:divBdr>
    </w:div>
    <w:div w:id="2016805492">
      <w:bodyDiv w:val="1"/>
      <w:marLeft w:val="0"/>
      <w:marRight w:val="0"/>
      <w:marTop w:val="0"/>
      <w:marBottom w:val="0"/>
      <w:divBdr>
        <w:top w:val="none" w:sz="0" w:space="0" w:color="auto"/>
        <w:left w:val="none" w:sz="0" w:space="0" w:color="auto"/>
        <w:bottom w:val="none" w:sz="0" w:space="0" w:color="auto"/>
        <w:right w:val="none" w:sz="0" w:space="0" w:color="auto"/>
      </w:divBdr>
      <w:divsChild>
        <w:div w:id="1346251976">
          <w:marLeft w:val="432"/>
          <w:marRight w:val="0"/>
          <w:marTop w:val="77"/>
          <w:marBottom w:val="0"/>
          <w:divBdr>
            <w:top w:val="none" w:sz="0" w:space="0" w:color="auto"/>
            <w:left w:val="none" w:sz="0" w:space="0" w:color="auto"/>
            <w:bottom w:val="none" w:sz="0" w:space="0" w:color="auto"/>
            <w:right w:val="none" w:sz="0" w:space="0" w:color="auto"/>
          </w:divBdr>
        </w:div>
        <w:div w:id="107511069">
          <w:marLeft w:val="432"/>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hyperlink" Target="http://eumis2020.government.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mis2020.government.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bg.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gnpk@abv.bg" TargetMode="External"/><Relationship Id="rId4" Type="http://schemas.openxmlformats.org/officeDocument/2006/relationships/settings" Target="settings.xml"/><Relationship Id="rId9" Type="http://schemas.openxmlformats.org/officeDocument/2006/relationships/hyperlink" Target="mailto:mignpk@abv.b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ignpk@abv.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A0922-4A42-4F9B-B617-8C2319D7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1482</Words>
  <Characters>8450</Characters>
  <Application>Microsoft Office Word</Application>
  <DocSecurity>0</DocSecurity>
  <Lines>70</Lines>
  <Paragraphs>19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Иванова</dc:creator>
  <cp:lastModifiedBy>Lenovo</cp:lastModifiedBy>
  <cp:revision>26</cp:revision>
  <cp:lastPrinted>2017-05-09T10:34:00Z</cp:lastPrinted>
  <dcterms:created xsi:type="dcterms:W3CDTF">2021-11-10T11:13:00Z</dcterms:created>
  <dcterms:modified xsi:type="dcterms:W3CDTF">2021-12-22T14:27:00Z</dcterms:modified>
</cp:coreProperties>
</file>