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CD" w:rsidRPr="00C130CD" w:rsidRDefault="00C130CD" w:rsidP="00C130CD">
      <w:pPr>
        <w:spacing w:before="600" w:after="150" w:line="240" w:lineRule="atLeast"/>
        <w:ind w:left="2124" w:firstLine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130C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5</w:t>
      </w:r>
      <w:r w:rsidRPr="00C130C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Критерии за техническа и финансова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                </w:t>
      </w:r>
      <w:r w:rsidRPr="00C130C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оценка на проекти за подготвителни дейности</w:t>
      </w:r>
    </w:p>
    <w:p w:rsidR="00A8447A" w:rsidRPr="00A8447A" w:rsidRDefault="00A8447A" w:rsidP="00A8447A">
      <w:pPr>
        <w:spacing w:before="600" w:after="150" w:line="240" w:lineRule="atLeast"/>
        <w:outlineLvl w:val="1"/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</w:pPr>
      <w:r w:rsidRPr="00A8447A">
        <w:rPr>
          <w:rFonts w:ascii="Times New Roman" w:eastAsia="Times New Roman" w:hAnsi="Times New Roman" w:cs="Times New Roman"/>
          <w:b/>
          <w:bCs/>
          <w:sz w:val="30"/>
          <w:szCs w:val="30"/>
          <w:lang w:eastAsia="bg-BG"/>
        </w:rPr>
        <w:t>Критерии за оценка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"/>
        <w:gridCol w:w="8964"/>
      </w:tblGrid>
      <w:tr w:rsidR="00A8447A" w:rsidRPr="00A8447A" w:rsidTr="000A4E60">
        <w:tc>
          <w:tcPr>
            <w:tcW w:w="142" w:type="dxa"/>
            <w:tcBorders>
              <w:left w:val="nil"/>
              <w:bottom w:val="single" w:sz="6" w:space="0" w:color="8F8F8F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8447A" w:rsidRPr="00A8447A" w:rsidRDefault="00A8447A" w:rsidP="00A84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1"/>
              <w:gridCol w:w="7111"/>
              <w:gridCol w:w="1446"/>
              <w:gridCol w:w="156"/>
            </w:tblGrid>
            <w:tr w:rsidR="000A4E60" w:rsidRPr="00A8447A" w:rsidTr="00A8447A">
              <w:trPr>
                <w:tblHeader/>
              </w:trPr>
              <w:tc>
                <w:tcPr>
                  <w:tcW w:w="324" w:type="dxa"/>
                  <w:tcBorders>
                    <w:left w:val="nil"/>
                  </w:tcBorders>
                  <w:shd w:val="clear" w:color="auto" w:fill="E9E9E9"/>
                  <w:tcMar>
                    <w:top w:w="105" w:type="dxa"/>
                    <w:left w:w="75" w:type="dxa"/>
                    <w:bottom w:w="105" w:type="dxa"/>
                    <w:right w:w="75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</w:p>
              </w:tc>
              <w:tc>
                <w:tcPr>
                  <w:tcW w:w="6492" w:type="dxa"/>
                  <w:tcBorders>
                    <w:left w:val="single" w:sz="6" w:space="0" w:color="8F8F8F"/>
                  </w:tcBorders>
                  <w:shd w:val="clear" w:color="auto" w:fill="E9E9E9"/>
                  <w:tcMar>
                    <w:top w:w="105" w:type="dxa"/>
                    <w:left w:w="75" w:type="dxa"/>
                    <w:bottom w:w="105" w:type="dxa"/>
                    <w:right w:w="75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  <w:t>Критерий</w:t>
                  </w:r>
                </w:p>
              </w:tc>
              <w:tc>
                <w:tcPr>
                  <w:tcW w:w="1805" w:type="dxa"/>
                  <w:tcBorders>
                    <w:left w:val="single" w:sz="6" w:space="0" w:color="8F8F8F"/>
                  </w:tcBorders>
                  <w:shd w:val="clear" w:color="auto" w:fill="E9E9E9"/>
                  <w:tcMar>
                    <w:top w:w="105" w:type="dxa"/>
                    <w:left w:w="75" w:type="dxa"/>
                    <w:bottom w:w="105" w:type="dxa"/>
                    <w:right w:w="75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  <w:t>Максимален праг</w:t>
                  </w:r>
                  <w:r w:rsidRPr="00A8447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  <w:br/>
                  </w:r>
                  <w:r w:rsidR="000A4E6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  <w:t>0.00</w:t>
                  </w:r>
                </w:p>
              </w:tc>
              <w:tc>
                <w:tcPr>
                  <w:tcW w:w="0" w:type="auto"/>
                  <w:shd w:val="clear" w:color="auto" w:fill="E9E9E9"/>
                  <w:tcMar>
                    <w:top w:w="105" w:type="dxa"/>
                    <w:left w:w="75" w:type="dxa"/>
                    <w:bottom w:w="105" w:type="dxa"/>
                    <w:right w:w="75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0A4E60" w:rsidRPr="00A8447A" w:rsidTr="00A8447A"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Брой общини в състава на партньорството или в МИГ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:</w:t>
                  </w:r>
                </w:p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една община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10 точки</w:t>
                  </w:r>
                </w:p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две общини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20 точки</w:t>
                  </w:r>
                </w:p>
                <w:p w:rsidR="00A8447A" w:rsidRP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повече от две общини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30 точки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A8447A" w:rsidRPr="00A8447A" w:rsidRDefault="000A4E60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0A4E60" w:rsidRPr="00A8447A" w:rsidTr="00A8447A"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2.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Население на територията на партньорството или на МИГ</w:t>
                  </w:r>
                </w:p>
                <w:p w:rsidR="00A8447A" w:rsidRPr="00A8447A" w:rsidRDefault="000A4E60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– </w:t>
                  </w:r>
                  <w:r w:rsidR="00A8447A"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от 10 000 до 20 000 жители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20 точки</w:t>
                  </w:r>
                </w:p>
                <w:p w:rsidR="00A8447A" w:rsidRDefault="000A4E60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– </w:t>
                  </w:r>
                  <w:r w:rsidR="00A8447A"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от 20 001 до 30 000 жители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30 точки</w:t>
                  </w:r>
                </w:p>
                <w:p w:rsidR="00A8447A" w:rsidRPr="00A8447A" w:rsidRDefault="000A4E60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– </w:t>
                  </w:r>
                  <w:r w:rsidR="00A8447A"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над 30 000 жители</w:t>
                  </w:r>
                  <w:r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40 точки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A8447A" w:rsidRPr="00A8447A" w:rsidRDefault="000A4E60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40.00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</w:p>
              </w:tc>
            </w:tr>
            <w:tr w:rsidR="000A4E60" w:rsidRPr="00A8447A" w:rsidTr="00E914FD">
              <w:trPr>
                <w:trHeight w:val="2644"/>
              </w:trPr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3.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Опит на партньорите в изпълнението на проекти, финансирани със средства на ЕС</w:t>
                  </w:r>
                  <w:r w:rsid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:</w:t>
                  </w:r>
                </w:p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Опит на един от партньорите по проекта или регистрирана МИГ, която не е изпълнявала стратегия за местно развитие, финансирана от ПРСР за периода 2007 – 2013 г.</w:t>
                  </w:r>
                  <w:r w:rsid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</w:t>
                  </w:r>
                  <w:r w:rsidR="008D557E" w:rsidRPr="008D557E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или за периода 2014 – 2020 г. </w:t>
                  </w:r>
                  <w:bookmarkStart w:id="0" w:name="_GoBack"/>
                  <w:bookmarkEnd w:id="0"/>
                  <w:r w:rsid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10 точки</w:t>
                  </w:r>
                </w:p>
                <w:p w:rsid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Опит на двама от партньорите по проекта или на МИГ, която не е изпълнявала стратегия за местно развитие, финансирана от ПРСР за периода 2007 – 2013 г.</w:t>
                  </w:r>
                  <w:r w:rsidR="008D557E" w:rsidRPr="008D557E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или за периода 2014 – 2020 г.</w:t>
                  </w: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, но е изпълнила най-малко един проект със средства от ЕС.</w:t>
                  </w:r>
                  <w:r w:rsid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20 точки</w:t>
                  </w:r>
                </w:p>
                <w:p w:rsidR="00A8447A" w:rsidRPr="00A8447A" w:rsidRDefault="00A8447A" w:rsidP="00A8447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</w:pPr>
                  <w:r w:rsidRPr="00A8447A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>– Опит на повече от двама от партньорите по проекта или на МИГ, която е изпълнявала стратегия за местно развитие, финансирана от ПРСР за периода 2007 – 2013 г.</w:t>
                  </w:r>
                  <w:r w:rsidR="008D557E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или за периода 2014 – 2020 г.</w:t>
                  </w:r>
                  <w:r w:rsidR="000A4E60">
                    <w:rPr>
                      <w:rFonts w:ascii="Roboto" w:eastAsia="Times New Roman" w:hAnsi="Roboto" w:cs="Courier New"/>
                      <w:sz w:val="20"/>
                      <w:szCs w:val="20"/>
                      <w:lang w:eastAsia="bg-BG"/>
                    </w:rPr>
                    <w:t xml:space="preserve"> – 30 точки</w:t>
                  </w:r>
                </w:p>
              </w:tc>
              <w:tc>
                <w:tcPr>
                  <w:tcW w:w="0" w:type="auto"/>
                  <w:tcBorders>
                    <w:left w:val="single" w:sz="6" w:space="0" w:color="8F8F8F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A8447A" w:rsidRPr="00A8447A" w:rsidRDefault="000A4E60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  <w:t>30.00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6" w:space="0" w:color="8F8F8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A8447A" w:rsidRPr="00A8447A" w:rsidRDefault="00A8447A" w:rsidP="00A844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bg-BG"/>
                    </w:rPr>
                  </w:pPr>
                </w:p>
              </w:tc>
            </w:tr>
          </w:tbl>
          <w:p w:rsidR="00A8447A" w:rsidRPr="00A8447A" w:rsidRDefault="00A8447A" w:rsidP="00A84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A8447A" w:rsidRPr="00E914FD" w:rsidRDefault="000A4E60" w:rsidP="000A4E60">
      <w:pPr>
        <w:shd w:val="clear" w:color="auto" w:fill="FFFFFF"/>
        <w:spacing w:after="75" w:line="240" w:lineRule="auto"/>
        <w:jc w:val="center"/>
        <w:rPr>
          <w:rFonts w:ascii="Roboto" w:eastAsia="Times New Roman" w:hAnsi="Roboto" w:cs="Times New Roman"/>
          <w:b/>
          <w:color w:val="333333"/>
          <w:sz w:val="23"/>
          <w:szCs w:val="23"/>
          <w:lang w:eastAsia="bg-BG"/>
        </w:rPr>
      </w:pPr>
      <w:r>
        <w:rPr>
          <w:rFonts w:ascii="Roboto" w:eastAsia="Times New Roman" w:hAnsi="Roboto" w:cs="Times New Roman"/>
          <w:color w:val="333333"/>
          <w:sz w:val="23"/>
          <w:szCs w:val="23"/>
          <w:lang w:eastAsia="bg-BG"/>
        </w:rPr>
        <w:tab/>
      </w:r>
      <w:r>
        <w:rPr>
          <w:rFonts w:ascii="Roboto" w:eastAsia="Times New Roman" w:hAnsi="Roboto" w:cs="Times New Roman"/>
          <w:color w:val="333333"/>
          <w:sz w:val="23"/>
          <w:szCs w:val="23"/>
          <w:lang w:eastAsia="bg-BG"/>
        </w:rPr>
        <w:tab/>
      </w:r>
      <w:r>
        <w:rPr>
          <w:rFonts w:ascii="Roboto" w:eastAsia="Times New Roman" w:hAnsi="Roboto" w:cs="Times New Roman"/>
          <w:color w:val="333333"/>
          <w:sz w:val="23"/>
          <w:szCs w:val="23"/>
          <w:lang w:eastAsia="bg-BG"/>
        </w:rPr>
        <w:tab/>
      </w:r>
      <w:r>
        <w:rPr>
          <w:rFonts w:ascii="Roboto" w:eastAsia="Times New Roman" w:hAnsi="Roboto" w:cs="Times New Roman"/>
          <w:color w:val="333333"/>
          <w:sz w:val="23"/>
          <w:szCs w:val="23"/>
          <w:lang w:eastAsia="bg-BG"/>
        </w:rPr>
        <w:tab/>
      </w:r>
      <w:r>
        <w:rPr>
          <w:rFonts w:ascii="Roboto" w:eastAsia="Times New Roman" w:hAnsi="Roboto" w:cs="Times New Roman"/>
          <w:color w:val="333333"/>
          <w:sz w:val="23"/>
          <w:szCs w:val="23"/>
          <w:lang w:eastAsia="bg-BG"/>
        </w:rPr>
        <w:tab/>
      </w:r>
      <w:r w:rsidR="00A8447A" w:rsidRPr="00A8447A">
        <w:rPr>
          <w:rFonts w:ascii="Roboto" w:eastAsia="Times New Roman" w:hAnsi="Roboto" w:cs="Times New Roman"/>
          <w:b/>
          <w:color w:val="333333"/>
          <w:sz w:val="23"/>
          <w:szCs w:val="23"/>
          <w:lang w:eastAsia="bg-BG"/>
        </w:rPr>
        <w:t>Праг за преминаване:</w:t>
      </w:r>
      <w:r w:rsidRPr="00E914FD">
        <w:rPr>
          <w:rFonts w:ascii="Roboto" w:eastAsia="Times New Roman" w:hAnsi="Roboto" w:cs="Times New Roman"/>
          <w:b/>
          <w:color w:val="333333"/>
          <w:sz w:val="23"/>
          <w:szCs w:val="23"/>
          <w:lang w:eastAsia="bg-BG"/>
        </w:rPr>
        <w:t xml:space="preserve"> 30 точки</w:t>
      </w:r>
    </w:p>
    <w:p w:rsidR="000A4E60" w:rsidRPr="00A8447A" w:rsidRDefault="000A4E60" w:rsidP="000A4E60">
      <w:pPr>
        <w:shd w:val="clear" w:color="auto" w:fill="FFFFFF"/>
        <w:spacing w:after="75" w:line="240" w:lineRule="auto"/>
        <w:ind w:left="2832" w:firstLine="708"/>
        <w:jc w:val="center"/>
        <w:rPr>
          <w:rFonts w:ascii="Roboto" w:eastAsia="Times New Roman" w:hAnsi="Roboto" w:cs="Times New Roman"/>
          <w:b/>
          <w:color w:val="333333"/>
          <w:sz w:val="21"/>
          <w:szCs w:val="21"/>
          <w:lang w:eastAsia="bg-BG"/>
        </w:rPr>
      </w:pPr>
      <w:r w:rsidRPr="00E914FD">
        <w:rPr>
          <w:rFonts w:ascii="Roboto" w:eastAsia="Times New Roman" w:hAnsi="Roboto" w:cs="Times New Roman"/>
          <w:b/>
          <w:color w:val="333333"/>
          <w:sz w:val="23"/>
          <w:szCs w:val="23"/>
          <w:lang w:eastAsia="bg-BG"/>
        </w:rPr>
        <w:t>Максимален праг: 100 точки</w:t>
      </w:r>
    </w:p>
    <w:p w:rsidR="005D482D" w:rsidRPr="00E914FD" w:rsidRDefault="005D482D">
      <w:pPr>
        <w:rPr>
          <w:b/>
        </w:rPr>
      </w:pPr>
    </w:p>
    <w:sectPr w:rsidR="005D482D" w:rsidRPr="00E914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D6" w:rsidRDefault="00366DD6" w:rsidP="00C130CD">
      <w:pPr>
        <w:spacing w:after="0" w:line="240" w:lineRule="auto"/>
      </w:pPr>
      <w:r>
        <w:separator/>
      </w:r>
    </w:p>
  </w:endnote>
  <w:endnote w:type="continuationSeparator" w:id="0">
    <w:p w:rsidR="00366DD6" w:rsidRDefault="00366DD6" w:rsidP="00C1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D6" w:rsidRDefault="00366DD6" w:rsidP="00C130CD">
      <w:pPr>
        <w:spacing w:after="0" w:line="240" w:lineRule="auto"/>
      </w:pPr>
      <w:r>
        <w:separator/>
      </w:r>
    </w:p>
  </w:footnote>
  <w:footnote w:type="continuationSeparator" w:id="0">
    <w:p w:rsidR="00366DD6" w:rsidRDefault="00366DD6" w:rsidP="00C13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0CD" w:rsidRDefault="00C130CD">
    <w:pPr>
      <w:pStyle w:val="Header"/>
    </w:pPr>
    <w:r w:rsidRPr="00AD121D">
      <w:rPr>
        <w:rFonts w:ascii="Times New Roman" w:eastAsia="Times New Roman" w:hAnsi="Times New Roman" w:cs="Times New Roman"/>
        <w:noProof/>
        <w:sz w:val="24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404E0410" wp14:editId="0BFEC018">
          <wp:simplePos x="0" y="0"/>
          <wp:positionH relativeFrom="column">
            <wp:posOffset>30480</wp:posOffset>
          </wp:positionH>
          <wp:positionV relativeFrom="paragraph">
            <wp:posOffset>22225</wp:posOffset>
          </wp:positionV>
          <wp:extent cx="1143000" cy="8001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val="en-US"/>
      </w:rPr>
      <w:drawing>
        <wp:inline distT="0" distB="0" distL="0" distR="0" wp14:anchorId="17614D09" wp14:editId="0AD4FEDB">
          <wp:extent cx="1310640" cy="807720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ead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0765" cy="8077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val="en-US"/>
      </w:rPr>
      <w:drawing>
        <wp:inline distT="0" distB="0" distL="0" distR="0" wp14:anchorId="1AC1168F" wp14:editId="7C8B1DA0">
          <wp:extent cx="1143055" cy="798060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mz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55" cy="79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rPr>
        <w:noProof/>
        <w:lang w:val="en-US"/>
      </w:rPr>
      <w:drawing>
        <wp:inline distT="0" distB="0" distL="0" distR="0" wp14:anchorId="48063E7F">
          <wp:extent cx="1450975" cy="810895"/>
          <wp:effectExtent l="0" t="0" r="0" b="825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97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37B54"/>
    <w:multiLevelType w:val="hybridMultilevel"/>
    <w:tmpl w:val="05F29070"/>
    <w:lvl w:ilvl="0" w:tplc="8E480BA4">
      <w:start w:val="2"/>
      <w:numFmt w:val="bullet"/>
      <w:lvlText w:val="-"/>
      <w:lvlJc w:val="left"/>
      <w:pPr>
        <w:ind w:left="720" w:hanging="360"/>
      </w:pPr>
      <w:rPr>
        <w:rFonts w:ascii="Roboto" w:eastAsia="Times New Roman" w:hAnsi="Roboto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47A"/>
    <w:rsid w:val="000A4E60"/>
    <w:rsid w:val="00366DD6"/>
    <w:rsid w:val="004E0581"/>
    <w:rsid w:val="005D482D"/>
    <w:rsid w:val="008D557E"/>
    <w:rsid w:val="00A8447A"/>
    <w:rsid w:val="00C130CD"/>
    <w:rsid w:val="00E9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4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0CD"/>
  </w:style>
  <w:style w:type="paragraph" w:styleId="Footer">
    <w:name w:val="footer"/>
    <w:basedOn w:val="Normal"/>
    <w:link w:val="FooterChar"/>
    <w:uiPriority w:val="99"/>
    <w:unhideWhenUsed/>
    <w:rsid w:val="00C1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0CD"/>
  </w:style>
  <w:style w:type="paragraph" w:styleId="BalloonText">
    <w:name w:val="Balloon Text"/>
    <w:basedOn w:val="Normal"/>
    <w:link w:val="BalloonTextChar"/>
    <w:uiPriority w:val="99"/>
    <w:semiHidden/>
    <w:unhideWhenUsed/>
    <w:rsid w:val="008D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4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0CD"/>
  </w:style>
  <w:style w:type="paragraph" w:styleId="Footer">
    <w:name w:val="footer"/>
    <w:basedOn w:val="Normal"/>
    <w:link w:val="FooterChar"/>
    <w:uiPriority w:val="99"/>
    <w:unhideWhenUsed/>
    <w:rsid w:val="00C13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0CD"/>
  </w:style>
  <w:style w:type="paragraph" w:styleId="BalloonText">
    <w:name w:val="Balloon Text"/>
    <w:basedOn w:val="Normal"/>
    <w:link w:val="BalloonTextChar"/>
    <w:uiPriority w:val="99"/>
    <w:semiHidden/>
    <w:unhideWhenUsed/>
    <w:rsid w:val="008D5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2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50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05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0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3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579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5672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727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0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FAD28-596E-4448-94E2-18A1E8D2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</dc:creator>
  <cp:keywords/>
  <dc:description/>
  <cp:lastModifiedBy>Tanya Tsvetkova</cp:lastModifiedBy>
  <cp:revision>5</cp:revision>
  <dcterms:created xsi:type="dcterms:W3CDTF">2022-02-15T11:17:00Z</dcterms:created>
  <dcterms:modified xsi:type="dcterms:W3CDTF">2022-02-16T13:31:00Z</dcterms:modified>
</cp:coreProperties>
</file>