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0091" w14:textId="77777777" w:rsidR="00617FB6" w:rsidRDefault="00617FB6"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4B98" wp14:editId="201DD053">
                <wp:simplePos x="0" y="0"/>
                <wp:positionH relativeFrom="column">
                  <wp:posOffset>-118745</wp:posOffset>
                </wp:positionH>
                <wp:positionV relativeFrom="paragraph">
                  <wp:posOffset>-385445</wp:posOffset>
                </wp:positionV>
                <wp:extent cx="6067425" cy="13239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DEAC" w14:textId="77777777" w:rsidR="00617FB6" w:rsidRDefault="00617FB6" w:rsidP="0085575D"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1110247" wp14:editId="44912BCB">
                                  <wp:extent cx="922020" cy="716280"/>
                                  <wp:effectExtent l="0" t="0" r="0" b="7620"/>
                                  <wp:docPr id="6" name="Picture 6" descr="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202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049E7F6" wp14:editId="7E547A57">
                                  <wp:extent cx="807720" cy="6781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="003170F7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9E661BB" wp14:editId="663FFBCD">
                                  <wp:extent cx="939609" cy="68199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igtau logo-00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183" cy="686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ABE281" wp14:editId="401D5271">
                                  <wp:extent cx="1790700" cy="723900"/>
                                  <wp:effectExtent l="0" t="0" r="0" b="0"/>
                                  <wp:docPr id="3" name="Picture 3" descr="logo-bg-right-no-b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-bg-right-no-b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374BD1"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FF0A240" wp14:editId="0D8D4BFE">
                                  <wp:extent cx="853440" cy="640080"/>
                                  <wp:effectExtent l="19050" t="19050" r="22860" b="266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4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B95E74" w14:textId="77777777" w:rsidR="00617FB6" w:rsidRPr="00073527" w:rsidRDefault="00617FB6" w:rsidP="00617FB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</w:rPr>
                            </w:pPr>
                            <w:proofErr w:type="spellStart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за развитие на </w:t>
                            </w:r>
                            <w:proofErr w:type="spellStart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селските</w:t>
                            </w:r>
                            <w:proofErr w:type="spellEnd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райони</w:t>
                            </w:r>
                            <w:proofErr w:type="spellEnd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</w:rPr>
                              <w:t>.</w:t>
                            </w:r>
                          </w:p>
                          <w:p w14:paraId="5E69462E" w14:textId="77777777" w:rsidR="00617FB6" w:rsidRPr="00073527" w:rsidRDefault="00617FB6" w:rsidP="00617FB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Европейски </w:t>
                            </w:r>
                            <w:proofErr w:type="spellStart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земеделски</w:t>
                            </w:r>
                            <w:proofErr w:type="spellEnd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фонд за развитие на </w:t>
                            </w:r>
                            <w:proofErr w:type="spellStart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селските</w:t>
                            </w:r>
                            <w:proofErr w:type="spellEnd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райони</w:t>
                            </w:r>
                            <w:proofErr w:type="spellEnd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–</w:t>
                            </w:r>
                            <w:r w:rsidR="00D3123F"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Европа </w:t>
                            </w:r>
                            <w:proofErr w:type="spellStart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инвестира</w:t>
                            </w:r>
                            <w:proofErr w:type="spellEnd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в </w:t>
                            </w:r>
                            <w:proofErr w:type="spellStart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селските</w:t>
                            </w:r>
                            <w:proofErr w:type="spellEnd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73527">
                              <w:rPr>
                                <w:rFonts w:cs="Times New Roman"/>
                                <w:iCs/>
                                <w:spacing w:val="3"/>
                                <w:sz w:val="22"/>
                                <w:lang w:val="ru-RU"/>
                              </w:rPr>
                              <w:t>райони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14B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35pt;margin-top:-30.35pt;width:477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" strokeweight="1.5pt">
                <v:stroke linestyle="thickThin"/>
                <v:textbox>
                  <w:txbxContent>
                    <w:p w14:paraId="50A6DEAC" w14:textId="77777777" w:rsidR="00617FB6" w:rsidRDefault="00617FB6" w:rsidP="0085575D">
                      <w:r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1110247" wp14:editId="44912BCB">
                            <wp:extent cx="922020" cy="716280"/>
                            <wp:effectExtent l="0" t="0" r="0" b="7620"/>
                            <wp:docPr id="6" name="Picture 6" descr="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202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1049E7F6" wp14:editId="7E547A57">
                            <wp:extent cx="807720" cy="6781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72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t xml:space="preserve">  </w:t>
                      </w:r>
                      <w:r w:rsidR="003170F7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9E661BB" wp14:editId="663FFBCD">
                            <wp:extent cx="939609" cy="681990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igtau logo-00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183" cy="686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ABE281" wp14:editId="401D5271">
                            <wp:extent cx="1790700" cy="723900"/>
                            <wp:effectExtent l="0" t="0" r="0" b="0"/>
                            <wp:docPr id="3" name="Picture 3" descr="logo-bg-right-no-ba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-bg-right-no-ba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374BD1"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FF0A240" wp14:editId="0D8D4BFE">
                            <wp:extent cx="853440" cy="640080"/>
                            <wp:effectExtent l="19050" t="19050" r="22860" b="266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4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B95E74" w14:textId="77777777" w:rsidR="00617FB6" w:rsidRPr="00073527" w:rsidRDefault="00617FB6" w:rsidP="00617FB6">
                      <w:pPr>
                        <w:spacing w:after="0"/>
                        <w:jc w:val="center"/>
                        <w:rPr>
                          <w:rFonts w:cs="Times New Roman"/>
                          <w:iCs/>
                          <w:spacing w:val="3"/>
                          <w:sz w:val="22"/>
                        </w:rPr>
                      </w:pPr>
                      <w:proofErr w:type="spellStart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Програма</w:t>
                      </w:r>
                      <w:proofErr w:type="spellEnd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за развитие на </w:t>
                      </w:r>
                      <w:proofErr w:type="spellStart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селските</w:t>
                      </w:r>
                      <w:proofErr w:type="spellEnd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райони</w:t>
                      </w:r>
                      <w:proofErr w:type="spellEnd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</w:rPr>
                        <w:t>.</w:t>
                      </w:r>
                    </w:p>
                    <w:p w14:paraId="5E69462E" w14:textId="77777777" w:rsidR="00617FB6" w:rsidRPr="00073527" w:rsidRDefault="00617FB6" w:rsidP="00617FB6">
                      <w:pPr>
                        <w:spacing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Европейски </w:t>
                      </w:r>
                      <w:proofErr w:type="spellStart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земеделски</w:t>
                      </w:r>
                      <w:proofErr w:type="spellEnd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фонд за развитие на </w:t>
                      </w:r>
                      <w:proofErr w:type="spellStart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селските</w:t>
                      </w:r>
                      <w:proofErr w:type="spellEnd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райони</w:t>
                      </w:r>
                      <w:proofErr w:type="spellEnd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–</w:t>
                      </w:r>
                      <w:r w:rsidR="00D3123F"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</w:t>
                      </w:r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Европа </w:t>
                      </w:r>
                      <w:proofErr w:type="spellStart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инвестира</w:t>
                      </w:r>
                      <w:proofErr w:type="spellEnd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в </w:t>
                      </w:r>
                      <w:proofErr w:type="spellStart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селските</w:t>
                      </w:r>
                      <w:proofErr w:type="spellEnd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 xml:space="preserve"> </w:t>
                      </w:r>
                      <w:proofErr w:type="spellStart"/>
                      <w:r w:rsidRPr="00073527">
                        <w:rPr>
                          <w:rFonts w:cs="Times New Roman"/>
                          <w:iCs/>
                          <w:spacing w:val="3"/>
                          <w:sz w:val="22"/>
                          <w:lang w:val="ru-RU"/>
                        </w:rPr>
                        <w:t>райони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E277FB0" w14:textId="77777777" w:rsidR="00617FB6" w:rsidRDefault="00617FB6"/>
    <w:p w14:paraId="6C5A4193" w14:textId="77777777" w:rsidR="00617FB6" w:rsidRDefault="00617FB6"/>
    <w:p w14:paraId="5D929EE9" w14:textId="77777777" w:rsidR="00073527" w:rsidRDefault="00073527" w:rsidP="007D21C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bookmarkStart w:id="0" w:name="_Toc175379528"/>
      <w:bookmarkStart w:id="1" w:name="_Toc175470698"/>
      <w:bookmarkStart w:id="2" w:name="_Toc175573961"/>
    </w:p>
    <w:p w14:paraId="5CE729E2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olor w:val="548DD4"/>
          <w:sz w:val="28"/>
          <w:szCs w:val="28"/>
          <w:u w:val="single"/>
        </w:rPr>
      </w:pPr>
      <w:r w:rsidRPr="004D1E8C">
        <w:rPr>
          <w:b/>
          <w:color w:val="548DD4"/>
          <w:sz w:val="28"/>
          <w:szCs w:val="28"/>
          <w:u w:val="single"/>
        </w:rPr>
        <w:t>О Б Я В А</w:t>
      </w:r>
    </w:p>
    <w:p w14:paraId="2B3EA9C1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</w:p>
    <w:p w14:paraId="1E03251C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  <w:r w:rsidRPr="004D1E8C">
        <w:rPr>
          <w:b/>
          <w:color w:val="548DD4"/>
          <w:szCs w:val="24"/>
        </w:rPr>
        <w:t>МЕСТНА ИНИЦИАТИВНА ГРУПА - ТРОЯН, АПРИЛЦИ, УГЪРЧИН</w:t>
      </w:r>
    </w:p>
    <w:p w14:paraId="79B36E66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olor w:val="548DD4"/>
          <w:szCs w:val="24"/>
        </w:rPr>
      </w:pPr>
      <w:r w:rsidRPr="004D1E8C">
        <w:rPr>
          <w:b/>
          <w:caps/>
          <w:color w:val="548DD4"/>
          <w:szCs w:val="24"/>
        </w:rPr>
        <w:t>Открива процедура за подбор на проектни предложения</w:t>
      </w:r>
    </w:p>
    <w:p w14:paraId="739F26FA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aps/>
          <w:color w:val="548DD4"/>
          <w:szCs w:val="24"/>
        </w:rPr>
      </w:pPr>
      <w:r w:rsidRPr="004D1E8C">
        <w:rPr>
          <w:b/>
          <w:caps/>
          <w:color w:val="548DD4"/>
          <w:szCs w:val="24"/>
        </w:rPr>
        <w:t>за предОставяне на безвъзмездна финансова помощ</w:t>
      </w:r>
    </w:p>
    <w:p w14:paraId="3BA742A0" w14:textId="77777777" w:rsidR="00D3123F" w:rsidRPr="004D1E8C" w:rsidRDefault="00D3123F" w:rsidP="00080A5C">
      <w:pPr>
        <w:spacing w:after="0" w:line="23" w:lineRule="atLeast"/>
        <w:jc w:val="center"/>
        <w:outlineLvl w:val="0"/>
        <w:rPr>
          <w:b/>
          <w:caps/>
          <w:color w:val="548DD4"/>
          <w:szCs w:val="24"/>
        </w:rPr>
      </w:pPr>
    </w:p>
    <w:p w14:paraId="5F0CA81E" w14:textId="1B08002B" w:rsidR="003170F7" w:rsidRDefault="00C12F49" w:rsidP="009E53FB">
      <w:pPr>
        <w:spacing w:line="23" w:lineRule="atLeast"/>
        <w:jc w:val="both"/>
        <w:outlineLvl w:val="0"/>
        <w:rPr>
          <w:szCs w:val="24"/>
        </w:rPr>
      </w:pPr>
      <w:bookmarkStart w:id="3" w:name="_Toc54093778"/>
      <w:r w:rsidRPr="00C12F49">
        <w:rPr>
          <w:b/>
          <w:bCs/>
          <w:color w:val="2E74B5" w:themeColor="accent1" w:themeShade="BF"/>
        </w:rPr>
        <w:t>BG06RDNP001-19.</w:t>
      </w:r>
      <w:r w:rsidRPr="00C12F49">
        <w:rPr>
          <w:b/>
          <w:bCs/>
          <w:color w:val="2E74B5" w:themeColor="accent1" w:themeShade="BF"/>
          <w:lang w:val="en-GB"/>
        </w:rPr>
        <w:t>456</w:t>
      </w:r>
      <w:r w:rsidRPr="00C12F49">
        <w:rPr>
          <w:b/>
          <w:bCs/>
          <w:color w:val="2E74B5" w:themeColor="accent1" w:themeShade="BF"/>
        </w:rPr>
        <w:t xml:space="preserve"> </w:t>
      </w:r>
      <w:r w:rsidRPr="00C12F49">
        <w:rPr>
          <w:b/>
          <w:bCs/>
          <w:color w:val="2E74B5" w:themeColor="accent1" w:themeShade="BF"/>
          <w:lang w:val="en-GB"/>
        </w:rPr>
        <w:t xml:space="preserve">- </w:t>
      </w:r>
      <w:r w:rsidRPr="00C12F49">
        <w:rPr>
          <w:b/>
          <w:bCs/>
          <w:color w:val="2E74B5" w:themeColor="accent1" w:themeShade="BF"/>
        </w:rPr>
        <w:t>МИГ-Троян, Априлци, Угърчин_66_ М</w:t>
      </w:r>
      <w:r w:rsidRPr="00C12F49">
        <w:rPr>
          <w:b/>
          <w:bCs/>
          <w:color w:val="2E74B5" w:themeColor="accent1" w:themeShade="BF"/>
          <w:lang w:val="en-GB"/>
        </w:rPr>
        <w:t>_</w:t>
      </w:r>
      <w:r w:rsidRPr="00C12F49">
        <w:rPr>
          <w:b/>
          <w:bCs/>
          <w:color w:val="2E74B5" w:themeColor="accent1" w:themeShade="BF"/>
        </w:rPr>
        <w:t xml:space="preserve"> 7.5.”Инвестиции за публично ползване в инфраструктура за отдих, туристическа инфраструктура”</w:t>
      </w:r>
      <w:bookmarkEnd w:id="3"/>
    </w:p>
    <w:p w14:paraId="039A7712" w14:textId="550D61A7" w:rsidR="00083971" w:rsidRDefault="00D3123F" w:rsidP="009E53FB">
      <w:pPr>
        <w:spacing w:line="23" w:lineRule="atLeast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Pr="00012F1A">
        <w:rPr>
          <w:szCs w:val="24"/>
        </w:rPr>
        <w:t>Троян, Априлци, Угърчин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C12F49" w:rsidRPr="00C12F49">
        <w:rPr>
          <w:b/>
          <w:bCs/>
        </w:rPr>
        <w:t>BG06RDNP001-19.</w:t>
      </w:r>
      <w:r w:rsidR="00C12F49" w:rsidRPr="00C12F49">
        <w:rPr>
          <w:b/>
          <w:bCs/>
          <w:lang w:val="en-GB"/>
        </w:rPr>
        <w:t>456</w:t>
      </w:r>
      <w:r w:rsidR="00C12F49" w:rsidRPr="00C12F49">
        <w:rPr>
          <w:b/>
          <w:bCs/>
        </w:rPr>
        <w:t xml:space="preserve"> </w:t>
      </w:r>
      <w:r w:rsidR="00C12F49" w:rsidRPr="00C12F49">
        <w:rPr>
          <w:b/>
          <w:bCs/>
          <w:lang w:val="en-GB"/>
        </w:rPr>
        <w:t xml:space="preserve">- </w:t>
      </w:r>
      <w:r w:rsidR="00C12F49" w:rsidRPr="00C12F49">
        <w:rPr>
          <w:b/>
          <w:bCs/>
        </w:rPr>
        <w:t>МИГ-Троян, Априлци, Угърчин_66_ М</w:t>
      </w:r>
      <w:r w:rsidR="00C12F49" w:rsidRPr="00C12F49">
        <w:rPr>
          <w:b/>
          <w:bCs/>
          <w:lang w:val="en-GB"/>
        </w:rPr>
        <w:t>_</w:t>
      </w:r>
      <w:r w:rsidR="00C12F49" w:rsidRPr="00C12F49">
        <w:rPr>
          <w:b/>
          <w:bCs/>
        </w:rPr>
        <w:t xml:space="preserve"> 7.5.”Инвестиции за публично ползване в инфраструктура за отдих, туристическа инфраструктура”</w:t>
      </w:r>
    </w:p>
    <w:p w14:paraId="57D69DCB" w14:textId="77777777" w:rsidR="00D3123F" w:rsidRDefault="00D3123F" w:rsidP="009E53FB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="003B5C22">
        <w:rPr>
          <w:szCs w:val="24"/>
        </w:rPr>
        <w:t xml:space="preserve"> г</w:t>
      </w:r>
      <w:r w:rsidRPr="00D3123F">
        <w:rPr>
          <w:szCs w:val="24"/>
        </w:rPr>
        <w:t xml:space="preserve">. </w:t>
      </w:r>
    </w:p>
    <w:p w14:paraId="5F704DAF" w14:textId="77777777" w:rsidR="00D3123F" w:rsidRDefault="00D3123F" w:rsidP="009E53FB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</w:p>
    <w:p w14:paraId="726123B7" w14:textId="77777777" w:rsidR="00080A5C" w:rsidRDefault="00D3123F" w:rsidP="009E53FB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>:</w:t>
      </w:r>
    </w:p>
    <w:p w14:paraId="13A407F6" w14:textId="77777777" w:rsidR="00EA1FE8" w:rsidRPr="00080A5C" w:rsidRDefault="00080A5C" w:rsidP="009E53FB">
      <w:pPr>
        <w:spacing w:line="23" w:lineRule="atLeast"/>
        <w:jc w:val="both"/>
        <w:rPr>
          <w:b/>
          <w:szCs w:val="24"/>
        </w:rPr>
      </w:pPr>
      <w:r w:rsidRPr="005153EF">
        <w:rPr>
          <w:noProof/>
          <w:szCs w:val="24"/>
        </w:rPr>
        <w:t xml:space="preserve">Туризмът е сред приоритетите за развитие на територията на МИГ. </w:t>
      </w:r>
      <w:r>
        <w:rPr>
          <w:noProof/>
          <w:szCs w:val="24"/>
        </w:rPr>
        <w:t>С п</w:t>
      </w:r>
      <w:r w:rsidRPr="005153EF">
        <w:rPr>
          <w:noProof/>
          <w:szCs w:val="24"/>
        </w:rPr>
        <w:t xml:space="preserve">рилагането на </w:t>
      </w:r>
      <w:r w:rsidR="00D3123F" w:rsidRPr="00D3123F">
        <w:rPr>
          <w:szCs w:val="24"/>
        </w:rPr>
        <w:t>Мярка 7.</w:t>
      </w:r>
      <w:r w:rsidR="00EA1FE8">
        <w:rPr>
          <w:szCs w:val="24"/>
        </w:rPr>
        <w:t>5</w:t>
      </w:r>
      <w:r w:rsidR="00D3123F" w:rsidRPr="00D3123F">
        <w:rPr>
          <w:szCs w:val="24"/>
        </w:rPr>
        <w:t xml:space="preserve"> "</w:t>
      </w:r>
      <w:r w:rsidR="00EA1FE8" w:rsidRPr="00EA1FE8">
        <w:rPr>
          <w:szCs w:val="24"/>
        </w:rPr>
        <w:t>Инвестиции за публично ползване в инфраструктура за отдих, туристическа инфраструктура</w:t>
      </w:r>
      <w:r w:rsidR="00D3123F" w:rsidRPr="00D3123F">
        <w:rPr>
          <w:szCs w:val="24"/>
        </w:rPr>
        <w:t xml:space="preserve">" </w:t>
      </w:r>
      <w:r>
        <w:rPr>
          <w:szCs w:val="24"/>
        </w:rPr>
        <w:t xml:space="preserve">се </w:t>
      </w:r>
      <w:r w:rsidR="00EA1FE8" w:rsidRPr="00EA1FE8">
        <w:rPr>
          <w:szCs w:val="24"/>
        </w:rPr>
        <w:t>цели:</w:t>
      </w:r>
    </w:p>
    <w:p w14:paraId="16D2322D" w14:textId="77777777" w:rsidR="00EA1FE8" w:rsidRPr="00EA1FE8" w:rsidRDefault="00EA1FE8" w:rsidP="009E53FB">
      <w:pPr>
        <w:pStyle w:val="a9"/>
        <w:numPr>
          <w:ilvl w:val="0"/>
          <w:numId w:val="22"/>
        </w:numPr>
        <w:tabs>
          <w:tab w:val="left" w:pos="284"/>
        </w:tabs>
        <w:spacing w:line="23" w:lineRule="atLeast"/>
        <w:ind w:left="0" w:firstLine="0"/>
        <w:jc w:val="both"/>
        <w:rPr>
          <w:szCs w:val="24"/>
        </w:rPr>
      </w:pPr>
      <w:r w:rsidRPr="00EA1FE8">
        <w:rPr>
          <w:szCs w:val="24"/>
        </w:rPr>
        <w:t>постигане на балансирано и устойчиво развитие на територията;</w:t>
      </w:r>
    </w:p>
    <w:p w14:paraId="18DB989B" w14:textId="77777777" w:rsidR="00EA1FE8" w:rsidRDefault="00EA1FE8" w:rsidP="009E53FB">
      <w:pPr>
        <w:pStyle w:val="a9"/>
        <w:numPr>
          <w:ilvl w:val="0"/>
          <w:numId w:val="22"/>
        </w:numPr>
        <w:tabs>
          <w:tab w:val="left" w:pos="284"/>
        </w:tabs>
        <w:spacing w:line="23" w:lineRule="atLeast"/>
        <w:ind w:left="0" w:firstLine="0"/>
        <w:jc w:val="both"/>
        <w:rPr>
          <w:szCs w:val="24"/>
        </w:rPr>
      </w:pPr>
      <w:r w:rsidRPr="00EA1FE8">
        <w:rPr>
          <w:szCs w:val="24"/>
        </w:rPr>
        <w:t>развитието на туризма в района да се обвърже с националните и европейски културни и туристически маршрути и с развитите туристически зони, за да получат шанс за адекватно експониране и популяризиране на ценностите.</w:t>
      </w:r>
    </w:p>
    <w:p w14:paraId="3B7A24E3" w14:textId="77777777" w:rsidR="00080A5C" w:rsidRPr="00080A5C" w:rsidRDefault="00080A5C" w:rsidP="009E53FB">
      <w:pPr>
        <w:spacing w:after="240"/>
        <w:jc w:val="both"/>
        <w:rPr>
          <w:noProof/>
          <w:szCs w:val="24"/>
        </w:rPr>
      </w:pPr>
      <w:r w:rsidRPr="00080A5C">
        <w:rPr>
          <w:b/>
          <w:noProof/>
          <w:szCs w:val="24"/>
        </w:rPr>
        <w:t>Обхват на мярката</w:t>
      </w:r>
      <w:r w:rsidRPr="00080A5C">
        <w:rPr>
          <w:noProof/>
          <w:szCs w:val="24"/>
        </w:rPr>
        <w:t xml:space="preserve"> – цялата територия на</w:t>
      </w:r>
      <w:r>
        <w:rPr>
          <w:noProof/>
          <w:szCs w:val="24"/>
        </w:rPr>
        <w:t xml:space="preserve"> Сдружение „</w:t>
      </w:r>
      <w:r w:rsidRPr="00080A5C">
        <w:rPr>
          <w:noProof/>
          <w:szCs w:val="24"/>
        </w:rPr>
        <w:t xml:space="preserve">МИГ </w:t>
      </w:r>
      <w:r>
        <w:rPr>
          <w:noProof/>
          <w:szCs w:val="24"/>
        </w:rPr>
        <w:t xml:space="preserve">- </w:t>
      </w:r>
      <w:r w:rsidRPr="00080A5C">
        <w:rPr>
          <w:noProof/>
          <w:szCs w:val="24"/>
        </w:rPr>
        <w:t>Троян, Априлци, Угърчин</w:t>
      </w:r>
      <w:r>
        <w:rPr>
          <w:noProof/>
          <w:szCs w:val="24"/>
        </w:rPr>
        <w:t>“</w:t>
      </w:r>
    </w:p>
    <w:p w14:paraId="57E5E33E" w14:textId="77777777" w:rsidR="00D3123F" w:rsidRDefault="00D3123F" w:rsidP="009E53FB">
      <w:pPr>
        <w:spacing w:line="23" w:lineRule="atLeast"/>
        <w:jc w:val="both"/>
        <w:rPr>
          <w:b/>
          <w:szCs w:val="24"/>
        </w:rPr>
      </w:pPr>
      <w:r w:rsidRPr="00012F1A">
        <w:rPr>
          <w:szCs w:val="24"/>
        </w:rPr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14:paraId="294BA601" w14:textId="77777777" w:rsidR="00D3123F" w:rsidRPr="00843738" w:rsidRDefault="00D3123F" w:rsidP="009E53FB">
      <w:pPr>
        <w:tabs>
          <w:tab w:val="left" w:pos="142"/>
        </w:tabs>
        <w:spacing w:line="23" w:lineRule="atLeast"/>
        <w:jc w:val="both"/>
        <w:rPr>
          <w:b/>
          <w:color w:val="000000"/>
          <w:szCs w:val="24"/>
          <w:shd w:val="clear" w:color="auto" w:fill="FEFEFE"/>
          <w:lang w:val="en-US"/>
        </w:rPr>
      </w:pPr>
    </w:p>
    <w:p w14:paraId="562C3E17" w14:textId="77777777" w:rsidR="00D3123F" w:rsidRPr="004D1E8C" w:rsidRDefault="00D3123F" w:rsidP="009E53FB">
      <w:pPr>
        <w:shd w:val="clear" w:color="auto" w:fill="FEFEFE"/>
        <w:spacing w:line="23" w:lineRule="atLeast"/>
        <w:rPr>
          <w:rStyle w:val="indented"/>
          <w:b/>
          <w:color w:val="548DD4"/>
          <w:szCs w:val="24"/>
          <w:lang w:val="en-US" w:eastAsia="bg-BG"/>
        </w:rPr>
      </w:pPr>
      <w:r w:rsidRPr="004D1E8C">
        <w:rPr>
          <w:b/>
          <w:color w:val="548DD4"/>
          <w:szCs w:val="24"/>
          <w:lang w:eastAsia="bg-BG"/>
        </w:rPr>
        <w:t>1. НАИМЕНОВАНИЕ НА МЯРКАТА ОТ СТРАТЕГИЯТА ЗА ВОМР</w:t>
      </w:r>
    </w:p>
    <w:p w14:paraId="7A56EE5D" w14:textId="77777777" w:rsidR="00D3123F" w:rsidRDefault="00EA1FE8" w:rsidP="009E53FB">
      <w:pPr>
        <w:shd w:val="clear" w:color="auto" w:fill="FEFEFE"/>
        <w:spacing w:line="23" w:lineRule="atLeast"/>
        <w:jc w:val="both"/>
        <w:rPr>
          <w:b/>
          <w:color w:val="000000"/>
          <w:szCs w:val="24"/>
          <w:lang w:val="en-US" w:eastAsia="bg-BG"/>
        </w:rPr>
      </w:pPr>
      <w:r w:rsidRPr="00EA1FE8">
        <w:rPr>
          <w:rStyle w:val="indented"/>
          <w:b/>
          <w:i/>
        </w:rPr>
        <w:t xml:space="preserve">Мярка 7.5 "Инвестиции за публично ползване в инфраструктура за отдих, туристическа инфраструктура" </w:t>
      </w:r>
    </w:p>
    <w:p w14:paraId="74036935" w14:textId="77777777" w:rsidR="00D3123F" w:rsidRPr="004D1E8C" w:rsidRDefault="00D3123F" w:rsidP="009E53FB">
      <w:pPr>
        <w:shd w:val="clear" w:color="auto" w:fill="FEFEFE"/>
        <w:spacing w:line="23" w:lineRule="atLeast"/>
        <w:rPr>
          <w:b/>
          <w:color w:val="548DD4"/>
          <w:szCs w:val="24"/>
          <w:lang w:val="en-US" w:eastAsia="bg-BG"/>
        </w:rPr>
      </w:pPr>
      <w:r w:rsidRPr="004D1E8C">
        <w:rPr>
          <w:b/>
          <w:color w:val="548DD4"/>
          <w:szCs w:val="24"/>
          <w:lang w:eastAsia="bg-BG"/>
        </w:rPr>
        <w:t>2. ДОПУСТИМИ КАНДИДАТИ</w:t>
      </w:r>
    </w:p>
    <w:p w14:paraId="41E8072C" w14:textId="77777777" w:rsidR="00EA1FE8" w:rsidRPr="005153EF" w:rsidRDefault="00EA1FE8" w:rsidP="009E53FB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0"/>
        <w:rPr>
          <w:noProof/>
          <w:szCs w:val="24"/>
        </w:rPr>
      </w:pPr>
      <w:r w:rsidRPr="005153EF">
        <w:rPr>
          <w:noProof/>
          <w:szCs w:val="24"/>
        </w:rPr>
        <w:t>Общините Троян, Априлци, Угърчин;</w:t>
      </w:r>
    </w:p>
    <w:p w14:paraId="7D67F2A1" w14:textId="77777777" w:rsidR="00EA1FE8" w:rsidRPr="005153EF" w:rsidRDefault="00EA1FE8" w:rsidP="009E53FB">
      <w:pPr>
        <w:numPr>
          <w:ilvl w:val="0"/>
          <w:numId w:val="23"/>
        </w:numPr>
        <w:tabs>
          <w:tab w:val="left" w:pos="284"/>
        </w:tabs>
        <w:spacing w:line="276" w:lineRule="auto"/>
        <w:ind w:left="0" w:firstLine="0"/>
        <w:rPr>
          <w:b/>
          <w:szCs w:val="24"/>
          <w:shd w:val="clear" w:color="auto" w:fill="FEFEFE"/>
        </w:rPr>
      </w:pPr>
      <w:r w:rsidRPr="005153EF">
        <w:rPr>
          <w:noProof/>
          <w:szCs w:val="24"/>
        </w:rPr>
        <w:t>Юридически лица с нестопанска цел</w:t>
      </w:r>
    </w:p>
    <w:p w14:paraId="17D40DEA" w14:textId="77777777" w:rsidR="00D3123F" w:rsidRPr="004D1E8C" w:rsidRDefault="00D3123F" w:rsidP="009E53FB">
      <w:pPr>
        <w:shd w:val="clear" w:color="auto" w:fill="FEFEFE"/>
        <w:spacing w:line="23" w:lineRule="atLeast"/>
        <w:rPr>
          <w:b/>
          <w:color w:val="548DD4"/>
          <w:szCs w:val="24"/>
          <w:lang w:val="en-US" w:eastAsia="bg-BG"/>
        </w:rPr>
      </w:pPr>
      <w:r>
        <w:rPr>
          <w:b/>
          <w:color w:val="548DD4"/>
          <w:szCs w:val="24"/>
          <w:lang w:eastAsia="bg-BG"/>
        </w:rPr>
        <w:t>3. ДОПУСТИМИ</w:t>
      </w:r>
      <w:r w:rsidRPr="004D1E8C">
        <w:rPr>
          <w:b/>
          <w:color w:val="548DD4"/>
          <w:szCs w:val="24"/>
          <w:lang w:eastAsia="bg-BG"/>
        </w:rPr>
        <w:t xml:space="preserve"> ДЕЙНОСТИ</w:t>
      </w:r>
    </w:p>
    <w:p w14:paraId="3C5E2C00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eastAsia="bg-BG"/>
        </w:rPr>
        <w:lastRenderedPageBreak/>
        <w:t>1</w:t>
      </w: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туристически информационни центрове;</w:t>
      </w:r>
    </w:p>
    <w:p w14:paraId="03CAD0D3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2)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посетителските центрове за представяне и експониране на местното природно и културно наследство;</w:t>
      </w:r>
    </w:p>
    <w:p w14:paraId="16B9D372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3)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ремонт, закупуване на оборудване и/или обзавеждане на центровете за изкуство и занаяти с туристическа цел;</w:t>
      </w:r>
    </w:p>
    <w:p w14:paraId="71F17701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4)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 наследство и предоставящи услуги с познавателна или образователна цел;</w:t>
      </w:r>
    </w:p>
    <w:p w14:paraId="576F6337" w14:textId="77777777" w:rsidR="00C12F49" w:rsidRPr="00C12F49" w:rsidRDefault="00C12F49" w:rsidP="009E53FB">
      <w:pPr>
        <w:tabs>
          <w:tab w:val="left" w:pos="284"/>
        </w:tabs>
        <w:spacing w:after="120" w:line="276" w:lineRule="auto"/>
        <w:jc w:val="both"/>
        <w:rPr>
          <w:rFonts w:eastAsia="Times New Roman" w:cs="Times New Roman"/>
          <w:noProof/>
          <w:szCs w:val="24"/>
          <w:lang w:eastAsia="bg-BG"/>
        </w:rPr>
      </w:pPr>
      <w:r w:rsidRPr="00C12F49">
        <w:rPr>
          <w:rFonts w:eastAsia="Times New Roman" w:cs="Times New Roman"/>
          <w:noProof/>
          <w:szCs w:val="24"/>
          <w:lang w:val="en-GB" w:eastAsia="bg-BG"/>
        </w:rPr>
        <w:t xml:space="preserve">5) </w:t>
      </w:r>
      <w:r w:rsidRPr="00C12F49">
        <w:rPr>
          <w:rFonts w:eastAsia="Times New Roman" w:cs="Times New Roman"/>
          <w:noProof/>
          <w:szCs w:val="24"/>
          <w:lang w:eastAsia="bg-BG"/>
        </w:rPr>
        <w:t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велоалеи и туристически пътеки).</w:t>
      </w:r>
    </w:p>
    <w:p w14:paraId="1F75AFFD" w14:textId="77777777" w:rsidR="007C3C18" w:rsidRPr="007C3C18" w:rsidRDefault="007C3C18" w:rsidP="009E53FB">
      <w:pPr>
        <w:pStyle w:val="af"/>
        <w:spacing w:line="23" w:lineRule="atLeast"/>
        <w:jc w:val="both"/>
        <w:rPr>
          <w:rFonts w:ascii="Times New Roman" w:hAnsi="Times New Roman"/>
          <w:lang w:val="bg-BG"/>
        </w:rPr>
      </w:pPr>
    </w:p>
    <w:p w14:paraId="5100C924" w14:textId="77777777" w:rsidR="00EC7BD7" w:rsidRDefault="00EC7BD7" w:rsidP="009E53FB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 w:rsidRPr="00EC7BD7">
        <w:rPr>
          <w:b/>
          <w:color w:val="548DD4"/>
          <w:szCs w:val="24"/>
          <w:lang w:eastAsia="bg-BG"/>
        </w:rPr>
        <w:t>4</w:t>
      </w:r>
      <w:r>
        <w:rPr>
          <w:b/>
          <w:color w:val="548DD4"/>
          <w:szCs w:val="24"/>
          <w:lang w:eastAsia="bg-BG"/>
        </w:rPr>
        <w:t>. ДОПУСТИМИ РАЗХОДИ</w:t>
      </w:r>
    </w:p>
    <w:p w14:paraId="26314827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1.</w:t>
      </w:r>
      <w:r w:rsidR="00EA1FE8" w:rsidRPr="005153EF">
        <w:rPr>
          <w:noProof/>
          <w:szCs w:val="24"/>
        </w:rPr>
        <w:t xml:space="preserve"> Изграждането, включително отпускането на лизинг, или подобренията на недвижимо имущество;</w:t>
      </w:r>
    </w:p>
    <w:p w14:paraId="4BA9C8B3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2.</w:t>
      </w:r>
      <w:r w:rsidR="00EA1FE8" w:rsidRPr="005153EF">
        <w:rPr>
          <w:noProof/>
          <w:szCs w:val="24"/>
        </w:rPr>
        <w:t xml:space="preserve"> Закупуването или вземането на лизинг на нови машини и оборудване, обзавеждане до пазарната цена на актива;</w:t>
      </w:r>
    </w:p>
    <w:p w14:paraId="4B854E46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3.</w:t>
      </w:r>
      <w:r w:rsidR="00EA1FE8" w:rsidRPr="005153EF">
        <w:rPr>
          <w:noProof/>
          <w:szCs w:val="24"/>
        </w:rPr>
        <w:t xml:space="preserve"> Общи разходи, свързани с изброените по-горе, например хонорари на архитекти, инженери и консултанти, хонорари, свързани с консултации относно екологичната и икономическата устойчивост;</w:t>
      </w:r>
    </w:p>
    <w:p w14:paraId="5418A5B3" w14:textId="77777777" w:rsidR="00EA1FE8" w:rsidRPr="005153EF" w:rsidRDefault="009345D5" w:rsidP="009E53FB">
      <w:pPr>
        <w:spacing w:before="120" w:after="0"/>
        <w:jc w:val="both"/>
        <w:rPr>
          <w:noProof/>
          <w:szCs w:val="24"/>
        </w:rPr>
      </w:pPr>
      <w:r>
        <w:rPr>
          <w:noProof/>
          <w:szCs w:val="24"/>
        </w:rPr>
        <w:t>4.</w:t>
      </w:r>
      <w:r w:rsidR="00EA1FE8" w:rsidRPr="005153EF">
        <w:rPr>
          <w:noProof/>
          <w:szCs w:val="24"/>
        </w:rPr>
        <w:t xml:space="preserve"> Следните 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5099AECD" w14:textId="77777777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Разходите по т. „</w:t>
      </w:r>
      <w:r w:rsidR="009345D5">
        <w:rPr>
          <w:noProof/>
          <w:szCs w:val="24"/>
        </w:rPr>
        <w:t>3</w:t>
      </w:r>
      <w:r w:rsidRPr="005153EF">
        <w:rPr>
          <w:noProof/>
          <w:szCs w:val="24"/>
        </w:rPr>
        <w:t>“ не трябва да надхвърлят 12% от сумата на разходите по т. „</w:t>
      </w:r>
      <w:r w:rsidR="009345D5">
        <w:rPr>
          <w:noProof/>
          <w:szCs w:val="24"/>
        </w:rPr>
        <w:t>1</w:t>
      </w:r>
      <w:r w:rsidRPr="005153EF">
        <w:rPr>
          <w:noProof/>
          <w:szCs w:val="24"/>
        </w:rPr>
        <w:t>“, „</w:t>
      </w:r>
      <w:r w:rsidR="009345D5">
        <w:rPr>
          <w:noProof/>
          <w:szCs w:val="24"/>
        </w:rPr>
        <w:t>2</w:t>
      </w:r>
      <w:r w:rsidRPr="005153EF">
        <w:rPr>
          <w:noProof/>
          <w:szCs w:val="24"/>
        </w:rPr>
        <w:t>“ и „</w:t>
      </w:r>
      <w:r w:rsidR="009345D5">
        <w:rPr>
          <w:noProof/>
          <w:szCs w:val="24"/>
        </w:rPr>
        <w:t>4</w:t>
      </w:r>
      <w:r w:rsidRPr="005153EF">
        <w:rPr>
          <w:noProof/>
          <w:szCs w:val="24"/>
        </w:rPr>
        <w:t>“.</w:t>
      </w:r>
    </w:p>
    <w:p w14:paraId="32D3C218" w14:textId="77777777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Оперативните разходи, свързани с предоставянето на услугите са недопустими за подпомагане по подмярката.</w:t>
      </w:r>
    </w:p>
    <w:p w14:paraId="23205F0A" w14:textId="77777777" w:rsidR="00FC4F65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 различни от посочените в т. „</w:t>
      </w:r>
      <w:r w:rsidR="009345D5">
        <w:rPr>
          <w:noProof/>
          <w:szCs w:val="24"/>
        </w:rPr>
        <w:t>2</w:t>
      </w:r>
      <w:r w:rsidRPr="005153EF">
        <w:rPr>
          <w:noProof/>
          <w:szCs w:val="24"/>
        </w:rPr>
        <w:t>“, свързани с договора за лизинг, например марж на лизингодателя, разходи за рефинансиране на лихви, административни разходи и разходи за застраховка са недопустими за подпомагане по подмярката.</w:t>
      </w:r>
    </w:p>
    <w:p w14:paraId="7177420B" w14:textId="7E692794" w:rsidR="00EA1FE8" w:rsidRPr="005153EF" w:rsidRDefault="00EA1FE8" w:rsidP="009E53FB">
      <w:pPr>
        <w:spacing w:before="120" w:after="0"/>
        <w:jc w:val="both"/>
        <w:rPr>
          <w:noProof/>
          <w:szCs w:val="24"/>
        </w:rPr>
      </w:pPr>
      <w:r w:rsidRPr="005153EF">
        <w:rPr>
          <w:noProof/>
          <w:szCs w:val="24"/>
        </w:rPr>
        <w:t>Разходите за ДДС са допустими в случаите, когато не подлежат на възстановяване в съответствие с националното законодателство в областта на ДДС.</w:t>
      </w:r>
    </w:p>
    <w:p w14:paraId="072D9483" w14:textId="77777777" w:rsidR="00EC7BD7" w:rsidRDefault="00EC7BD7" w:rsidP="009E53FB">
      <w:pPr>
        <w:shd w:val="clear" w:color="auto" w:fill="FEFEFE"/>
        <w:spacing w:after="0" w:line="23" w:lineRule="atLeast"/>
        <w:rPr>
          <w:b/>
          <w:color w:val="548DD4"/>
          <w:szCs w:val="24"/>
          <w:lang w:eastAsia="bg-BG"/>
        </w:rPr>
      </w:pPr>
    </w:p>
    <w:p w14:paraId="7AA72A72" w14:textId="77777777" w:rsidR="00D3123F" w:rsidRPr="004D1E8C" w:rsidRDefault="00EC7BD7" w:rsidP="009E53FB">
      <w:pPr>
        <w:shd w:val="clear" w:color="auto" w:fill="FEFEFE"/>
        <w:spacing w:line="23" w:lineRule="atLeast"/>
        <w:jc w:val="both"/>
        <w:rPr>
          <w:b/>
          <w:color w:val="548DD4"/>
          <w:szCs w:val="24"/>
          <w:lang w:val="en-US" w:eastAsia="bg-BG"/>
        </w:rPr>
      </w:pPr>
      <w:r>
        <w:rPr>
          <w:b/>
          <w:color w:val="548DD4"/>
          <w:szCs w:val="24"/>
          <w:lang w:eastAsia="bg-BG"/>
        </w:rPr>
        <w:t>5</w:t>
      </w:r>
      <w:r w:rsidR="00D3123F" w:rsidRPr="004D1E8C">
        <w:rPr>
          <w:b/>
          <w:color w:val="548DD4"/>
          <w:szCs w:val="24"/>
          <w:lang w:eastAsia="bg-BG"/>
        </w:rPr>
        <w:t>. ПЕРИОД ЗА ПРИЕМ И МЯСТО ЗА ПОДАВАНЕ НА ПРОЕКТНИ ПРЕДЛОЖЕНИЯ</w:t>
      </w:r>
    </w:p>
    <w:p w14:paraId="5E91C79E" w14:textId="2DF1ACA0" w:rsidR="00C12F49" w:rsidRPr="00BF3AB5" w:rsidRDefault="00C12F49" w:rsidP="009E53FB">
      <w:pPr>
        <w:widowControl w:val="0"/>
        <w:shd w:val="clear" w:color="auto" w:fill="FEFEFE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bg-BG"/>
        </w:rPr>
      </w:pPr>
      <w:r w:rsidRPr="00C12F49">
        <w:rPr>
          <w:rFonts w:eastAsia="Times New Roman" w:cs="Times New Roman"/>
          <w:szCs w:val="24"/>
          <w:lang w:eastAsia="bg-BG"/>
        </w:rPr>
        <w:t xml:space="preserve">В съответствие с разпоредбите на чл. 42, ал. 4 на ПМС 161/2016 процедурата по </w:t>
      </w:r>
      <w:r w:rsidRPr="00C12F49">
        <w:rPr>
          <w:rFonts w:eastAsia="Calibri" w:cs="Times New Roman"/>
          <w:b/>
          <w:i/>
          <w:szCs w:val="24"/>
        </w:rPr>
        <w:t>Мярка 7.5 "Инвестиции за публично ползване в инфраструктура за отдих, туристическа инфраструктура“,</w:t>
      </w:r>
      <w:r w:rsidRPr="00C12F49">
        <w:rPr>
          <w:rFonts w:eastAsia="Times New Roman" w:cs="Times New Roman"/>
          <w:b/>
          <w:szCs w:val="24"/>
          <w:lang w:val="ru-RU" w:eastAsia="bg-BG"/>
        </w:rPr>
        <w:t xml:space="preserve"> </w:t>
      </w:r>
      <w:r w:rsidRPr="00C12F49">
        <w:rPr>
          <w:rFonts w:eastAsia="Times New Roman" w:cs="Times New Roman"/>
          <w:szCs w:val="24"/>
          <w:lang w:eastAsia="bg-BG"/>
        </w:rPr>
        <w:t xml:space="preserve">за подбор на проектни предложения в изпълнение на СВОМР е с </w:t>
      </w:r>
      <w:r w:rsidRPr="00C12F49">
        <w:rPr>
          <w:rFonts w:eastAsia="Times New Roman" w:cs="Times New Roman"/>
          <w:b/>
          <w:bCs/>
          <w:szCs w:val="24"/>
          <w:lang w:eastAsia="bg-BG"/>
        </w:rPr>
        <w:t xml:space="preserve">два  срока </w:t>
      </w:r>
      <w:r w:rsidRPr="00C12F49">
        <w:rPr>
          <w:rFonts w:eastAsia="Times New Roman" w:cs="Times New Roman"/>
          <w:szCs w:val="24"/>
          <w:lang w:eastAsia="bg-BG"/>
        </w:rPr>
        <w:t>за кандидатстване, както следва:</w:t>
      </w:r>
    </w:p>
    <w:p w14:paraId="1967443E" w14:textId="4506B8F0" w:rsidR="00C12F49" w:rsidRPr="00C12F49" w:rsidRDefault="00BF3AB5" w:rsidP="009E53FB">
      <w:pPr>
        <w:widowControl w:val="0"/>
        <w:autoSpaceDE w:val="0"/>
        <w:autoSpaceDN w:val="0"/>
        <w:adjustRightInd w:val="0"/>
        <w:spacing w:before="240" w:after="0" w:line="276" w:lineRule="auto"/>
        <w:jc w:val="both"/>
        <w:rPr>
          <w:rFonts w:eastAsia="Times New Roman" w:cs="Times New Roman"/>
          <w:b/>
          <w:szCs w:val="24"/>
          <w:lang w:eastAsia="bg-BG"/>
        </w:rPr>
      </w:pPr>
      <w:r>
        <w:rPr>
          <w:rFonts w:eastAsia="Times New Roman" w:cs="Times New Roman"/>
          <w:b/>
          <w:szCs w:val="24"/>
          <w:lang w:eastAsia="bg-BG"/>
        </w:rPr>
        <w:lastRenderedPageBreak/>
        <w:tab/>
      </w:r>
      <w:r w:rsidR="00C12F49" w:rsidRPr="00C12F49">
        <w:rPr>
          <w:rFonts w:eastAsia="Times New Roman" w:cs="Times New Roman"/>
          <w:b/>
          <w:szCs w:val="24"/>
          <w:lang w:eastAsia="bg-BG"/>
        </w:rPr>
        <w:t>Втори краен срок за кандидатстване:</w:t>
      </w:r>
    </w:p>
    <w:p w14:paraId="0C2ED075" w14:textId="77777777" w:rsidR="00B01647" w:rsidRPr="007A2C01" w:rsidRDefault="00B01647" w:rsidP="00B01647">
      <w:pPr>
        <w:spacing w:line="276" w:lineRule="auto"/>
        <w:jc w:val="both"/>
        <w:rPr>
          <w:szCs w:val="24"/>
        </w:rPr>
      </w:pPr>
      <w:r w:rsidRPr="007A2C01">
        <w:rPr>
          <w:szCs w:val="24"/>
        </w:rPr>
        <w:t>В случай, че е налице неусвоен финансов ресурс от първия краен срок на кандидатстване, МИГ предвижда втори краен срок през 202</w:t>
      </w:r>
      <w:r>
        <w:rPr>
          <w:szCs w:val="24"/>
        </w:rPr>
        <w:t xml:space="preserve">2 </w:t>
      </w:r>
      <w:r w:rsidRPr="007A2C01">
        <w:rPr>
          <w:szCs w:val="24"/>
        </w:rPr>
        <w:t>г., при същите условия, без значение размера на остатъчния финансов ресурс от 20</w:t>
      </w:r>
      <w:r>
        <w:rPr>
          <w:szCs w:val="24"/>
        </w:rPr>
        <w:t xml:space="preserve">20 </w:t>
      </w:r>
      <w:r w:rsidRPr="007A2C01">
        <w:rPr>
          <w:szCs w:val="24"/>
        </w:rPr>
        <w:t>г.</w:t>
      </w:r>
    </w:p>
    <w:p w14:paraId="258A07AF" w14:textId="77777777" w:rsidR="00C12F49" w:rsidRPr="00C12F49" w:rsidRDefault="00C12F49" w:rsidP="009E53F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  <w:lang w:eastAsia="bg-BG"/>
        </w:rPr>
      </w:pPr>
    </w:p>
    <w:p w14:paraId="3B5596EC" w14:textId="126CB491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C12F49">
        <w:rPr>
          <w:rFonts w:eastAsia="Calibri" w:cs="Times New Roman"/>
          <w:szCs w:val="24"/>
        </w:rPr>
        <w:t xml:space="preserve">Начален срок за подаване на проектните предложения: </w:t>
      </w:r>
      <w:r w:rsidRPr="00C12F49">
        <w:rPr>
          <w:rFonts w:eastAsia="Calibri" w:cs="Times New Roman"/>
          <w:b/>
          <w:szCs w:val="24"/>
        </w:rPr>
        <w:t>от 0</w:t>
      </w:r>
      <w:r w:rsidR="00B01647">
        <w:rPr>
          <w:rFonts w:eastAsia="Calibri" w:cs="Times New Roman"/>
          <w:b/>
          <w:szCs w:val="24"/>
        </w:rPr>
        <w:t>4</w:t>
      </w:r>
      <w:r w:rsidRPr="00C12F49">
        <w:rPr>
          <w:rFonts w:eastAsia="Calibri" w:cs="Times New Roman"/>
          <w:b/>
          <w:szCs w:val="24"/>
        </w:rPr>
        <w:t>.0</w:t>
      </w:r>
      <w:r w:rsidR="00B01647">
        <w:rPr>
          <w:rFonts w:eastAsia="Calibri" w:cs="Times New Roman"/>
          <w:b/>
          <w:szCs w:val="24"/>
        </w:rPr>
        <w:t>3</w:t>
      </w:r>
      <w:r w:rsidRPr="00C12F49">
        <w:rPr>
          <w:rFonts w:eastAsia="Calibri" w:cs="Times New Roman"/>
          <w:b/>
          <w:szCs w:val="24"/>
        </w:rPr>
        <w:t>.202</w:t>
      </w:r>
      <w:r w:rsidR="00B01647">
        <w:rPr>
          <w:rFonts w:eastAsia="Calibri" w:cs="Times New Roman"/>
          <w:b/>
          <w:szCs w:val="24"/>
        </w:rPr>
        <w:t xml:space="preserve">2 </w:t>
      </w:r>
      <w:r w:rsidRPr="00C12F49">
        <w:rPr>
          <w:rFonts w:eastAsia="Calibri" w:cs="Times New Roman"/>
          <w:b/>
          <w:szCs w:val="24"/>
        </w:rPr>
        <w:t>г.</w:t>
      </w:r>
    </w:p>
    <w:p w14:paraId="5D8BA71C" w14:textId="77777777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5196D309" w14:textId="743FFDC6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C12F49">
        <w:rPr>
          <w:rFonts w:eastAsia="Calibri" w:cs="Times New Roman"/>
          <w:szCs w:val="24"/>
        </w:rPr>
        <w:t xml:space="preserve">Краен срок за подаване на проектни предложения: </w:t>
      </w:r>
      <w:r w:rsidRPr="00C12F49">
        <w:rPr>
          <w:rFonts w:eastAsia="Calibri" w:cs="Times New Roman"/>
          <w:b/>
          <w:szCs w:val="24"/>
        </w:rPr>
        <w:t xml:space="preserve">до 16:30 часа </w:t>
      </w:r>
      <w:r w:rsidRPr="00B82226">
        <w:rPr>
          <w:rFonts w:eastAsia="Calibri" w:cs="Times New Roman"/>
          <w:b/>
          <w:szCs w:val="24"/>
        </w:rPr>
        <w:t xml:space="preserve">на </w:t>
      </w:r>
      <w:r w:rsidR="001C2F6B" w:rsidRPr="00B82226">
        <w:rPr>
          <w:rFonts w:eastAsia="Calibri" w:cs="Times New Roman"/>
          <w:b/>
          <w:szCs w:val="24"/>
        </w:rPr>
        <w:t>29</w:t>
      </w:r>
      <w:r w:rsidRPr="00B82226">
        <w:rPr>
          <w:rFonts w:eastAsia="Calibri" w:cs="Times New Roman"/>
          <w:b/>
          <w:szCs w:val="24"/>
        </w:rPr>
        <w:t>.</w:t>
      </w:r>
      <w:r w:rsidR="00B01647" w:rsidRPr="00B82226">
        <w:rPr>
          <w:rFonts w:eastAsia="Calibri" w:cs="Times New Roman"/>
          <w:b/>
          <w:szCs w:val="24"/>
        </w:rPr>
        <w:t>0</w:t>
      </w:r>
      <w:r w:rsidR="001C2F6B" w:rsidRPr="00B82226">
        <w:rPr>
          <w:rFonts w:eastAsia="Calibri" w:cs="Times New Roman"/>
          <w:b/>
          <w:szCs w:val="24"/>
        </w:rPr>
        <w:t>7</w:t>
      </w:r>
      <w:r w:rsidRPr="00B82226">
        <w:rPr>
          <w:rFonts w:eastAsia="Calibri" w:cs="Times New Roman"/>
          <w:b/>
          <w:szCs w:val="24"/>
        </w:rPr>
        <w:t>.202</w:t>
      </w:r>
      <w:r w:rsidR="00B01647" w:rsidRPr="00B82226">
        <w:rPr>
          <w:rFonts w:eastAsia="Calibri" w:cs="Times New Roman"/>
          <w:b/>
          <w:szCs w:val="24"/>
        </w:rPr>
        <w:t xml:space="preserve">2 </w:t>
      </w:r>
      <w:r w:rsidRPr="00B82226">
        <w:rPr>
          <w:rFonts w:eastAsia="Calibri" w:cs="Times New Roman"/>
          <w:b/>
          <w:szCs w:val="24"/>
        </w:rPr>
        <w:t>г.</w:t>
      </w:r>
    </w:p>
    <w:p w14:paraId="222ACF65" w14:textId="77777777" w:rsidR="00C12F49" w:rsidRPr="00C12F49" w:rsidRDefault="00C12F49" w:rsidP="009E53FB">
      <w:pPr>
        <w:spacing w:after="0" w:line="276" w:lineRule="auto"/>
        <w:jc w:val="both"/>
        <w:rPr>
          <w:rFonts w:eastAsia="Calibri" w:cs="Times New Roman"/>
          <w:b/>
          <w:szCs w:val="24"/>
        </w:rPr>
      </w:pPr>
    </w:p>
    <w:p w14:paraId="391BF6FA" w14:textId="77777777" w:rsidR="00CA30F7" w:rsidRPr="00012F1A" w:rsidRDefault="00CA30F7" w:rsidP="00CA30F7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13" w:history="1">
        <w:r w:rsidRPr="00CA30F7">
          <w:rPr>
            <w:rStyle w:val="a7"/>
            <w:color w:val="2E74B5" w:themeColor="accent1" w:themeShade="BF"/>
            <w:szCs w:val="24"/>
          </w:rPr>
          <w:t>https://eumis2020.government.bg</w:t>
        </w:r>
      </w:hyperlink>
      <w:r w:rsidRPr="00CA30F7">
        <w:rPr>
          <w:color w:val="2E74B5" w:themeColor="accent1" w:themeShade="BF"/>
          <w:szCs w:val="24"/>
        </w:rPr>
        <w:t>.</w:t>
      </w:r>
    </w:p>
    <w:p w14:paraId="2D91BBCC" w14:textId="77777777" w:rsidR="00A45BD3" w:rsidRPr="00A45BD3" w:rsidRDefault="00A45BD3" w:rsidP="009E53FB">
      <w:pPr>
        <w:spacing w:line="23" w:lineRule="atLeast"/>
        <w:jc w:val="both"/>
        <w:rPr>
          <w:b/>
          <w:szCs w:val="24"/>
        </w:rPr>
      </w:pPr>
    </w:p>
    <w:p w14:paraId="4ADE552E" w14:textId="77777777" w:rsidR="00D3123F" w:rsidRPr="004D1E8C" w:rsidRDefault="00EC7BD7" w:rsidP="009E53FB">
      <w:pPr>
        <w:shd w:val="clear" w:color="auto" w:fill="FEFEFE"/>
        <w:spacing w:line="23" w:lineRule="atLeast"/>
        <w:rPr>
          <w:b/>
          <w:color w:val="548DD4"/>
          <w:szCs w:val="24"/>
          <w:lang w:val="en-US" w:eastAsia="bg-BG"/>
        </w:rPr>
      </w:pPr>
      <w:r>
        <w:rPr>
          <w:b/>
          <w:color w:val="548DD4"/>
          <w:szCs w:val="24"/>
          <w:lang w:eastAsia="bg-BG"/>
        </w:rPr>
        <w:t>6</w:t>
      </w:r>
      <w:r w:rsidR="00D3123F" w:rsidRPr="004D1E8C">
        <w:rPr>
          <w:b/>
          <w:color w:val="548DD4"/>
          <w:szCs w:val="24"/>
          <w:lang w:eastAsia="bg-BG"/>
        </w:rPr>
        <w:t>. БЮДЖЕТ НА ПРИЕМА</w:t>
      </w:r>
    </w:p>
    <w:p w14:paraId="4E7697E8" w14:textId="28D368C7" w:rsidR="00D3123F" w:rsidRPr="00942416" w:rsidRDefault="00C91946" w:rsidP="009E53FB">
      <w:pPr>
        <w:spacing w:after="0" w:line="23" w:lineRule="atLeast"/>
        <w:jc w:val="both"/>
        <w:rPr>
          <w:b/>
          <w:iCs/>
          <w:szCs w:val="24"/>
        </w:rPr>
      </w:pPr>
      <w:r w:rsidRPr="00942416">
        <w:rPr>
          <w:b/>
          <w:iCs/>
          <w:szCs w:val="24"/>
        </w:rPr>
        <w:t>Б</w:t>
      </w:r>
      <w:r w:rsidR="00D3123F" w:rsidRPr="00942416">
        <w:rPr>
          <w:b/>
          <w:iCs/>
          <w:szCs w:val="24"/>
        </w:rPr>
        <w:t>юджет</w:t>
      </w:r>
      <w:r w:rsidRPr="00942416">
        <w:rPr>
          <w:b/>
          <w:iCs/>
          <w:szCs w:val="24"/>
        </w:rPr>
        <w:t>ът</w:t>
      </w:r>
      <w:r w:rsidR="00D3123F" w:rsidRPr="00942416">
        <w:rPr>
          <w:b/>
          <w:iCs/>
          <w:szCs w:val="24"/>
        </w:rPr>
        <w:t xml:space="preserve"> по процедурата е: </w:t>
      </w:r>
      <w:r w:rsidR="00EA1FE8" w:rsidRPr="00942416">
        <w:rPr>
          <w:b/>
          <w:iCs/>
          <w:szCs w:val="24"/>
        </w:rPr>
        <w:t>3</w:t>
      </w:r>
      <w:r w:rsidR="00B01647">
        <w:rPr>
          <w:b/>
          <w:iCs/>
          <w:szCs w:val="24"/>
        </w:rPr>
        <w:t>6</w:t>
      </w:r>
      <w:r w:rsidR="007C3C18" w:rsidRPr="00942416">
        <w:rPr>
          <w:b/>
          <w:iCs/>
          <w:szCs w:val="24"/>
        </w:rPr>
        <w:t>0</w:t>
      </w:r>
      <w:r w:rsidR="00B01647">
        <w:rPr>
          <w:b/>
          <w:iCs/>
          <w:szCs w:val="24"/>
        </w:rPr>
        <w:t> </w:t>
      </w:r>
      <w:r w:rsidR="007C3C18" w:rsidRPr="00942416">
        <w:rPr>
          <w:b/>
          <w:iCs/>
          <w:szCs w:val="24"/>
        </w:rPr>
        <w:t>000</w:t>
      </w:r>
      <w:r w:rsidR="00B01647">
        <w:rPr>
          <w:b/>
          <w:iCs/>
          <w:szCs w:val="24"/>
        </w:rPr>
        <w:t>,00</w:t>
      </w:r>
      <w:r w:rsidR="00D3123F" w:rsidRPr="00942416">
        <w:rPr>
          <w:b/>
          <w:iCs/>
          <w:szCs w:val="24"/>
        </w:rPr>
        <w:t xml:space="preserve"> лева.</w:t>
      </w:r>
    </w:p>
    <w:p w14:paraId="00B955DF" w14:textId="77777777" w:rsidR="00C12F49" w:rsidRPr="00B01647" w:rsidRDefault="00C12F49" w:rsidP="009E53FB">
      <w:pPr>
        <w:spacing w:after="0" w:line="23" w:lineRule="atLeast"/>
        <w:jc w:val="both"/>
        <w:rPr>
          <w:b/>
          <w:iCs/>
          <w:szCs w:val="24"/>
        </w:rPr>
      </w:pPr>
    </w:p>
    <w:p w14:paraId="48F49F6B" w14:textId="4D66B57B" w:rsidR="00B01647" w:rsidRPr="00B01647" w:rsidRDefault="00ED738B" w:rsidP="00B01647">
      <w:pPr>
        <w:pStyle w:val="TableParagraph"/>
        <w:spacing w:line="23" w:lineRule="atLeast"/>
        <w:ind w:left="26" w:right="119" w:firstLine="425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proofErr w:type="spellStart"/>
      <w:r w:rsidRPr="00B01647">
        <w:rPr>
          <w:rFonts w:ascii="Times New Roman" w:hAnsi="Times New Roman" w:cs="Times New Roman"/>
          <w:b/>
          <w:iCs/>
          <w:sz w:val="24"/>
          <w:szCs w:val="24"/>
        </w:rPr>
        <w:t>Бюджетът</w:t>
      </w:r>
      <w:proofErr w:type="spellEnd"/>
      <w:r w:rsidRPr="00B0164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01647">
        <w:rPr>
          <w:rFonts w:ascii="Times New Roman" w:hAnsi="Times New Roman" w:cs="Times New Roman"/>
          <w:b/>
          <w:iCs/>
          <w:sz w:val="24"/>
          <w:szCs w:val="24"/>
        </w:rPr>
        <w:t>по</w:t>
      </w:r>
      <w:proofErr w:type="spellEnd"/>
      <w:r w:rsidRPr="00B0164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01647">
        <w:rPr>
          <w:rFonts w:ascii="Times New Roman" w:hAnsi="Times New Roman" w:cs="Times New Roman"/>
          <w:b/>
          <w:iCs/>
          <w:sz w:val="24"/>
          <w:szCs w:val="24"/>
        </w:rPr>
        <w:t>процедурата</w:t>
      </w:r>
      <w:proofErr w:type="spellEnd"/>
      <w:r w:rsidRPr="00B0164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01647">
        <w:rPr>
          <w:rFonts w:ascii="Times New Roman" w:hAnsi="Times New Roman" w:cs="Times New Roman"/>
          <w:b/>
          <w:iCs/>
          <w:sz w:val="24"/>
          <w:szCs w:val="24"/>
        </w:rPr>
        <w:t>за</w:t>
      </w:r>
      <w:proofErr w:type="spellEnd"/>
      <w:r w:rsidRPr="00B01647">
        <w:rPr>
          <w:rFonts w:ascii="Times New Roman" w:hAnsi="Times New Roman" w:cs="Times New Roman"/>
          <w:b/>
          <w:iCs/>
          <w:sz w:val="24"/>
          <w:szCs w:val="24"/>
        </w:rPr>
        <w:t xml:space="preserve"> 2-ри </w:t>
      </w:r>
      <w:proofErr w:type="spellStart"/>
      <w:r w:rsidRPr="00B01647">
        <w:rPr>
          <w:rFonts w:ascii="Times New Roman" w:hAnsi="Times New Roman" w:cs="Times New Roman"/>
          <w:b/>
          <w:iCs/>
          <w:sz w:val="24"/>
          <w:szCs w:val="24"/>
        </w:rPr>
        <w:t>период</w:t>
      </w:r>
      <w:proofErr w:type="spellEnd"/>
      <w:r w:rsidRPr="00B0164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01647">
        <w:rPr>
          <w:rFonts w:ascii="Times New Roman" w:hAnsi="Times New Roman" w:cs="Times New Roman"/>
          <w:b/>
          <w:iCs/>
          <w:sz w:val="24"/>
          <w:szCs w:val="24"/>
        </w:rPr>
        <w:t>на</w:t>
      </w:r>
      <w:proofErr w:type="spellEnd"/>
      <w:r w:rsidRPr="00B0164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01647">
        <w:rPr>
          <w:rFonts w:ascii="Times New Roman" w:hAnsi="Times New Roman" w:cs="Times New Roman"/>
          <w:b/>
          <w:iCs/>
          <w:sz w:val="24"/>
          <w:szCs w:val="24"/>
        </w:rPr>
        <w:t>прием</w:t>
      </w:r>
      <w:proofErr w:type="spellEnd"/>
      <w:r w:rsidRPr="00B01647">
        <w:rPr>
          <w:rFonts w:ascii="Times New Roman" w:hAnsi="Times New Roman" w:cs="Times New Roman"/>
          <w:b/>
          <w:iCs/>
          <w:sz w:val="24"/>
          <w:szCs w:val="24"/>
        </w:rPr>
        <w:t xml:space="preserve"> е</w:t>
      </w:r>
      <w:r w:rsidR="00B01647" w:rsidRPr="00B01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647" w:rsidRPr="00B01647">
        <w:rPr>
          <w:rFonts w:ascii="Times New Roman" w:hAnsi="Times New Roman" w:cs="Times New Roman"/>
          <w:bCs/>
          <w:sz w:val="24"/>
          <w:szCs w:val="24"/>
          <w:lang w:val="bg-BG"/>
        </w:rPr>
        <w:t>формиран</w:t>
      </w:r>
      <w:r w:rsidR="00B01647" w:rsidRPr="00B0164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01647" w:rsidRPr="00B01647">
        <w:rPr>
          <w:rFonts w:ascii="Times New Roman" w:hAnsi="Times New Roman" w:cs="Times New Roman"/>
          <w:bCs/>
          <w:sz w:val="24"/>
          <w:szCs w:val="24"/>
          <w:lang w:val="bg-BG"/>
        </w:rPr>
        <w:t>на основание увеличение на финансовия ресурс на МИГ чрез сключено Допълнително споразумение № РД 50-200 от 19.11.2021 година и остатъчен финансов ресурс от предходн</w:t>
      </w:r>
      <w:r w:rsidR="00B01647">
        <w:rPr>
          <w:rFonts w:ascii="Times New Roman" w:hAnsi="Times New Roman" w:cs="Times New Roman"/>
          <w:bCs/>
          <w:sz w:val="24"/>
          <w:szCs w:val="24"/>
          <w:lang w:val="bg-BG"/>
        </w:rPr>
        <w:t>ия</w:t>
      </w:r>
      <w:r w:rsidR="00B01647" w:rsidRPr="00B0164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приключил </w:t>
      </w:r>
      <w:r w:rsidR="00B01647">
        <w:rPr>
          <w:rFonts w:ascii="Times New Roman" w:hAnsi="Times New Roman" w:cs="Times New Roman"/>
          <w:bCs/>
          <w:sz w:val="24"/>
          <w:szCs w:val="24"/>
          <w:lang w:val="bg-BG"/>
        </w:rPr>
        <w:t>прием на проектни предложения</w:t>
      </w:r>
      <w:r w:rsidR="00B01647" w:rsidRPr="00B0164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е в размер на </w:t>
      </w:r>
      <w:r w:rsidR="00B01647" w:rsidRPr="00BF315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70 376,1</w:t>
      </w:r>
      <w:r w:rsidR="00E3246C" w:rsidRPr="00BF315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7</w:t>
      </w:r>
      <w:r w:rsidR="00B01647" w:rsidRPr="00BF315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лева.</w:t>
      </w:r>
    </w:p>
    <w:p w14:paraId="36AE8316" w14:textId="6B949A65" w:rsidR="00D3123F" w:rsidRPr="00942416" w:rsidRDefault="00D3123F" w:rsidP="009E53FB">
      <w:pPr>
        <w:shd w:val="clear" w:color="auto" w:fill="FEFEFE"/>
        <w:spacing w:line="23" w:lineRule="atLeast"/>
        <w:rPr>
          <w:b/>
          <w:iCs/>
          <w:color w:val="000000"/>
          <w:szCs w:val="24"/>
          <w:lang w:val="en-US" w:eastAsia="bg-BG"/>
        </w:rPr>
      </w:pPr>
    </w:p>
    <w:p w14:paraId="5FE7BABB" w14:textId="77777777" w:rsidR="00EA1FE8" w:rsidRPr="00151CBA" w:rsidRDefault="00EC7BD7" w:rsidP="009E53FB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7</w:t>
      </w:r>
      <w:r w:rsidR="00D3123F" w:rsidRPr="004D1E8C">
        <w:rPr>
          <w:b/>
          <w:color w:val="548DD4"/>
          <w:szCs w:val="24"/>
          <w:lang w:eastAsia="bg-BG"/>
        </w:rPr>
        <w:t>. МИНИМАЛЕН И МАКСИМАЛЕН РАЗМЕР НА ФИНАНСОВАТА ПОМОЩ, ПРЕДОСТАВЯНА ЗА ПРОЕКТ</w:t>
      </w:r>
    </w:p>
    <w:p w14:paraId="57F38CAC" w14:textId="77777777" w:rsidR="00D3123F" w:rsidRPr="00617AA6" w:rsidRDefault="00617AA6" w:rsidP="009E53FB">
      <w:pPr>
        <w:pStyle w:val="af"/>
        <w:spacing w:after="240" w:line="23" w:lineRule="atLeast"/>
        <w:jc w:val="both"/>
        <w:rPr>
          <w:rFonts w:ascii="Times New Roman" w:hAnsi="Times New Roman"/>
          <w:lang w:val="bg-BG"/>
        </w:rPr>
      </w:pPr>
      <w:proofErr w:type="spellStart"/>
      <w:r w:rsidRPr="00617AA6">
        <w:rPr>
          <w:rFonts w:ascii="Times New Roman" w:hAnsi="Times New Roman"/>
          <w:b/>
          <w:bCs/>
          <w:shd w:val="clear" w:color="auto" w:fill="FEFEFE"/>
        </w:rPr>
        <w:t>Минимумът</w:t>
      </w:r>
      <w:proofErr w:type="spellEnd"/>
      <w:r w:rsidRPr="005153EF">
        <w:rPr>
          <w:rFonts w:ascii="Times New Roman" w:hAnsi="Times New Roman"/>
          <w:shd w:val="clear" w:color="auto" w:fill="FEFEFE"/>
        </w:rPr>
        <w:t xml:space="preserve"> </w:t>
      </w:r>
      <w:proofErr w:type="spellStart"/>
      <w:r w:rsidRPr="005153EF">
        <w:rPr>
          <w:rFonts w:ascii="Times New Roman" w:hAnsi="Times New Roman"/>
          <w:shd w:val="clear" w:color="auto" w:fill="FEFEFE"/>
        </w:rPr>
        <w:t>на</w:t>
      </w:r>
      <w:proofErr w:type="spellEnd"/>
      <w:r w:rsidRPr="005153EF">
        <w:rPr>
          <w:rFonts w:ascii="Times New Roman" w:hAnsi="Times New Roman"/>
          <w:shd w:val="clear" w:color="auto" w:fill="FEFEFE"/>
        </w:rPr>
        <w:t xml:space="preserve"> </w:t>
      </w:r>
      <w:proofErr w:type="spellStart"/>
      <w:r w:rsidRPr="005153EF">
        <w:rPr>
          <w:rFonts w:ascii="Times New Roman" w:hAnsi="Times New Roman"/>
          <w:shd w:val="clear" w:color="auto" w:fill="FEFEFE"/>
        </w:rPr>
        <w:t>общите</w:t>
      </w:r>
      <w:proofErr w:type="spellEnd"/>
      <w:r w:rsidRPr="005153EF">
        <w:rPr>
          <w:rFonts w:ascii="Times New Roman" w:hAnsi="Times New Roman"/>
          <w:shd w:val="clear" w:color="auto" w:fill="FEFEFE"/>
        </w:rPr>
        <w:t xml:space="preserve"> </w:t>
      </w:r>
      <w:proofErr w:type="spellStart"/>
      <w:r w:rsidRPr="005153EF">
        <w:rPr>
          <w:rFonts w:ascii="Times New Roman" w:hAnsi="Times New Roman"/>
          <w:shd w:val="clear" w:color="auto" w:fill="FEFEFE"/>
        </w:rPr>
        <w:t>допустими</w:t>
      </w:r>
      <w:proofErr w:type="spellEnd"/>
      <w:r w:rsidRPr="005153EF">
        <w:rPr>
          <w:rFonts w:ascii="Times New Roman" w:hAnsi="Times New Roman"/>
          <w:shd w:val="clear" w:color="auto" w:fill="FEFEFE"/>
        </w:rPr>
        <w:t xml:space="preserve"> </w:t>
      </w:r>
      <w:proofErr w:type="spellStart"/>
      <w:r w:rsidRPr="00617AA6">
        <w:rPr>
          <w:rFonts w:ascii="Times New Roman" w:hAnsi="Times New Roman"/>
          <w:shd w:val="clear" w:color="auto" w:fill="FEFEFE"/>
        </w:rPr>
        <w:t>разходи</w:t>
      </w:r>
      <w:proofErr w:type="spellEnd"/>
      <w:r w:rsidR="00D3123F" w:rsidRPr="00617AA6">
        <w:rPr>
          <w:rFonts w:ascii="Times New Roman" w:hAnsi="Times New Roman"/>
          <w:lang w:val="bg-BG"/>
        </w:rPr>
        <w:t xml:space="preserve"> на </w:t>
      </w:r>
      <w:r w:rsidRPr="00617AA6">
        <w:rPr>
          <w:rFonts w:ascii="Times New Roman" w:hAnsi="Times New Roman"/>
          <w:lang w:val="bg-BG"/>
        </w:rPr>
        <w:t xml:space="preserve">едно </w:t>
      </w:r>
      <w:r w:rsidR="00D3123F" w:rsidRPr="00617AA6">
        <w:rPr>
          <w:rFonts w:ascii="Times New Roman" w:hAnsi="Times New Roman"/>
          <w:lang w:val="bg-BG"/>
        </w:rPr>
        <w:t xml:space="preserve">проектно предложение: </w:t>
      </w:r>
      <w:r w:rsidR="00181874" w:rsidRPr="00617AA6">
        <w:rPr>
          <w:rFonts w:ascii="Times New Roman" w:hAnsi="Times New Roman"/>
          <w:u w:val="single"/>
          <w:lang w:val="bg-BG"/>
        </w:rPr>
        <w:t>20</w:t>
      </w:r>
      <w:r w:rsidR="00D3123F" w:rsidRPr="00617AA6">
        <w:rPr>
          <w:rFonts w:ascii="Times New Roman" w:hAnsi="Times New Roman"/>
          <w:u w:val="single"/>
          <w:lang w:val="bg-BG"/>
        </w:rPr>
        <w:t> 000 лв.</w:t>
      </w:r>
    </w:p>
    <w:p w14:paraId="35687C2D" w14:textId="77777777" w:rsidR="00D3123F" w:rsidRPr="00617AA6" w:rsidRDefault="00617AA6" w:rsidP="009E53FB">
      <w:pPr>
        <w:pStyle w:val="af"/>
        <w:spacing w:line="23" w:lineRule="atLeast"/>
        <w:jc w:val="both"/>
        <w:rPr>
          <w:rFonts w:ascii="Times New Roman" w:hAnsi="Times New Roman"/>
          <w:lang w:val="bg-BG"/>
        </w:rPr>
      </w:pPr>
      <w:proofErr w:type="spellStart"/>
      <w:r w:rsidRPr="00617AA6">
        <w:rPr>
          <w:rFonts w:ascii="Times New Roman" w:hAnsi="Times New Roman"/>
          <w:b/>
          <w:bCs/>
        </w:rPr>
        <w:t>Максимумът</w:t>
      </w:r>
      <w:proofErr w:type="spellEnd"/>
      <w:r w:rsidRPr="00617AA6">
        <w:rPr>
          <w:rFonts w:ascii="Times New Roman" w:hAnsi="Times New Roman"/>
        </w:rPr>
        <w:t xml:space="preserve"> </w:t>
      </w:r>
      <w:proofErr w:type="spellStart"/>
      <w:r w:rsidRPr="00617AA6">
        <w:rPr>
          <w:rFonts w:ascii="Times New Roman" w:hAnsi="Times New Roman"/>
        </w:rPr>
        <w:t>на</w:t>
      </w:r>
      <w:proofErr w:type="spellEnd"/>
      <w:r w:rsidRPr="00617AA6">
        <w:rPr>
          <w:rFonts w:ascii="Times New Roman" w:hAnsi="Times New Roman"/>
        </w:rPr>
        <w:t xml:space="preserve"> </w:t>
      </w:r>
      <w:proofErr w:type="spellStart"/>
      <w:r w:rsidRPr="00617AA6">
        <w:rPr>
          <w:rFonts w:ascii="Times New Roman" w:hAnsi="Times New Roman"/>
        </w:rPr>
        <w:t>общите</w:t>
      </w:r>
      <w:proofErr w:type="spellEnd"/>
      <w:r w:rsidRPr="00617AA6">
        <w:rPr>
          <w:rFonts w:ascii="Times New Roman" w:hAnsi="Times New Roman"/>
        </w:rPr>
        <w:t xml:space="preserve"> </w:t>
      </w:r>
      <w:proofErr w:type="spellStart"/>
      <w:r w:rsidRPr="00617AA6">
        <w:rPr>
          <w:rFonts w:ascii="Times New Roman" w:hAnsi="Times New Roman"/>
        </w:rPr>
        <w:t>допустими</w:t>
      </w:r>
      <w:proofErr w:type="spellEnd"/>
      <w:r w:rsidRPr="00617AA6">
        <w:rPr>
          <w:rFonts w:ascii="Times New Roman" w:hAnsi="Times New Roman"/>
        </w:rPr>
        <w:t xml:space="preserve"> </w:t>
      </w:r>
      <w:proofErr w:type="spellStart"/>
      <w:r w:rsidRPr="00617AA6">
        <w:rPr>
          <w:rFonts w:ascii="Times New Roman" w:hAnsi="Times New Roman"/>
        </w:rPr>
        <w:t>разходи</w:t>
      </w:r>
      <w:proofErr w:type="spellEnd"/>
      <w:r w:rsidRPr="00617AA6">
        <w:rPr>
          <w:rFonts w:ascii="Times New Roman" w:hAnsi="Times New Roman"/>
        </w:rPr>
        <w:t xml:space="preserve"> </w:t>
      </w:r>
      <w:r w:rsidR="00D3123F" w:rsidRPr="00617AA6">
        <w:rPr>
          <w:rFonts w:ascii="Times New Roman" w:hAnsi="Times New Roman"/>
          <w:lang w:val="bg-BG"/>
        </w:rPr>
        <w:t xml:space="preserve">на </w:t>
      </w:r>
      <w:r w:rsidRPr="00617AA6">
        <w:rPr>
          <w:rFonts w:ascii="Times New Roman" w:hAnsi="Times New Roman"/>
          <w:lang w:val="bg-BG"/>
        </w:rPr>
        <w:t xml:space="preserve">едно </w:t>
      </w:r>
      <w:r w:rsidR="00D3123F" w:rsidRPr="00617AA6">
        <w:rPr>
          <w:rFonts w:ascii="Times New Roman" w:hAnsi="Times New Roman"/>
          <w:lang w:val="bg-BG"/>
        </w:rPr>
        <w:t xml:space="preserve">проектно предложение: </w:t>
      </w:r>
      <w:r w:rsidR="00EA1FE8" w:rsidRPr="00617AA6">
        <w:rPr>
          <w:rFonts w:ascii="Times New Roman" w:hAnsi="Times New Roman"/>
          <w:u w:val="single"/>
          <w:lang w:val="bg-BG"/>
        </w:rPr>
        <w:t>12</w:t>
      </w:r>
      <w:r w:rsidR="00D3123F" w:rsidRPr="00617AA6">
        <w:rPr>
          <w:rFonts w:ascii="Times New Roman" w:hAnsi="Times New Roman"/>
          <w:u w:val="single"/>
          <w:lang w:val="bg-BG"/>
        </w:rPr>
        <w:t>0 000 лв.</w:t>
      </w:r>
    </w:p>
    <w:p w14:paraId="04708E16" w14:textId="1CB54A00" w:rsidR="00D3123F" w:rsidRPr="00696F59" w:rsidRDefault="00617AA6" w:rsidP="009E53FB">
      <w:pPr>
        <w:pStyle w:val="TableParagraph"/>
        <w:tabs>
          <w:tab w:val="left" w:pos="9214"/>
        </w:tabs>
        <w:spacing w:line="23" w:lineRule="atLeast"/>
        <w:ind w:left="0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>
        <w:rPr>
          <w:rFonts w:ascii="Times New Roman" w:hAnsi="Times New Roman"/>
          <w:i/>
          <w:lang w:val="bg-BG"/>
        </w:rPr>
        <w:tab/>
      </w:r>
      <w:proofErr w:type="spellStart"/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</w:rPr>
        <w:t>Интензитет</w:t>
      </w:r>
      <w:proofErr w:type="spellEnd"/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 </w:t>
      </w:r>
      <w:proofErr w:type="spellStart"/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</w:rPr>
        <w:t>на</w:t>
      </w:r>
      <w:proofErr w:type="spellEnd"/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 </w:t>
      </w:r>
      <w:proofErr w:type="spellStart"/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</w:rPr>
        <w:t>подпомагане</w:t>
      </w:r>
      <w:proofErr w:type="spellEnd"/>
      <w:r w:rsidR="00151CBA" w:rsidRPr="00696F59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:</w:t>
      </w:r>
      <w:r w:rsidR="00151CBA" w:rsidRPr="00696F5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43CD" w:rsidRPr="00696F59">
        <w:rPr>
          <w:rFonts w:ascii="Times New Roman" w:hAnsi="Times New Roman"/>
          <w:sz w:val="24"/>
          <w:szCs w:val="24"/>
          <w:lang w:val="bg-BG"/>
        </w:rPr>
        <w:t>За бенефициенти общини и ЮЛНЦ финансовата помощ е в размер на 100% от общия размер на допустимите за финансово подпомагане разходи</w:t>
      </w:r>
      <w:r w:rsidR="00097C9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97C96">
        <w:rPr>
          <w:rFonts w:ascii="Times New Roman" w:hAnsi="Times New Roman"/>
          <w:sz w:val="24"/>
          <w:szCs w:val="24"/>
          <w:lang w:val="bg-BG"/>
        </w:rPr>
        <w:t xml:space="preserve">за проекти, които </w:t>
      </w:r>
      <w:r w:rsidR="00FC4F65">
        <w:rPr>
          <w:rFonts w:ascii="Times New Roman" w:hAnsi="Times New Roman"/>
          <w:sz w:val="24"/>
          <w:szCs w:val="24"/>
          <w:lang w:val="bg-BG"/>
        </w:rPr>
        <w:t xml:space="preserve">след извършване на инвестицията </w:t>
      </w:r>
      <w:r w:rsidR="00097C96">
        <w:rPr>
          <w:rFonts w:ascii="Times New Roman" w:hAnsi="Times New Roman"/>
          <w:sz w:val="24"/>
          <w:szCs w:val="24"/>
          <w:lang w:val="bg-BG"/>
        </w:rPr>
        <w:t xml:space="preserve">не генерират </w:t>
      </w:r>
      <w:r w:rsidR="00FC4F65">
        <w:rPr>
          <w:rFonts w:ascii="Times New Roman" w:hAnsi="Times New Roman"/>
          <w:sz w:val="24"/>
          <w:szCs w:val="24"/>
          <w:lang w:val="bg-BG"/>
        </w:rPr>
        <w:t xml:space="preserve">нетни </w:t>
      </w:r>
      <w:r w:rsidR="00097C96">
        <w:rPr>
          <w:rFonts w:ascii="Times New Roman" w:hAnsi="Times New Roman"/>
          <w:sz w:val="24"/>
          <w:szCs w:val="24"/>
          <w:lang w:val="bg-BG"/>
        </w:rPr>
        <w:t>приходи</w:t>
      </w:r>
      <w:r w:rsidR="007843CD" w:rsidRPr="00696F5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6D079D42" w14:textId="77777777" w:rsidR="00D3123F" w:rsidRDefault="00D3123F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828E0D1" w14:textId="77777777" w:rsidR="00A45BD3" w:rsidRDefault="00A45BD3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334584DF" w14:textId="77777777" w:rsidR="00D3123F" w:rsidRPr="00510E2A" w:rsidRDefault="00EC7BD7" w:rsidP="006171D6">
      <w:pPr>
        <w:shd w:val="clear" w:color="auto" w:fill="FEFEFE"/>
        <w:spacing w:after="240" w:line="23" w:lineRule="atLeast"/>
        <w:jc w:val="both"/>
        <w:rPr>
          <w:b/>
          <w:color w:val="548DD4"/>
          <w:szCs w:val="24"/>
          <w:lang w:val="en-US" w:eastAsia="bg-BG"/>
        </w:rPr>
      </w:pPr>
      <w:r>
        <w:rPr>
          <w:b/>
          <w:color w:val="548DD4"/>
          <w:szCs w:val="24"/>
          <w:lang w:eastAsia="bg-BG"/>
        </w:rPr>
        <w:t>8</w:t>
      </w:r>
      <w:r w:rsidR="00D3123F" w:rsidRPr="004D1E8C">
        <w:rPr>
          <w:b/>
          <w:color w:val="548DD4"/>
          <w:szCs w:val="24"/>
          <w:lang w:eastAsia="bg-BG"/>
        </w:rPr>
        <w:t>. КРИТЕРИИ ЗА ИЗБОР НА ПРОЕКТНИ ПРЕДЛОЖЕНИЯ И ТЯХНАТА ТЕЖЕСТ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134"/>
      </w:tblGrid>
      <w:tr w:rsidR="007C3C18" w:rsidRPr="00EA7618" w14:paraId="5009DFC4" w14:textId="77777777" w:rsidTr="001C197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073BC7" w14:textId="77777777" w:rsidR="007C3C18" w:rsidRPr="001D4E72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698CEFD2" w14:textId="77777777" w:rsidR="007C3C18" w:rsidRPr="00EA7618" w:rsidRDefault="007C3C18" w:rsidP="009E53FB">
            <w:pPr>
              <w:jc w:val="center"/>
              <w:rPr>
                <w:b/>
              </w:rPr>
            </w:pPr>
            <w:r w:rsidRPr="00EA7618">
              <w:rPr>
                <w:b/>
              </w:rPr>
              <w:t>Критерии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D943C6" w14:textId="77777777" w:rsidR="007C3C18" w:rsidRPr="00EA7618" w:rsidRDefault="00DD4D13" w:rsidP="009E53FB">
            <w:pPr>
              <w:rPr>
                <w:b/>
              </w:rPr>
            </w:pPr>
            <w:r>
              <w:rPr>
                <w:b/>
              </w:rPr>
              <w:t>Т</w:t>
            </w:r>
            <w:r w:rsidR="007C3C18" w:rsidRPr="00EA7618">
              <w:rPr>
                <w:b/>
              </w:rPr>
              <w:t>очки</w:t>
            </w:r>
          </w:p>
        </w:tc>
      </w:tr>
      <w:tr w:rsidR="007C3C18" w14:paraId="5123FB8F" w14:textId="77777777" w:rsidTr="001C197B">
        <w:trPr>
          <w:trHeight w:val="473"/>
        </w:trPr>
        <w:tc>
          <w:tcPr>
            <w:tcW w:w="7938" w:type="dxa"/>
            <w:gridSpan w:val="2"/>
          </w:tcPr>
          <w:p w14:paraId="25DA3E11" w14:textId="77777777" w:rsidR="007C3C18" w:rsidRDefault="007C3C18" w:rsidP="009E53FB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</w:pPr>
            <w:r w:rsidRPr="00151CBA">
              <w:rPr>
                <w:b/>
                <w:bCs/>
                <w:noProof/>
                <w:szCs w:val="24"/>
              </w:rPr>
              <w:t xml:space="preserve">Проектът е предложен от бенефициент </w:t>
            </w:r>
          </w:p>
        </w:tc>
        <w:tc>
          <w:tcPr>
            <w:tcW w:w="1134" w:type="dxa"/>
          </w:tcPr>
          <w:p w14:paraId="408BE02D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69C0ADCF" w14:textId="77777777" w:rsidTr="001C197B">
        <w:trPr>
          <w:trHeight w:val="473"/>
        </w:trPr>
        <w:tc>
          <w:tcPr>
            <w:tcW w:w="7938" w:type="dxa"/>
            <w:gridSpan w:val="2"/>
          </w:tcPr>
          <w:p w14:paraId="6C76754A" w14:textId="77777777" w:rsidR="007C3C18" w:rsidRPr="0068075E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68075E">
              <w:t>НПО</w:t>
            </w:r>
            <w:r>
              <w:t xml:space="preserve"> </w:t>
            </w:r>
          </w:p>
        </w:tc>
        <w:tc>
          <w:tcPr>
            <w:tcW w:w="1134" w:type="dxa"/>
          </w:tcPr>
          <w:p w14:paraId="177E77A5" w14:textId="77777777" w:rsidR="007C3C18" w:rsidRPr="0068075E" w:rsidRDefault="007C3C18" w:rsidP="009E53FB">
            <w:pPr>
              <w:jc w:val="center"/>
            </w:pPr>
            <w:r w:rsidRPr="0068075E">
              <w:t>10</w:t>
            </w:r>
          </w:p>
        </w:tc>
      </w:tr>
      <w:tr w:rsidR="007C3C18" w14:paraId="2C2BAC4A" w14:textId="77777777" w:rsidTr="001C197B">
        <w:trPr>
          <w:trHeight w:val="473"/>
        </w:trPr>
        <w:tc>
          <w:tcPr>
            <w:tcW w:w="7938" w:type="dxa"/>
            <w:gridSpan w:val="2"/>
          </w:tcPr>
          <w:p w14:paraId="1FD8D93C" w14:textId="77777777" w:rsidR="007C3C18" w:rsidRPr="0068075E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t>Община</w:t>
            </w:r>
          </w:p>
        </w:tc>
        <w:tc>
          <w:tcPr>
            <w:tcW w:w="1134" w:type="dxa"/>
          </w:tcPr>
          <w:p w14:paraId="5D129003" w14:textId="77777777" w:rsidR="007C3C18" w:rsidRPr="0068075E" w:rsidRDefault="007C3C18" w:rsidP="009E53FB">
            <w:pPr>
              <w:jc w:val="center"/>
            </w:pPr>
            <w:r w:rsidRPr="0068075E">
              <w:t>5</w:t>
            </w:r>
          </w:p>
        </w:tc>
      </w:tr>
      <w:tr w:rsidR="007C3C18" w14:paraId="6F9FA5A5" w14:textId="77777777" w:rsidTr="001C197B">
        <w:trPr>
          <w:trHeight w:val="240"/>
        </w:trPr>
        <w:tc>
          <w:tcPr>
            <w:tcW w:w="7938" w:type="dxa"/>
            <w:gridSpan w:val="2"/>
          </w:tcPr>
          <w:p w14:paraId="227D6DA0" w14:textId="77777777" w:rsidR="007C3C18" w:rsidRPr="00151CBA" w:rsidRDefault="007C3C18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lastRenderedPageBreak/>
              <w:t>Проектът се изпълнява в населено място различно от общинския център</w:t>
            </w:r>
          </w:p>
          <w:p w14:paraId="40E34554" w14:textId="77777777" w:rsidR="007C3C18" w:rsidRDefault="007C3C18" w:rsidP="009E53FB">
            <w:pPr>
              <w:tabs>
                <w:tab w:val="left" w:pos="326"/>
              </w:tabs>
              <w:spacing w:line="276" w:lineRule="auto"/>
            </w:pPr>
          </w:p>
        </w:tc>
        <w:tc>
          <w:tcPr>
            <w:tcW w:w="1134" w:type="dxa"/>
          </w:tcPr>
          <w:p w14:paraId="69E775D0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3C18" w14:paraId="1F81D80A" w14:textId="77777777" w:rsidTr="001C197B">
        <w:trPr>
          <w:trHeight w:val="240"/>
        </w:trPr>
        <w:tc>
          <w:tcPr>
            <w:tcW w:w="7938" w:type="dxa"/>
            <w:gridSpan w:val="2"/>
          </w:tcPr>
          <w:p w14:paraId="5AA29929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предлага инвестиции в туристически атракции/услуги, които са значими за идентичността на района (местни обичаи и занаяти) – 20т.:</w:t>
            </w:r>
          </w:p>
        </w:tc>
        <w:tc>
          <w:tcPr>
            <w:tcW w:w="1134" w:type="dxa"/>
          </w:tcPr>
          <w:p w14:paraId="2ADA9B3A" w14:textId="77777777" w:rsidR="007C3C18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1A8BB016" w14:textId="77777777" w:rsidTr="001C197B">
        <w:trPr>
          <w:trHeight w:val="240"/>
        </w:trPr>
        <w:tc>
          <w:tcPr>
            <w:tcW w:w="7938" w:type="dxa"/>
            <w:gridSpan w:val="2"/>
          </w:tcPr>
          <w:p w14:paraId="5349B48C" w14:textId="77777777" w:rsidR="007C3C18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регионален характер / на територията на МИГ и извън обхвата на МИГ</w:t>
            </w:r>
            <w:r>
              <w:rPr>
                <w:bCs/>
                <w:szCs w:val="24"/>
              </w:rPr>
              <w:t>;</w:t>
            </w:r>
          </w:p>
        </w:tc>
        <w:tc>
          <w:tcPr>
            <w:tcW w:w="1134" w:type="dxa"/>
          </w:tcPr>
          <w:p w14:paraId="4DA0528C" w14:textId="77777777" w:rsidR="007C3C18" w:rsidRDefault="00495BFF" w:rsidP="009E53FB">
            <w:pPr>
              <w:jc w:val="center"/>
            </w:pPr>
            <w:r>
              <w:t xml:space="preserve"> до </w:t>
            </w:r>
            <w:r w:rsidR="007C3C18">
              <w:t>20</w:t>
            </w:r>
          </w:p>
        </w:tc>
      </w:tr>
      <w:tr w:rsidR="007C3C18" w14:paraId="1D94DC37" w14:textId="77777777" w:rsidTr="001C197B">
        <w:trPr>
          <w:trHeight w:val="240"/>
        </w:trPr>
        <w:tc>
          <w:tcPr>
            <w:tcW w:w="7938" w:type="dxa"/>
            <w:gridSpan w:val="2"/>
          </w:tcPr>
          <w:p w14:paraId="7BEEECB1" w14:textId="77777777" w:rsidR="007C3C18" w:rsidRPr="003600CC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терит</w:t>
            </w:r>
            <w:r>
              <w:rPr>
                <w:bCs/>
                <w:szCs w:val="24"/>
              </w:rPr>
              <w:t>ориален характер /на общината/;</w:t>
            </w:r>
          </w:p>
        </w:tc>
        <w:tc>
          <w:tcPr>
            <w:tcW w:w="1134" w:type="dxa"/>
          </w:tcPr>
          <w:p w14:paraId="17FB450E" w14:textId="77777777" w:rsidR="007C3C18" w:rsidRDefault="007843CD" w:rsidP="009E53FB">
            <w:pPr>
              <w:jc w:val="center"/>
            </w:pPr>
            <w:r w:rsidRPr="007843CD">
              <w:rPr>
                <w:bCs/>
                <w:szCs w:val="24"/>
              </w:rPr>
              <w:t>до 15 т.</w:t>
            </w:r>
          </w:p>
        </w:tc>
      </w:tr>
      <w:tr w:rsidR="007C3C18" w14:paraId="59806BD6" w14:textId="77777777" w:rsidTr="001C197B">
        <w:trPr>
          <w:trHeight w:val="240"/>
        </w:trPr>
        <w:tc>
          <w:tcPr>
            <w:tcW w:w="7938" w:type="dxa"/>
            <w:gridSpan w:val="2"/>
          </w:tcPr>
          <w:p w14:paraId="72D0F14F" w14:textId="77777777" w:rsidR="007C3C18" w:rsidRDefault="007843CD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 w:rsidRPr="007843CD">
              <w:rPr>
                <w:bCs/>
                <w:szCs w:val="24"/>
              </w:rPr>
              <w:t>Проектът предвижда дейности и инвестиции, чиито обект и резултати са с местен  характер / на населеното място/</w:t>
            </w:r>
            <w:r>
              <w:rPr>
                <w:bCs/>
                <w:szCs w:val="24"/>
              </w:rPr>
              <w:t>;</w:t>
            </w:r>
            <w:r w:rsidRPr="007843CD">
              <w:rPr>
                <w:bCs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C660E7" w14:textId="77777777" w:rsidR="007C3C18" w:rsidRDefault="007843CD" w:rsidP="009E53FB">
            <w:pPr>
              <w:jc w:val="center"/>
            </w:pPr>
            <w:r w:rsidRPr="007843CD">
              <w:rPr>
                <w:bCs/>
                <w:szCs w:val="24"/>
              </w:rPr>
              <w:t xml:space="preserve"> до 10 т.</w:t>
            </w:r>
          </w:p>
        </w:tc>
      </w:tr>
      <w:tr w:rsidR="007C3C18" w14:paraId="3B0878BB" w14:textId="77777777" w:rsidTr="001C197B">
        <w:trPr>
          <w:trHeight w:val="240"/>
        </w:trPr>
        <w:tc>
          <w:tcPr>
            <w:tcW w:w="7938" w:type="dxa"/>
            <w:gridSpan w:val="2"/>
          </w:tcPr>
          <w:p w14:paraId="2EB5DC7E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подобрява качеството на живот и отговаря на потребностите на големи групи от хора – 15 т.</w:t>
            </w:r>
          </w:p>
        </w:tc>
        <w:tc>
          <w:tcPr>
            <w:tcW w:w="1134" w:type="dxa"/>
            <w:vAlign w:val="center"/>
          </w:tcPr>
          <w:p w14:paraId="11D888E5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3A2C6396" w14:textId="77777777" w:rsidTr="001C197B">
        <w:trPr>
          <w:trHeight w:val="240"/>
        </w:trPr>
        <w:tc>
          <w:tcPr>
            <w:tcW w:w="7938" w:type="dxa"/>
            <w:gridSpan w:val="2"/>
          </w:tcPr>
          <w:p w14:paraId="4F0C78F9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3600CC">
              <w:t xml:space="preserve">Повече </w:t>
            </w:r>
            <w:r>
              <w:t>от 1000 човека</w:t>
            </w:r>
          </w:p>
        </w:tc>
        <w:tc>
          <w:tcPr>
            <w:tcW w:w="1134" w:type="dxa"/>
            <w:vAlign w:val="center"/>
          </w:tcPr>
          <w:p w14:paraId="2C89B689" w14:textId="77777777" w:rsidR="007C3C18" w:rsidRPr="003600CC" w:rsidRDefault="007C3C18" w:rsidP="009E53FB">
            <w:pPr>
              <w:jc w:val="center"/>
            </w:pPr>
            <w:r w:rsidRPr="003600CC">
              <w:t>15</w:t>
            </w:r>
          </w:p>
        </w:tc>
      </w:tr>
      <w:tr w:rsidR="007C3C18" w14:paraId="68D46DCF" w14:textId="77777777" w:rsidTr="001C197B">
        <w:trPr>
          <w:trHeight w:val="240"/>
        </w:trPr>
        <w:tc>
          <w:tcPr>
            <w:tcW w:w="7938" w:type="dxa"/>
            <w:gridSpan w:val="2"/>
          </w:tcPr>
          <w:p w14:paraId="53F545B6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</w:pPr>
            <w:r w:rsidRPr="003600CC">
              <w:t>Повече от 500 човека</w:t>
            </w:r>
          </w:p>
        </w:tc>
        <w:tc>
          <w:tcPr>
            <w:tcW w:w="1134" w:type="dxa"/>
            <w:vAlign w:val="center"/>
          </w:tcPr>
          <w:p w14:paraId="03803741" w14:textId="77777777" w:rsidR="007C3C18" w:rsidRPr="003600CC" w:rsidRDefault="007C3C18" w:rsidP="009E53FB">
            <w:pPr>
              <w:jc w:val="center"/>
            </w:pPr>
            <w:r w:rsidRPr="003600CC">
              <w:t>10</w:t>
            </w:r>
          </w:p>
        </w:tc>
      </w:tr>
      <w:tr w:rsidR="007C3C18" w14:paraId="4D9584B6" w14:textId="77777777" w:rsidTr="001C197B">
        <w:trPr>
          <w:trHeight w:val="240"/>
        </w:trPr>
        <w:tc>
          <w:tcPr>
            <w:tcW w:w="7938" w:type="dxa"/>
            <w:gridSpan w:val="2"/>
          </w:tcPr>
          <w:p w14:paraId="38859D0E" w14:textId="77777777" w:rsidR="007C3C18" w:rsidRPr="003600CC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</w:rPr>
            </w:pPr>
            <w:r>
              <w:t>До 500 човека</w:t>
            </w:r>
          </w:p>
        </w:tc>
        <w:tc>
          <w:tcPr>
            <w:tcW w:w="1134" w:type="dxa"/>
            <w:vAlign w:val="center"/>
          </w:tcPr>
          <w:p w14:paraId="78E6E96A" w14:textId="77777777" w:rsidR="007C3C18" w:rsidRPr="003600CC" w:rsidRDefault="00495BFF" w:rsidP="009E53FB">
            <w:pPr>
              <w:jc w:val="center"/>
            </w:pPr>
            <w:r>
              <w:t xml:space="preserve">до </w:t>
            </w:r>
            <w:r w:rsidR="007C3C18" w:rsidRPr="003600CC">
              <w:t>5</w:t>
            </w:r>
          </w:p>
        </w:tc>
      </w:tr>
      <w:tr w:rsidR="007C3C18" w14:paraId="797AF415" w14:textId="77777777" w:rsidTr="001C197B">
        <w:trPr>
          <w:trHeight w:val="240"/>
        </w:trPr>
        <w:tc>
          <w:tcPr>
            <w:tcW w:w="7938" w:type="dxa"/>
            <w:gridSpan w:val="2"/>
          </w:tcPr>
          <w:p w14:paraId="7C112809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Дейностите по проекта са за развитие/предоставяне на услуги на уязвими групи от населението 20 т.:</w:t>
            </w:r>
            <w:r w:rsidR="007C3C18">
              <w:t xml:space="preserve"> </w:t>
            </w:r>
          </w:p>
        </w:tc>
        <w:tc>
          <w:tcPr>
            <w:tcW w:w="1134" w:type="dxa"/>
            <w:vAlign w:val="center"/>
          </w:tcPr>
          <w:p w14:paraId="3939CD04" w14:textId="77777777" w:rsidR="007C3C18" w:rsidRPr="005B4A2A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C3C18" w14:paraId="5B05C5F8" w14:textId="77777777" w:rsidTr="001C197B">
        <w:trPr>
          <w:trHeight w:val="196"/>
        </w:trPr>
        <w:tc>
          <w:tcPr>
            <w:tcW w:w="7938" w:type="dxa"/>
            <w:gridSpan w:val="2"/>
          </w:tcPr>
          <w:p w14:paraId="7CF2BD77" w14:textId="77777777" w:rsidR="007C3C18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</w:pPr>
            <w:r>
              <w:t>Подкрепят се повече от 1 група</w:t>
            </w:r>
          </w:p>
        </w:tc>
        <w:tc>
          <w:tcPr>
            <w:tcW w:w="1134" w:type="dxa"/>
            <w:vAlign w:val="center"/>
          </w:tcPr>
          <w:p w14:paraId="075B778B" w14:textId="77777777" w:rsidR="007C3C18" w:rsidRDefault="007C3C18" w:rsidP="009E53FB">
            <w:pPr>
              <w:jc w:val="center"/>
            </w:pPr>
            <w:r>
              <w:t>20</w:t>
            </w:r>
          </w:p>
        </w:tc>
      </w:tr>
      <w:tr w:rsidR="007C3C18" w14:paraId="00C41A94" w14:textId="77777777" w:rsidTr="001C197B">
        <w:trPr>
          <w:trHeight w:val="240"/>
        </w:trPr>
        <w:tc>
          <w:tcPr>
            <w:tcW w:w="7938" w:type="dxa"/>
            <w:gridSpan w:val="2"/>
          </w:tcPr>
          <w:p w14:paraId="078896F6" w14:textId="77777777" w:rsidR="007C3C18" w:rsidRPr="00B84E44" w:rsidRDefault="007C3C18" w:rsidP="009E53FB">
            <w:pPr>
              <w:pStyle w:val="a9"/>
              <w:numPr>
                <w:ilvl w:val="0"/>
                <w:numId w:val="12"/>
              </w:numPr>
              <w:tabs>
                <w:tab w:val="left" w:pos="326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Подкрепят се 1 група</w:t>
            </w:r>
          </w:p>
        </w:tc>
        <w:tc>
          <w:tcPr>
            <w:tcW w:w="1134" w:type="dxa"/>
            <w:vAlign w:val="center"/>
          </w:tcPr>
          <w:p w14:paraId="1E140302" w14:textId="77777777" w:rsidR="007C3C18" w:rsidRDefault="007C3C18" w:rsidP="009E53FB">
            <w:pPr>
              <w:jc w:val="center"/>
            </w:pPr>
            <w:r>
              <w:t>10</w:t>
            </w:r>
          </w:p>
        </w:tc>
      </w:tr>
      <w:tr w:rsidR="007C3C18" w14:paraId="30687448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51BD" w14:textId="77777777" w:rsidR="007C3C18" w:rsidRPr="00151CBA" w:rsidRDefault="007843CD" w:rsidP="009E53FB">
            <w:pPr>
              <w:pStyle w:val="a9"/>
              <w:numPr>
                <w:ilvl w:val="0"/>
                <w:numId w:val="26"/>
              </w:numPr>
              <w:tabs>
                <w:tab w:val="left" w:pos="326"/>
              </w:tabs>
              <w:spacing w:line="276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151CBA">
              <w:rPr>
                <w:b/>
                <w:bCs/>
                <w:szCs w:val="24"/>
              </w:rPr>
              <w:t>Проектът предлага нови инициативи за повишаване на качеството на живот в района 15 т.:</w:t>
            </w:r>
          </w:p>
        </w:tc>
        <w:tc>
          <w:tcPr>
            <w:tcW w:w="1134" w:type="dxa"/>
            <w:vAlign w:val="center"/>
          </w:tcPr>
          <w:p w14:paraId="6B18C5C8" w14:textId="77777777" w:rsidR="007C3C18" w:rsidRPr="00AA7329" w:rsidRDefault="007C3C18" w:rsidP="009E53F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C3C18" w14:paraId="1CABFC65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3241B3EA" w14:textId="77777777" w:rsidR="007C3C18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</w:pPr>
            <w:r w:rsidRPr="00C13759">
              <w:rPr>
                <w:szCs w:val="24"/>
              </w:rPr>
              <w:t>На територията на МИГ</w:t>
            </w:r>
          </w:p>
        </w:tc>
        <w:tc>
          <w:tcPr>
            <w:tcW w:w="1134" w:type="dxa"/>
            <w:vAlign w:val="center"/>
          </w:tcPr>
          <w:p w14:paraId="1D9FF5F8" w14:textId="77777777" w:rsidR="007C3C18" w:rsidRDefault="007C3C18" w:rsidP="009E53FB">
            <w:pPr>
              <w:jc w:val="center"/>
            </w:pPr>
            <w:r>
              <w:t>15</w:t>
            </w:r>
          </w:p>
        </w:tc>
      </w:tr>
      <w:tr w:rsidR="007C3C18" w14:paraId="16655528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0CFE653E" w14:textId="77777777" w:rsidR="007C3C18" w:rsidRPr="00AA7329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част от територията на МИГ</w:t>
            </w:r>
          </w:p>
        </w:tc>
        <w:tc>
          <w:tcPr>
            <w:tcW w:w="1134" w:type="dxa"/>
            <w:vAlign w:val="center"/>
          </w:tcPr>
          <w:p w14:paraId="167EB7FE" w14:textId="77777777" w:rsidR="007C3C18" w:rsidRDefault="007C3C18" w:rsidP="009E53FB">
            <w:pPr>
              <w:jc w:val="center"/>
            </w:pPr>
            <w:r>
              <w:t>10</w:t>
            </w:r>
          </w:p>
        </w:tc>
      </w:tr>
      <w:tr w:rsidR="007C3C18" w14:paraId="718F21F9" w14:textId="77777777" w:rsidTr="001C197B">
        <w:trPr>
          <w:trHeight w:val="240"/>
        </w:trPr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488096C1" w14:textId="77777777" w:rsidR="007C3C18" w:rsidRPr="00AA7329" w:rsidRDefault="007C3C18" w:rsidP="009E53FB">
            <w:pPr>
              <w:pStyle w:val="a9"/>
              <w:numPr>
                <w:ilvl w:val="0"/>
                <w:numId w:val="10"/>
              </w:numPr>
              <w:tabs>
                <w:tab w:val="left" w:pos="326"/>
                <w:tab w:val="num" w:pos="421"/>
              </w:tabs>
              <w:spacing w:line="276" w:lineRule="auto"/>
              <w:ind w:lef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 едно населено място</w:t>
            </w:r>
          </w:p>
        </w:tc>
        <w:tc>
          <w:tcPr>
            <w:tcW w:w="1134" w:type="dxa"/>
            <w:vAlign w:val="center"/>
          </w:tcPr>
          <w:p w14:paraId="08243EF0" w14:textId="77777777" w:rsidR="007C3C18" w:rsidRDefault="007C3C18" w:rsidP="009E53FB">
            <w:pPr>
              <w:jc w:val="center"/>
            </w:pPr>
            <w:r>
              <w:t>5</w:t>
            </w:r>
          </w:p>
        </w:tc>
      </w:tr>
      <w:tr w:rsidR="007C3C18" w14:paraId="79B456EB" w14:textId="77777777" w:rsidTr="001C197B">
        <w:trPr>
          <w:trHeight w:val="360"/>
        </w:trPr>
        <w:tc>
          <w:tcPr>
            <w:tcW w:w="7938" w:type="dxa"/>
            <w:gridSpan w:val="2"/>
          </w:tcPr>
          <w:p w14:paraId="1B1754C8" w14:textId="77777777" w:rsidR="007C3C18" w:rsidRDefault="007C3C18" w:rsidP="009E53FB">
            <w:pPr>
              <w:pStyle w:val="a9"/>
              <w:numPr>
                <w:ilvl w:val="0"/>
                <w:numId w:val="26"/>
              </w:numPr>
              <w:spacing w:line="276" w:lineRule="auto"/>
              <w:ind w:left="0" w:firstLine="0"/>
              <w:jc w:val="both"/>
            </w:pPr>
            <w:r w:rsidRPr="00151CBA">
              <w:rPr>
                <w:b/>
                <w:bCs/>
                <w:szCs w:val="24"/>
              </w:rPr>
              <w:t>Проектът е консултиран с местната общност</w:t>
            </w:r>
          </w:p>
        </w:tc>
        <w:tc>
          <w:tcPr>
            <w:tcW w:w="1134" w:type="dxa"/>
            <w:vAlign w:val="center"/>
          </w:tcPr>
          <w:p w14:paraId="691C31EE" w14:textId="77777777" w:rsidR="007C3C18" w:rsidRPr="00B84E44" w:rsidRDefault="007C3C18" w:rsidP="009E53FB">
            <w:pPr>
              <w:jc w:val="center"/>
              <w:rPr>
                <w:b/>
              </w:rPr>
            </w:pPr>
            <w:r w:rsidRPr="00B84E44">
              <w:rPr>
                <w:b/>
              </w:rPr>
              <w:t>10</w:t>
            </w:r>
          </w:p>
        </w:tc>
      </w:tr>
      <w:tr w:rsidR="007C3C18" w14:paraId="2C0C592F" w14:textId="77777777" w:rsidTr="001C197B">
        <w:trPr>
          <w:trHeight w:val="240"/>
        </w:trPr>
        <w:tc>
          <w:tcPr>
            <w:tcW w:w="7938" w:type="dxa"/>
            <w:gridSpan w:val="2"/>
          </w:tcPr>
          <w:p w14:paraId="16775EF3" w14:textId="77777777" w:rsidR="007C3C18" w:rsidRPr="0048142A" w:rsidRDefault="007C3C18" w:rsidP="009E53FB">
            <w:pPr>
              <w:pStyle w:val="a9"/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48142A">
              <w:t>Проектът е консултиран с местната общност</w:t>
            </w:r>
          </w:p>
        </w:tc>
        <w:tc>
          <w:tcPr>
            <w:tcW w:w="1134" w:type="dxa"/>
            <w:vAlign w:val="center"/>
          </w:tcPr>
          <w:p w14:paraId="7C824134" w14:textId="77777777" w:rsidR="007C3C18" w:rsidRPr="0048142A" w:rsidRDefault="007C3C18" w:rsidP="009E53FB">
            <w:pPr>
              <w:jc w:val="center"/>
              <w:rPr>
                <w:lang w:val="en-US"/>
              </w:rPr>
            </w:pPr>
            <w:r w:rsidRPr="0048142A">
              <w:rPr>
                <w:lang w:val="en-US"/>
              </w:rPr>
              <w:t>10</w:t>
            </w:r>
          </w:p>
        </w:tc>
      </w:tr>
      <w:tr w:rsidR="007C3C18" w14:paraId="3C5547AE" w14:textId="77777777" w:rsidTr="001C197B">
        <w:trPr>
          <w:trHeight w:val="240"/>
        </w:trPr>
        <w:tc>
          <w:tcPr>
            <w:tcW w:w="851" w:type="dxa"/>
          </w:tcPr>
          <w:p w14:paraId="70C62C20" w14:textId="77777777" w:rsidR="007C3C18" w:rsidRPr="00181874" w:rsidRDefault="007C3C18" w:rsidP="009E53FB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7087" w:type="dxa"/>
          </w:tcPr>
          <w:p w14:paraId="7D97AF79" w14:textId="77777777" w:rsidR="007C3C18" w:rsidRPr="00181874" w:rsidRDefault="007C3C18" w:rsidP="009E53FB">
            <w:pPr>
              <w:spacing w:line="276" w:lineRule="auto"/>
              <w:rPr>
                <w:b/>
              </w:rPr>
            </w:pPr>
            <w:r w:rsidRPr="00181874">
              <w:rPr>
                <w:b/>
              </w:rPr>
              <w:t>Обща оценка</w:t>
            </w:r>
          </w:p>
        </w:tc>
        <w:tc>
          <w:tcPr>
            <w:tcW w:w="1134" w:type="dxa"/>
            <w:vAlign w:val="center"/>
          </w:tcPr>
          <w:p w14:paraId="3F33ABDE" w14:textId="77777777" w:rsidR="007C3C18" w:rsidRPr="00C529FF" w:rsidRDefault="007C3C18" w:rsidP="009E53FB">
            <w:pPr>
              <w:jc w:val="center"/>
              <w:rPr>
                <w:b/>
              </w:rPr>
            </w:pPr>
            <w:r w:rsidRPr="00C529FF">
              <w:rPr>
                <w:b/>
              </w:rPr>
              <w:t>100</w:t>
            </w:r>
          </w:p>
        </w:tc>
      </w:tr>
    </w:tbl>
    <w:p w14:paraId="6FBD4480" w14:textId="77777777" w:rsidR="00C12F49" w:rsidRPr="00C12F49" w:rsidRDefault="00C12F49" w:rsidP="009E53F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C12F49">
        <w:rPr>
          <w:rFonts w:eastAsia="Times New Roman" w:cs="Times New Roman"/>
          <w:b/>
          <w:bCs/>
          <w:szCs w:val="24"/>
          <w:lang w:eastAsia="bg-BG"/>
        </w:rPr>
        <w:t>ВАЖНО!: Максималният брой точки, който може да получи едно проектно предложение е 100 точки.</w:t>
      </w:r>
    </w:p>
    <w:p w14:paraId="1E31B882" w14:textId="76E0E40F" w:rsidR="00DB57D1" w:rsidRPr="00DB57D1" w:rsidRDefault="00DB57D1" w:rsidP="00DB57D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DB57D1">
        <w:rPr>
          <w:rFonts w:eastAsia="Times New Roman" w:cs="Times New Roman"/>
          <w:b/>
          <w:bCs/>
          <w:szCs w:val="24"/>
          <w:lang w:eastAsia="bg-BG"/>
        </w:rPr>
        <w:t>На основание Решение на КВО на МИГ от заседание, състояло се на 29.10.2020</w:t>
      </w:r>
      <w:r w:rsidR="00B01647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Pr="00DB57D1">
        <w:rPr>
          <w:rFonts w:eastAsia="Times New Roman" w:cs="Times New Roman"/>
          <w:b/>
          <w:bCs/>
          <w:szCs w:val="24"/>
          <w:lang w:eastAsia="bg-BG"/>
        </w:rPr>
        <w:t>г. за да бъде предложено за финансиране едно проектно предложение, общата крайна оценка на етап техническа и финансова оценка трябва да е равна или по-голяма от 30 т.</w:t>
      </w:r>
    </w:p>
    <w:p w14:paraId="6EB1AE30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kern w:val="1"/>
          <w:szCs w:val="24"/>
          <w:lang w:eastAsia="hi-IN" w:bidi="hi-IN"/>
        </w:rPr>
      </w:pPr>
      <w:r w:rsidRPr="00C12F49">
        <w:rPr>
          <w:rFonts w:eastAsia="Arial Unicode MS" w:cs="Times New Roman"/>
          <w:kern w:val="1"/>
          <w:szCs w:val="24"/>
          <w:lang w:eastAsia="hi-IN" w:bidi="hi-IN"/>
        </w:rPr>
        <w:t>Проектите се класират от КППП в низходящ ред съобразно получения брой точки на етап техническата и финансовата оценки, до размера на определения бюджет по обявата за прием. При недостиг на средства за финансиране на всички одобрени проектни предложения КППП изготвя списък с резервни проекти в низходящ ред на получените оценки, отговарящи на условията за финансиране.</w:t>
      </w:r>
    </w:p>
    <w:p w14:paraId="31745BBA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kern w:val="1"/>
          <w:szCs w:val="24"/>
          <w:lang w:eastAsia="hi-IN" w:bidi="hi-IN"/>
        </w:rPr>
      </w:pPr>
    </w:p>
    <w:p w14:paraId="57EFC4D0" w14:textId="77777777" w:rsidR="00C12F49" w:rsidRPr="00C12F49" w:rsidRDefault="00C12F49" w:rsidP="009E53FB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Arial Unicode MS" w:cs="Times New Roman"/>
          <w:b/>
          <w:bCs/>
          <w:kern w:val="1"/>
          <w:szCs w:val="24"/>
          <w:highlight w:val="lightGray"/>
          <w:lang w:eastAsia="hi-IN" w:bidi="hi-IN"/>
        </w:rPr>
      </w:pPr>
      <w:r w:rsidRPr="00C12F49">
        <w:rPr>
          <w:rFonts w:eastAsia="Arial Unicode MS" w:cs="Times New Roman"/>
          <w:b/>
          <w:bCs/>
          <w:kern w:val="1"/>
          <w:szCs w:val="24"/>
          <w:lang w:eastAsia="hi-IN" w:bidi="hi-IN"/>
        </w:rPr>
        <w:lastRenderedPageBreak/>
        <w:t>Специфични документи, доказващи съответствие с критериите за подбор на проекти:</w:t>
      </w:r>
    </w:p>
    <w:p w14:paraId="245E3C07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1. Справка за населението в населеното/</w:t>
      </w:r>
      <w:proofErr w:type="spellStart"/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ните</w:t>
      </w:r>
      <w:proofErr w:type="spellEnd"/>
      <w:r w:rsidRPr="00C12F49">
        <w:rPr>
          <w:rFonts w:eastAsia="Times New Roman" w:cs="Times New Roman"/>
          <w:bCs/>
          <w:color w:val="000000"/>
          <w:szCs w:val="24"/>
          <w:lang w:eastAsia="bg-BG"/>
        </w:rPr>
        <w:t xml:space="preserve"> място/места, разположено/ни на територията (по данни на Националния статистически институт към края на годината, предхождаща датата на кандидатстване), което ще се възползва от резултатите от проекта. </w:t>
      </w:r>
    </w:p>
    <w:p w14:paraId="4E319190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критерии за оценка № 3 и № 4.</w:t>
      </w:r>
    </w:p>
    <w:p w14:paraId="5EAA23EB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</w:p>
    <w:p w14:paraId="4030C9B6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2. Обосновка, доказваща, че дейностите по проекта са за развитие/предоставяне на услуги на уязвими групи от населението.</w:t>
      </w:r>
    </w:p>
    <w:p w14:paraId="2AB70EB4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5.</w:t>
      </w:r>
    </w:p>
    <w:p w14:paraId="4BBBE316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</w:p>
    <w:p w14:paraId="020398B7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3. Обосновка, доказваща, че проектът предлага нови инициативи за повишаване на качеството на живот в района и за обхванатата територия от проекта.</w:t>
      </w:r>
    </w:p>
    <w:p w14:paraId="5F065029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i/>
          <w:i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6.</w:t>
      </w:r>
    </w:p>
    <w:p w14:paraId="103E3122" w14:textId="77777777" w:rsidR="00C12F49" w:rsidRPr="00C12F49" w:rsidRDefault="00C12F49" w:rsidP="009E53FB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4"/>
          <w:lang w:eastAsia="bg-BG"/>
        </w:rPr>
      </w:pPr>
      <w:r w:rsidRPr="00C12F49">
        <w:rPr>
          <w:rFonts w:eastAsia="Times New Roman" w:cs="Times New Roman"/>
          <w:bCs/>
          <w:color w:val="000000"/>
          <w:szCs w:val="24"/>
          <w:lang w:eastAsia="bg-BG"/>
        </w:rPr>
        <w:t xml:space="preserve">4. Протокол и/или снимков материал и/или списък на участниците и/или </w:t>
      </w:r>
      <w:proofErr w:type="spellStart"/>
      <w:r w:rsidRPr="00C12F49">
        <w:rPr>
          <w:rFonts w:eastAsia="Times New Roman" w:cs="Times New Roman"/>
          <w:bCs/>
          <w:color w:val="000000"/>
          <w:szCs w:val="24"/>
          <w:lang w:eastAsia="bg-BG"/>
        </w:rPr>
        <w:t>скрийншот</w:t>
      </w:r>
      <w:proofErr w:type="spellEnd"/>
      <w:r w:rsidRPr="00C12F49">
        <w:rPr>
          <w:rFonts w:eastAsia="Times New Roman" w:cs="Times New Roman"/>
          <w:bCs/>
          <w:color w:val="000000"/>
          <w:szCs w:val="24"/>
          <w:lang w:eastAsia="bg-BG"/>
        </w:rPr>
        <w:t xml:space="preserve"> от интернет и/или публикация в медия, доказващи, че проектът е консултиран с местната общност.</w:t>
      </w:r>
    </w:p>
    <w:p w14:paraId="11922557" w14:textId="7104C2A8" w:rsidR="00C12F49" w:rsidRDefault="00C12F49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  <w:r w:rsidRPr="00C12F49">
        <w:rPr>
          <w:rFonts w:eastAsia="Times New Roman" w:cs="Times New Roman"/>
          <w:bCs/>
          <w:i/>
          <w:iCs/>
          <w:color w:val="000000"/>
          <w:szCs w:val="24"/>
          <w:lang w:eastAsia="bg-BG"/>
        </w:rPr>
        <w:t>Изискуем/и документ/и за покриване на критерий за оценка № 7.</w:t>
      </w:r>
    </w:p>
    <w:p w14:paraId="5EACA5A9" w14:textId="77777777" w:rsidR="00C12F49" w:rsidRPr="00C12F49" w:rsidRDefault="00C12F49" w:rsidP="009E53FB">
      <w:pPr>
        <w:shd w:val="clear" w:color="auto" w:fill="FEFEFE"/>
        <w:spacing w:line="23" w:lineRule="atLeast"/>
        <w:rPr>
          <w:b/>
          <w:color w:val="FF0000"/>
          <w:szCs w:val="24"/>
          <w:lang w:val="en-US" w:eastAsia="bg-BG"/>
        </w:rPr>
      </w:pPr>
    </w:p>
    <w:p w14:paraId="593B36EE" w14:textId="77777777" w:rsidR="00D3123F" w:rsidRPr="004D1E8C" w:rsidRDefault="00EC7BD7" w:rsidP="006171D6">
      <w:pPr>
        <w:shd w:val="clear" w:color="auto" w:fill="FEFEFE"/>
        <w:spacing w:line="23" w:lineRule="atLeast"/>
        <w:jc w:val="both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9</w:t>
      </w:r>
      <w:r w:rsidR="00D3123F" w:rsidRPr="004D1E8C">
        <w:rPr>
          <w:b/>
          <w:color w:val="548DD4"/>
          <w:szCs w:val="24"/>
          <w:lang w:eastAsia="bg-BG"/>
        </w:rPr>
        <w:t>. ЛИЦЕ/А ЗА КОНТАКТ И МЯСТО ЗА ДОСТЪП ДО ПОДРОБНА ИНФОРМАЦИЯ</w:t>
      </w:r>
    </w:p>
    <w:p w14:paraId="4FB73901" w14:textId="77777777" w:rsidR="00D3123F" w:rsidRPr="00151CBA" w:rsidRDefault="00D3123F" w:rsidP="009E53FB">
      <w:pPr>
        <w:spacing w:line="23" w:lineRule="atLeast"/>
        <w:jc w:val="both"/>
        <w:rPr>
          <w:szCs w:val="24"/>
        </w:rPr>
      </w:pPr>
      <w:r>
        <w:rPr>
          <w:szCs w:val="24"/>
        </w:rPr>
        <w:t xml:space="preserve">Лице за контакт: </w:t>
      </w:r>
      <w:proofErr w:type="spellStart"/>
      <w:r w:rsidR="00151CBA">
        <w:rPr>
          <w:szCs w:val="24"/>
        </w:rPr>
        <w:t>Стелиана</w:t>
      </w:r>
      <w:proofErr w:type="spellEnd"/>
      <w:r w:rsidR="00151CBA">
        <w:rPr>
          <w:szCs w:val="24"/>
        </w:rPr>
        <w:t xml:space="preserve"> </w:t>
      </w:r>
      <w:proofErr w:type="spellStart"/>
      <w:r w:rsidR="00151CBA">
        <w:rPr>
          <w:szCs w:val="24"/>
        </w:rPr>
        <w:t>Бошнякова</w:t>
      </w:r>
      <w:proofErr w:type="spellEnd"/>
      <w:r>
        <w:rPr>
          <w:szCs w:val="24"/>
        </w:rPr>
        <w:t>, тел. 0878 279 643; е-</w:t>
      </w:r>
      <w:r>
        <w:rPr>
          <w:szCs w:val="24"/>
          <w:lang w:val="en-US"/>
        </w:rPr>
        <w:t xml:space="preserve">mail: </w:t>
      </w:r>
      <w:hyperlink r:id="rId14" w:history="1">
        <w:r w:rsidR="00151CBA" w:rsidRPr="00C535A1">
          <w:rPr>
            <w:rStyle w:val="a7"/>
            <w:szCs w:val="24"/>
            <w:lang w:val="en-US"/>
          </w:rPr>
          <w:t>migta@abv.bg</w:t>
        </w:r>
      </w:hyperlink>
      <w:r w:rsidR="00151CBA">
        <w:rPr>
          <w:szCs w:val="24"/>
        </w:rPr>
        <w:t xml:space="preserve"> </w:t>
      </w:r>
    </w:p>
    <w:p w14:paraId="4312AE75" w14:textId="77777777" w:rsidR="00D3123F" w:rsidRDefault="00D3123F" w:rsidP="009E53FB">
      <w:pPr>
        <w:spacing w:line="23" w:lineRule="atLeast"/>
        <w:jc w:val="both"/>
        <w:rPr>
          <w:szCs w:val="24"/>
        </w:rPr>
      </w:pPr>
      <w:r w:rsidRPr="00DE373B">
        <w:rPr>
          <w:szCs w:val="24"/>
        </w:rPr>
        <w:t>Пълният пакет документи за кандидатстване са публикувани на следни</w:t>
      </w:r>
      <w:r>
        <w:rPr>
          <w:szCs w:val="24"/>
        </w:rPr>
        <w:t>те</w:t>
      </w:r>
      <w:r w:rsidRPr="00DE373B">
        <w:rPr>
          <w:szCs w:val="24"/>
        </w:rPr>
        <w:t xml:space="preserve"> интернет адрес</w:t>
      </w:r>
      <w:r>
        <w:rPr>
          <w:szCs w:val="24"/>
        </w:rPr>
        <w:t>и:</w:t>
      </w:r>
    </w:p>
    <w:p w14:paraId="3EBBA934" w14:textId="77777777" w:rsidR="00D3123F" w:rsidRDefault="00D3123F" w:rsidP="009E53FB">
      <w:pPr>
        <w:numPr>
          <w:ilvl w:val="0"/>
          <w:numId w:val="21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t xml:space="preserve">на сайта на Сдружение „МИГ – Троян, Априлци, Угърчин - </w:t>
      </w:r>
      <w:hyperlink r:id="rId15" w:history="1">
        <w:r w:rsidRPr="00DE373B">
          <w:rPr>
            <w:rStyle w:val="a7"/>
            <w:szCs w:val="24"/>
          </w:rPr>
          <w:t>http://www.migta.eu/</w:t>
        </w:r>
      </w:hyperlink>
      <w:r>
        <w:rPr>
          <w:szCs w:val="24"/>
        </w:rPr>
        <w:t>;</w:t>
      </w:r>
    </w:p>
    <w:p w14:paraId="6423335D" w14:textId="77777777" w:rsidR="002C3F1A" w:rsidRPr="002C3F1A" w:rsidRDefault="002C3F1A" w:rsidP="009E53FB">
      <w:pPr>
        <w:numPr>
          <w:ilvl w:val="0"/>
          <w:numId w:val="13"/>
        </w:numPr>
        <w:tabs>
          <w:tab w:val="left" w:pos="142"/>
        </w:tabs>
        <w:snapToGrid w:val="0"/>
        <w:spacing w:after="0" w:line="23" w:lineRule="atLeast"/>
        <w:ind w:left="0" w:firstLine="0"/>
        <w:jc w:val="both"/>
        <w:rPr>
          <w:szCs w:val="24"/>
        </w:rPr>
      </w:pPr>
      <w:r>
        <w:rPr>
          <w:szCs w:val="24"/>
        </w:rPr>
        <w:t>н</w:t>
      </w:r>
      <w:r w:rsidRPr="002C3F1A">
        <w:rPr>
          <w:szCs w:val="24"/>
        </w:rPr>
        <w:t>а сайта на ИСУН</w:t>
      </w:r>
      <w:r>
        <w:rPr>
          <w:szCs w:val="24"/>
        </w:rPr>
        <w:t xml:space="preserve"> </w:t>
      </w:r>
      <w:hyperlink r:id="rId16" w:history="1">
        <w:r w:rsidR="00151CBA" w:rsidRPr="00C535A1">
          <w:rPr>
            <w:rStyle w:val="a7"/>
            <w:szCs w:val="24"/>
          </w:rPr>
          <w:t>https://eumis2020.government.bg/bg/s/Procedure/Active</w:t>
        </w:r>
      </w:hyperlink>
      <w:r w:rsidR="00151CBA">
        <w:rPr>
          <w:szCs w:val="24"/>
        </w:rPr>
        <w:t xml:space="preserve"> </w:t>
      </w:r>
    </w:p>
    <w:p w14:paraId="357672F1" w14:textId="77777777" w:rsidR="00181874" w:rsidRDefault="00181874" w:rsidP="009E53FB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</w:p>
    <w:p w14:paraId="1C246091" w14:textId="77777777" w:rsidR="00D3123F" w:rsidRPr="004D1E8C" w:rsidRDefault="00EC7BD7" w:rsidP="009E53FB">
      <w:pPr>
        <w:shd w:val="clear" w:color="auto" w:fill="FEFEFE"/>
        <w:spacing w:line="23" w:lineRule="atLeast"/>
        <w:rPr>
          <w:b/>
          <w:color w:val="548DD4"/>
          <w:szCs w:val="24"/>
          <w:lang w:eastAsia="bg-BG"/>
        </w:rPr>
      </w:pPr>
      <w:r>
        <w:rPr>
          <w:b/>
          <w:color w:val="548DD4"/>
          <w:szCs w:val="24"/>
          <w:lang w:eastAsia="bg-BG"/>
        </w:rPr>
        <w:t>10</w:t>
      </w:r>
      <w:r w:rsidR="00D3123F" w:rsidRPr="004D1E8C">
        <w:rPr>
          <w:b/>
          <w:color w:val="548DD4"/>
          <w:szCs w:val="24"/>
          <w:lang w:eastAsia="bg-BG"/>
        </w:rPr>
        <w:t>. НАЧИН ЗА ПОДАВАНЕ НА ПРОЕКТНИ ПРЕДЛОЖЕНИЯ</w:t>
      </w:r>
    </w:p>
    <w:p w14:paraId="3A996C6C" w14:textId="15E1F635" w:rsidR="009A3ED8" w:rsidRPr="00080A5C" w:rsidRDefault="00D3123F" w:rsidP="009E53FB">
      <w:pPr>
        <w:tabs>
          <w:tab w:val="left" w:pos="142"/>
        </w:tabs>
        <w:spacing w:line="23" w:lineRule="atLeast"/>
        <w:jc w:val="both"/>
        <w:rPr>
          <w:b/>
          <w:szCs w:val="24"/>
          <w:lang w:val="en-US"/>
        </w:rPr>
      </w:pP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012F1A">
        <w:rPr>
          <w:b/>
          <w:bCs/>
          <w:szCs w:val="24"/>
        </w:rPr>
        <w:t>Информационната система за управление и наблюдение на Структурните инс</w:t>
      </w:r>
      <w:r>
        <w:rPr>
          <w:b/>
          <w:bCs/>
          <w:szCs w:val="24"/>
        </w:rPr>
        <w:t xml:space="preserve">трументи на ЕС в България (ИСУН </w:t>
      </w:r>
      <w:r w:rsidRPr="00012F1A">
        <w:rPr>
          <w:b/>
          <w:bCs/>
          <w:szCs w:val="24"/>
        </w:rPr>
        <w:t>2020)</w:t>
      </w:r>
      <w:bookmarkEnd w:id="0"/>
      <w:bookmarkEnd w:id="1"/>
      <w:bookmarkEnd w:id="2"/>
      <w:r w:rsidR="00CA30F7">
        <w:rPr>
          <w:b/>
          <w:bCs/>
          <w:szCs w:val="24"/>
        </w:rPr>
        <w:t>.</w:t>
      </w:r>
    </w:p>
    <w:sectPr w:rsidR="009A3ED8" w:rsidRPr="00080A5C" w:rsidSect="00C67170">
      <w:footerReference w:type="default" r:id="rId1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03F6" w14:textId="77777777" w:rsidR="00392992" w:rsidRDefault="00392992" w:rsidP="00617FB6">
      <w:pPr>
        <w:spacing w:after="0" w:line="240" w:lineRule="auto"/>
      </w:pPr>
      <w:r>
        <w:separator/>
      </w:r>
    </w:p>
  </w:endnote>
  <w:endnote w:type="continuationSeparator" w:id="0">
    <w:p w14:paraId="679AAED7" w14:textId="77777777" w:rsidR="00392992" w:rsidRDefault="00392992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9F7B" w14:textId="77777777" w:rsidR="00EE63CB" w:rsidRPr="00823D36" w:rsidRDefault="00EE63CB" w:rsidP="00823D36">
    <w:pPr>
      <w:pStyle w:val="a5"/>
      <w:jc w:val="center"/>
      <w:rPr>
        <w:i/>
      </w:rPr>
    </w:pPr>
    <w:r w:rsidRPr="00823D36">
      <w:rPr>
        <w:i/>
      </w:rPr>
      <w:t xml:space="preserve">Сдружение „Местна инициативна група </w:t>
    </w:r>
    <w:r>
      <w:rPr>
        <w:i/>
      </w:rPr>
      <w:t xml:space="preserve">– </w:t>
    </w:r>
    <w:r w:rsidRPr="00823D36">
      <w:rPr>
        <w:i/>
      </w:rPr>
      <w:t>Троян</w:t>
    </w:r>
    <w:r>
      <w:rPr>
        <w:i/>
      </w:rPr>
      <w:t xml:space="preserve">, </w:t>
    </w:r>
    <w:r w:rsidRPr="00823D36">
      <w:rPr>
        <w:i/>
      </w:rPr>
      <w:t>Априлци</w:t>
    </w:r>
    <w:r>
      <w:rPr>
        <w:i/>
      </w:rPr>
      <w:t>, Угърчин</w:t>
    </w:r>
    <w:r w:rsidRPr="00823D36">
      <w:rPr>
        <w:i/>
      </w:rPr>
      <w:t>“</w:t>
    </w:r>
  </w:p>
  <w:p w14:paraId="350AF75E" w14:textId="62ED21FE" w:rsidR="00617FB6" w:rsidRPr="00617AA6" w:rsidRDefault="00EE63CB" w:rsidP="00EE63CB">
    <w:pPr>
      <w:pStyle w:val="a5"/>
      <w:jc w:val="center"/>
    </w:pPr>
    <w:r>
      <w:rPr>
        <w:i/>
      </w:rPr>
      <w:t>г</w:t>
    </w:r>
    <w:r w:rsidRPr="00823D36">
      <w:rPr>
        <w:i/>
      </w:rPr>
      <w:t>р.</w:t>
    </w:r>
    <w:r w:rsidR="00B01647">
      <w:rPr>
        <w:i/>
      </w:rPr>
      <w:t xml:space="preserve"> </w:t>
    </w:r>
    <w:r w:rsidRPr="00823D36">
      <w:rPr>
        <w:i/>
      </w:rPr>
      <w:t>Троян ул.</w:t>
    </w:r>
    <w:r w:rsidR="00B01647">
      <w:rPr>
        <w:i/>
      </w:rPr>
      <w:t xml:space="preserve"> </w:t>
    </w:r>
    <w:r w:rsidRPr="00823D36">
      <w:rPr>
        <w:i/>
      </w:rPr>
      <w:t>“</w:t>
    </w:r>
    <w:r>
      <w:rPr>
        <w:i/>
      </w:rPr>
      <w:t>Христо Ботев</w:t>
    </w:r>
    <w:r w:rsidRPr="00823D36">
      <w:rPr>
        <w:i/>
      </w:rPr>
      <w:t xml:space="preserve">“ № </w:t>
    </w:r>
    <w:r>
      <w:rPr>
        <w:i/>
      </w:rPr>
      <w:t>113</w:t>
    </w:r>
    <w:r w:rsidRPr="00823D36">
      <w:rPr>
        <w:i/>
      </w:rPr>
      <w:t xml:space="preserve">  тел:</w:t>
    </w:r>
    <w:r w:rsidR="001C585B">
      <w:rPr>
        <w:i/>
      </w:rPr>
      <w:t xml:space="preserve"> </w:t>
    </w:r>
    <w:r w:rsidRPr="00823D36">
      <w:rPr>
        <w:i/>
      </w:rPr>
      <w:t xml:space="preserve">0670/53838 </w:t>
    </w:r>
    <w:r>
      <w:rPr>
        <w:i/>
      </w:rPr>
      <w:t>е-</w:t>
    </w:r>
    <w:r w:rsidRPr="00823D36">
      <w:rPr>
        <w:i/>
        <w:lang w:val="en-US"/>
      </w:rPr>
      <w:t>mail:</w:t>
    </w:r>
    <w:r>
      <w:rPr>
        <w:i/>
      </w:rPr>
      <w:t xml:space="preserve"> </w:t>
    </w:r>
    <w:hyperlink r:id="rId1" w:history="1">
      <w:r w:rsidRPr="006C6E92">
        <w:rPr>
          <w:rStyle w:val="a7"/>
          <w:i/>
          <w:lang w:val="en-US"/>
        </w:rPr>
        <w:t>migta@abv.b</w:t>
      </w:r>
    </w:hyperlink>
    <w:r>
      <w:rPr>
        <w:rStyle w:val="a7"/>
        <w:i/>
        <w:lang w:val="en-US"/>
      </w:rPr>
      <w:t>g</w:t>
    </w:r>
    <w:r>
      <w:rPr>
        <w:i/>
        <w:lang w:val="en-US"/>
      </w:rPr>
      <w:t xml:space="preserve"> </w:t>
    </w:r>
    <w:r w:rsidRPr="00823D36">
      <w:rPr>
        <w:i/>
        <w:lang w:val="en-US"/>
      </w:rPr>
      <w:t xml:space="preserve"> </w:t>
    </w:r>
    <w:hyperlink r:id="rId2" w:history="1">
      <w:r w:rsidR="00617AA6" w:rsidRPr="00C535A1">
        <w:rPr>
          <w:rStyle w:val="a7"/>
          <w:i/>
          <w:lang w:val="en-US"/>
        </w:rPr>
        <w:t>www.migta.eu</w:t>
      </w:r>
    </w:hyperlink>
    <w:r w:rsidR="00617AA6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B45C" w14:textId="77777777" w:rsidR="00392992" w:rsidRDefault="00392992" w:rsidP="00617FB6">
      <w:pPr>
        <w:spacing w:after="0" w:line="240" w:lineRule="auto"/>
      </w:pPr>
      <w:r>
        <w:separator/>
      </w:r>
    </w:p>
  </w:footnote>
  <w:footnote w:type="continuationSeparator" w:id="0">
    <w:p w14:paraId="3AE65C8E" w14:textId="77777777" w:rsidR="00392992" w:rsidRDefault="00392992" w:rsidP="006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A6CA6"/>
    <w:multiLevelType w:val="hybridMultilevel"/>
    <w:tmpl w:val="57942E30"/>
    <w:lvl w:ilvl="0" w:tplc="D62C1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C5865"/>
    <w:multiLevelType w:val="hybridMultilevel"/>
    <w:tmpl w:val="D55812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3A2D21"/>
    <w:multiLevelType w:val="hybridMultilevel"/>
    <w:tmpl w:val="0B82D7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305A0"/>
    <w:multiLevelType w:val="hybridMultilevel"/>
    <w:tmpl w:val="722305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2305A1"/>
    <w:multiLevelType w:val="hybridMultilevel"/>
    <w:tmpl w:val="531235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22305A3"/>
    <w:multiLevelType w:val="hybridMultilevel"/>
    <w:tmpl w:val="722305A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21277">
    <w:abstractNumId w:val="13"/>
  </w:num>
  <w:num w:numId="2" w16cid:durableId="1628854174">
    <w:abstractNumId w:val="4"/>
  </w:num>
  <w:num w:numId="3" w16cid:durableId="1524632039">
    <w:abstractNumId w:val="24"/>
  </w:num>
  <w:num w:numId="4" w16cid:durableId="1379937162">
    <w:abstractNumId w:val="15"/>
  </w:num>
  <w:num w:numId="5" w16cid:durableId="183791620">
    <w:abstractNumId w:val="18"/>
  </w:num>
  <w:num w:numId="6" w16cid:durableId="589629820">
    <w:abstractNumId w:val="25"/>
  </w:num>
  <w:num w:numId="7" w16cid:durableId="1856654224">
    <w:abstractNumId w:val="11"/>
  </w:num>
  <w:num w:numId="8" w16cid:durableId="1852522925">
    <w:abstractNumId w:val="14"/>
  </w:num>
  <w:num w:numId="9" w16cid:durableId="215161976">
    <w:abstractNumId w:val="12"/>
  </w:num>
  <w:num w:numId="10" w16cid:durableId="720861282">
    <w:abstractNumId w:val="8"/>
  </w:num>
  <w:num w:numId="11" w16cid:durableId="1730301790">
    <w:abstractNumId w:val="6"/>
  </w:num>
  <w:num w:numId="12" w16cid:durableId="1033723841">
    <w:abstractNumId w:val="19"/>
  </w:num>
  <w:num w:numId="13" w16cid:durableId="1898010584">
    <w:abstractNumId w:val="17"/>
  </w:num>
  <w:num w:numId="14" w16cid:durableId="705183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2458130">
    <w:abstractNumId w:val="7"/>
  </w:num>
  <w:num w:numId="16" w16cid:durableId="376661896">
    <w:abstractNumId w:val="1"/>
  </w:num>
  <w:num w:numId="17" w16cid:durableId="483788100">
    <w:abstractNumId w:val="9"/>
  </w:num>
  <w:num w:numId="18" w16cid:durableId="1079248404">
    <w:abstractNumId w:val="0"/>
  </w:num>
  <w:num w:numId="19" w16cid:durableId="571475970">
    <w:abstractNumId w:val="3"/>
  </w:num>
  <w:num w:numId="20" w16cid:durableId="703483612">
    <w:abstractNumId w:val="16"/>
  </w:num>
  <w:num w:numId="21" w16cid:durableId="643700685">
    <w:abstractNumId w:val="2"/>
  </w:num>
  <w:num w:numId="22" w16cid:durableId="1183013450">
    <w:abstractNumId w:val="10"/>
  </w:num>
  <w:num w:numId="23" w16cid:durableId="677271591">
    <w:abstractNumId w:val="22"/>
  </w:num>
  <w:num w:numId="24" w16cid:durableId="860167796">
    <w:abstractNumId w:val="21"/>
  </w:num>
  <w:num w:numId="25" w16cid:durableId="934171431">
    <w:abstractNumId w:val="23"/>
  </w:num>
  <w:num w:numId="26" w16cid:durableId="1875607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B6"/>
    <w:rsid w:val="0002166D"/>
    <w:rsid w:val="00034D8F"/>
    <w:rsid w:val="000366F5"/>
    <w:rsid w:val="00057462"/>
    <w:rsid w:val="0007344E"/>
    <w:rsid w:val="00073527"/>
    <w:rsid w:val="00080A5C"/>
    <w:rsid w:val="00083971"/>
    <w:rsid w:val="000917B7"/>
    <w:rsid w:val="00097C96"/>
    <w:rsid w:val="000D0DD9"/>
    <w:rsid w:val="000E438E"/>
    <w:rsid w:val="00102AD6"/>
    <w:rsid w:val="00137717"/>
    <w:rsid w:val="00151CBA"/>
    <w:rsid w:val="00181874"/>
    <w:rsid w:val="0018286F"/>
    <w:rsid w:val="001C197B"/>
    <w:rsid w:val="001C2F6B"/>
    <w:rsid w:val="001C585B"/>
    <w:rsid w:val="001D2D9B"/>
    <w:rsid w:val="001D4E72"/>
    <w:rsid w:val="001E3DCB"/>
    <w:rsid w:val="001F77D2"/>
    <w:rsid w:val="00245CD1"/>
    <w:rsid w:val="00265D45"/>
    <w:rsid w:val="002B3345"/>
    <w:rsid w:val="002C393A"/>
    <w:rsid w:val="002C3F1A"/>
    <w:rsid w:val="002C40CB"/>
    <w:rsid w:val="002D5249"/>
    <w:rsid w:val="00300F41"/>
    <w:rsid w:val="003170F7"/>
    <w:rsid w:val="00323CAC"/>
    <w:rsid w:val="0035203D"/>
    <w:rsid w:val="00353D1B"/>
    <w:rsid w:val="00354A28"/>
    <w:rsid w:val="003600CC"/>
    <w:rsid w:val="00370B1B"/>
    <w:rsid w:val="00392992"/>
    <w:rsid w:val="003B5C22"/>
    <w:rsid w:val="003D0055"/>
    <w:rsid w:val="003F505A"/>
    <w:rsid w:val="003F699C"/>
    <w:rsid w:val="00477810"/>
    <w:rsid w:val="0048142A"/>
    <w:rsid w:val="00495BFF"/>
    <w:rsid w:val="004A0593"/>
    <w:rsid w:val="004E786A"/>
    <w:rsid w:val="005B4A2A"/>
    <w:rsid w:val="006171D6"/>
    <w:rsid w:val="00617AA6"/>
    <w:rsid w:val="00617FB6"/>
    <w:rsid w:val="006535DA"/>
    <w:rsid w:val="0067299F"/>
    <w:rsid w:val="0068075E"/>
    <w:rsid w:val="00684AC4"/>
    <w:rsid w:val="0069691C"/>
    <w:rsid w:val="00696F59"/>
    <w:rsid w:val="006B17C5"/>
    <w:rsid w:val="006C6FE0"/>
    <w:rsid w:val="006D40C0"/>
    <w:rsid w:val="006D45A0"/>
    <w:rsid w:val="007365BB"/>
    <w:rsid w:val="00757CB3"/>
    <w:rsid w:val="007843CD"/>
    <w:rsid w:val="007A4B81"/>
    <w:rsid w:val="007A5405"/>
    <w:rsid w:val="007C3C18"/>
    <w:rsid w:val="007C6073"/>
    <w:rsid w:val="007D21CC"/>
    <w:rsid w:val="007F3FAE"/>
    <w:rsid w:val="00806203"/>
    <w:rsid w:val="00806F37"/>
    <w:rsid w:val="0085575D"/>
    <w:rsid w:val="008602B3"/>
    <w:rsid w:val="00864369"/>
    <w:rsid w:val="008930FB"/>
    <w:rsid w:val="008E6400"/>
    <w:rsid w:val="008F7AF0"/>
    <w:rsid w:val="00906844"/>
    <w:rsid w:val="0091472B"/>
    <w:rsid w:val="009200F8"/>
    <w:rsid w:val="00925984"/>
    <w:rsid w:val="009345D5"/>
    <w:rsid w:val="00942416"/>
    <w:rsid w:val="00942639"/>
    <w:rsid w:val="00992BC5"/>
    <w:rsid w:val="00993696"/>
    <w:rsid w:val="00994236"/>
    <w:rsid w:val="009A3ED8"/>
    <w:rsid w:val="009C50B4"/>
    <w:rsid w:val="009E53FB"/>
    <w:rsid w:val="00A103B4"/>
    <w:rsid w:val="00A3387F"/>
    <w:rsid w:val="00A45BD3"/>
    <w:rsid w:val="00A569B7"/>
    <w:rsid w:val="00AA62AE"/>
    <w:rsid w:val="00AA7329"/>
    <w:rsid w:val="00AB5C31"/>
    <w:rsid w:val="00AC7B2E"/>
    <w:rsid w:val="00AE1915"/>
    <w:rsid w:val="00B01647"/>
    <w:rsid w:val="00B023E7"/>
    <w:rsid w:val="00B262D9"/>
    <w:rsid w:val="00B34177"/>
    <w:rsid w:val="00B82226"/>
    <w:rsid w:val="00B84E44"/>
    <w:rsid w:val="00B97B27"/>
    <w:rsid w:val="00BA489B"/>
    <w:rsid w:val="00BC3FD9"/>
    <w:rsid w:val="00BD5AD0"/>
    <w:rsid w:val="00BF3158"/>
    <w:rsid w:val="00BF3AB5"/>
    <w:rsid w:val="00C12F49"/>
    <w:rsid w:val="00C20E67"/>
    <w:rsid w:val="00C529FF"/>
    <w:rsid w:val="00C67170"/>
    <w:rsid w:val="00C67E85"/>
    <w:rsid w:val="00C74684"/>
    <w:rsid w:val="00C86DA8"/>
    <w:rsid w:val="00C91946"/>
    <w:rsid w:val="00CA30F7"/>
    <w:rsid w:val="00CA7741"/>
    <w:rsid w:val="00CF29E8"/>
    <w:rsid w:val="00D00426"/>
    <w:rsid w:val="00D0210F"/>
    <w:rsid w:val="00D30002"/>
    <w:rsid w:val="00D3123F"/>
    <w:rsid w:val="00D47772"/>
    <w:rsid w:val="00D731C2"/>
    <w:rsid w:val="00D93F35"/>
    <w:rsid w:val="00D9742D"/>
    <w:rsid w:val="00DA6EEC"/>
    <w:rsid w:val="00DB57D1"/>
    <w:rsid w:val="00DB6F4E"/>
    <w:rsid w:val="00DC3896"/>
    <w:rsid w:val="00DD4D13"/>
    <w:rsid w:val="00DF24E3"/>
    <w:rsid w:val="00DF74CA"/>
    <w:rsid w:val="00E3246C"/>
    <w:rsid w:val="00E33A67"/>
    <w:rsid w:val="00E36EA7"/>
    <w:rsid w:val="00E56CA2"/>
    <w:rsid w:val="00E73462"/>
    <w:rsid w:val="00E84502"/>
    <w:rsid w:val="00EA1FE8"/>
    <w:rsid w:val="00EA7618"/>
    <w:rsid w:val="00EC71BE"/>
    <w:rsid w:val="00EC7BD7"/>
    <w:rsid w:val="00ED3F3A"/>
    <w:rsid w:val="00ED738B"/>
    <w:rsid w:val="00EE63CB"/>
    <w:rsid w:val="00FC4F65"/>
    <w:rsid w:val="00FD4FCA"/>
    <w:rsid w:val="00FE7644"/>
    <w:rsid w:val="00FF031D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739E"/>
  <w15:chartTrackingRefBased/>
  <w15:docId w15:val="{82949DEB-FDBD-40A8-806C-B0C4FFD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B8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210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c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d">
    <w:name w:val="footnote text"/>
    <w:basedOn w:val="a"/>
    <w:link w:val="ae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e">
    <w:name w:val="Текст под линия Знак"/>
    <w:basedOn w:val="a0"/>
    <w:link w:val="ad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">
    <w:name w:val="Body Text"/>
    <w:basedOn w:val="a"/>
    <w:link w:val="af0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0">
    <w:name w:val="Основен текст Знак"/>
    <w:basedOn w:val="a0"/>
    <w:link w:val="af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styleId="af1">
    <w:name w:val="Unresolved Mention"/>
    <w:basedOn w:val="a0"/>
    <w:uiPriority w:val="99"/>
    <w:semiHidden/>
    <w:unhideWhenUsed/>
    <w:rsid w:val="00617AA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E5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mis2020.government.b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umis2020.government.bg/bg/s/Procedure/Activ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igta.eu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igta@abv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gta.eu" TargetMode="External"/><Relationship Id="rId1" Type="http://schemas.openxmlformats.org/officeDocument/2006/relationships/hyperlink" Target="mailto:migta@abv.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3042-50B5-4963-8572-7A8DEA1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Цанко Спасовски</dc:creator>
  <cp:keywords/>
  <dc:description/>
  <cp:lastModifiedBy>Христина Маринова</cp:lastModifiedBy>
  <cp:revision>22</cp:revision>
  <cp:lastPrinted>2017-05-09T10:34:00Z</cp:lastPrinted>
  <dcterms:created xsi:type="dcterms:W3CDTF">2020-11-11T07:35:00Z</dcterms:created>
  <dcterms:modified xsi:type="dcterms:W3CDTF">2022-05-27T12:37:00Z</dcterms:modified>
</cp:coreProperties>
</file>