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17F" w14:textId="12C4F2DA" w:rsidR="005A6A85" w:rsidRPr="00080C5D" w:rsidRDefault="009B2C2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u w:val="single"/>
        </w:rPr>
      </w:pPr>
      <w:r w:rsidRPr="00080C5D">
        <w:rPr>
          <w:rFonts w:eastAsia="Times New Roman" w:cs="Times New Roman"/>
          <w:noProof/>
          <w:szCs w:val="24"/>
        </w:rPr>
        <w:t xml:space="preserve">      </w:t>
      </w:r>
      <w:r w:rsidR="00A0248E" w:rsidRPr="00080C5D">
        <w:rPr>
          <w:rFonts w:eastAsia="Times New Roman" w:cs="Times New Roman"/>
          <w:noProof/>
          <w:szCs w:val="24"/>
        </w:rPr>
        <w:t xml:space="preserve"> </w:t>
      </w:r>
      <w:r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</w:t>
      </w:r>
      <w:r w:rsidR="008A5CED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81207F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67430330" wp14:editId="0036FF4C">
            <wp:extent cx="548249" cy="464820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" cy="4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</w:rPr>
      </w:pPr>
      <w:r w:rsidRPr="00080C5D">
        <w:rPr>
          <w:rFonts w:eastAsia="Times New Roman" w:cs="Times New Roman"/>
          <w:szCs w:val="24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080C5D">
        <w:rPr>
          <w:rFonts w:eastAsia="Times New Roman" w:cs="Times New Roman"/>
          <w:b/>
          <w:szCs w:val="24"/>
        </w:rPr>
        <w:t>ПРОГРАМА ЗА РАЗВИТИЕ НА СЕЛСКИТЕ РАЙОНИ 2014 – 2020 г.</w:t>
      </w:r>
    </w:p>
    <w:p w14:paraId="1D6F46D5" w14:textId="0A7DEC32" w:rsidR="005A6A85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Сдружение „МИГ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Луковит-Роман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” </w:t>
      </w:r>
    </w:p>
    <w:p w14:paraId="50FD141F" w14:textId="74E57281" w:rsidR="00617FB6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Споразумение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за изпълнение на СВОМР №РД50-22/25.03.2019 г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.</w:t>
      </w:r>
    </w:p>
    <w:p w14:paraId="17F9D2B0" w14:textId="77777777" w:rsidR="00870182" w:rsidRPr="00080C5D" w:rsidRDefault="00870182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</w:p>
    <w:p w14:paraId="66147337" w14:textId="7E329B8B" w:rsidR="008A5CED" w:rsidRPr="00080C5D" w:rsidRDefault="0081207F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  <w:t xml:space="preserve"> </w:t>
      </w:r>
    </w:p>
    <w:p w14:paraId="3994F78C" w14:textId="77777777" w:rsidR="00870182" w:rsidRPr="00080C5D" w:rsidRDefault="00870182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14:paraId="22E9854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r w:rsidRPr="00080C5D">
        <w:rPr>
          <w:rFonts w:cs="Times New Roman"/>
          <w:b/>
          <w:szCs w:val="24"/>
          <w:u w:val="single"/>
        </w:rPr>
        <w:t>О Б Я В А</w:t>
      </w:r>
    </w:p>
    <w:p w14:paraId="73AB09AC" w14:textId="77777777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color w:val="385623" w:themeColor="accent6" w:themeShade="80"/>
          <w:szCs w:val="24"/>
          <w:u w:val="single"/>
        </w:rPr>
      </w:pPr>
    </w:p>
    <w:p w14:paraId="039F089E" w14:textId="6AA2A860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 xml:space="preserve">За прием на проектни предложения към Стратегията за водено от общностите местно развитие на Сдружение „Местна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“, финансирана чрез „Програма за развитие на селските райони 2014 – 2020 г.</w:t>
      </w:r>
    </w:p>
    <w:p w14:paraId="071A561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</w:p>
    <w:p w14:paraId="1864744A" w14:textId="56169624" w:rsidR="00D3123F" w:rsidRPr="00080C5D" w:rsidRDefault="005A6A85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>СДРУЖЕНИЕ „</w:t>
      </w:r>
      <w:r w:rsidR="00D3123F" w:rsidRPr="00080C5D">
        <w:rPr>
          <w:rFonts w:cs="Times New Roman"/>
          <w:b/>
          <w:szCs w:val="24"/>
        </w:rPr>
        <w:t xml:space="preserve">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</w:t>
      </w:r>
    </w:p>
    <w:p w14:paraId="60CDF18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caps/>
          <w:szCs w:val="24"/>
        </w:rPr>
        <w:t>Открива процедура за подбор на проектни предложения</w:t>
      </w:r>
    </w:p>
    <w:p w14:paraId="57B6CBA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</w:rPr>
      </w:pPr>
      <w:r w:rsidRPr="00080C5D">
        <w:rPr>
          <w:rFonts w:cs="Times New Roman"/>
          <w:b/>
          <w:caps/>
          <w:szCs w:val="24"/>
        </w:rPr>
        <w:t>за предОставяне на безвъзмездна финансова помощ</w:t>
      </w:r>
    </w:p>
    <w:p w14:paraId="1AAFFE85" w14:textId="77777777" w:rsidR="00C10A47" w:rsidRPr="00080C5D" w:rsidRDefault="00C10A47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81"/>
      </w:tblGrid>
      <w:tr w:rsidR="008051B1" w:rsidRPr="00080C5D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6CC3EBE9" w14:textId="7D7FA5A8" w:rsidR="00C10A47" w:rsidRPr="00080C5D" w:rsidRDefault="008051B1" w:rsidP="00017CAF">
            <w:pPr>
              <w:spacing w:line="276" w:lineRule="auto"/>
              <w:jc w:val="center"/>
              <w:outlineLvl w:val="0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Процедура з</w:t>
            </w:r>
            <w:r w:rsidR="000942A1" w:rsidRPr="00080C5D">
              <w:rPr>
                <w:rStyle w:val="indented"/>
                <w:rFonts w:cs="Times New Roman"/>
                <w:b/>
                <w:szCs w:val="24"/>
              </w:rPr>
              <w:t>а подбор на проектни предложения</w:t>
            </w:r>
            <w:r w:rsidRPr="00080C5D">
              <w:rPr>
                <w:rStyle w:val="indented"/>
                <w:rFonts w:cs="Times New Roman"/>
                <w:b/>
                <w:szCs w:val="24"/>
              </w:rPr>
              <w:t xml:space="preserve">: </w:t>
            </w:r>
          </w:p>
          <w:p w14:paraId="73170348" w14:textId="29BDAF16" w:rsidR="003F7A0D" w:rsidRPr="003F7A0D" w:rsidRDefault="003F7A0D" w:rsidP="003F7A0D">
            <w:pPr>
              <w:spacing w:line="276" w:lineRule="auto"/>
              <w:jc w:val="center"/>
              <w:outlineLvl w:val="0"/>
              <w:rPr>
                <w:rStyle w:val="indented"/>
                <w:b/>
              </w:rPr>
            </w:pPr>
            <w:r w:rsidRPr="003F7A0D">
              <w:rPr>
                <w:rStyle w:val="indented"/>
                <w:b/>
              </w:rPr>
              <w:t xml:space="preserve"> BG06RDNP001-19.</w:t>
            </w:r>
            <w:r w:rsidR="00F810F8">
              <w:rPr>
                <w:rStyle w:val="indented"/>
                <w:b/>
              </w:rPr>
              <w:t>768</w:t>
            </w:r>
            <w:r w:rsidRPr="003F7A0D">
              <w:rPr>
                <w:rStyle w:val="indented"/>
                <w:b/>
              </w:rPr>
              <w:t xml:space="preserve"> „МИГ Луковит-Роман“ - мярка 19-7.2 „Инвестиции в създаването, подобряването или разширяването на всички видове малка по мащаби инфраструктура“ от Стратегия за водено от общностите местно развитие на </w:t>
            </w:r>
          </w:p>
          <w:p w14:paraId="48D07596" w14:textId="54E5C748" w:rsidR="008051B1" w:rsidRPr="00080C5D" w:rsidRDefault="003F7A0D" w:rsidP="003F7A0D">
            <w:pPr>
              <w:spacing w:line="276" w:lineRule="auto"/>
              <w:jc w:val="center"/>
              <w:outlineLvl w:val="0"/>
              <w:rPr>
                <w:rFonts w:cs="Times New Roman"/>
                <w:b/>
                <w:szCs w:val="24"/>
              </w:rPr>
            </w:pPr>
            <w:r w:rsidRPr="003F7A0D">
              <w:rPr>
                <w:rStyle w:val="indented"/>
                <w:b/>
              </w:rPr>
              <w:t>„Местна инициативна група Луковит-Роман”</w:t>
            </w:r>
          </w:p>
        </w:tc>
      </w:tr>
    </w:tbl>
    <w:p w14:paraId="15315000" w14:textId="77777777" w:rsidR="00A575D1" w:rsidRPr="00080C5D" w:rsidRDefault="00A575D1" w:rsidP="00017CAF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1FD6BAF0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1. НАИМЕНОВАНИЕ НА МЯРКАТА ОТ СТРАТЕГИЯТА ЗА ВОМР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10A47" w:rsidRPr="00080C5D" w14:paraId="0497215A" w14:textId="77777777" w:rsidTr="008C33D1">
        <w:tc>
          <w:tcPr>
            <w:tcW w:w="10881" w:type="dxa"/>
          </w:tcPr>
          <w:p w14:paraId="0BCE4E1B" w14:textId="7404EDB8" w:rsidR="00C10A47" w:rsidRPr="00080C5D" w:rsidRDefault="00B54ECE" w:rsidP="003F7A0D">
            <w:pPr>
              <w:shd w:val="clear" w:color="auto" w:fill="FEFEFE"/>
              <w:spacing w:line="276" w:lineRule="auto"/>
              <w:rPr>
                <w:rStyle w:val="indented"/>
                <w:rFonts w:cs="Times New Roman"/>
                <w:b/>
                <w:szCs w:val="24"/>
              </w:rPr>
            </w:pPr>
            <w:r>
              <w:rPr>
                <w:rStyle w:val="indented"/>
                <w:rFonts w:cs="Times New Roman"/>
                <w:b/>
                <w:szCs w:val="24"/>
              </w:rPr>
              <w:t>19-</w:t>
            </w:r>
            <w:r w:rsidR="003F7A0D">
              <w:t xml:space="preserve"> </w:t>
            </w:r>
            <w:r w:rsidR="003F7A0D" w:rsidRPr="003F7A0D">
              <w:rPr>
                <w:rStyle w:val="indented"/>
                <w:rFonts w:cs="Times New Roman"/>
                <w:b/>
                <w:szCs w:val="24"/>
              </w:rPr>
              <w:t>7.2. „Инвестиции в създаването, подобряването или разширяването на всички видове малка по мащаби инфраструктура“</w:t>
            </w:r>
          </w:p>
        </w:tc>
      </w:tr>
    </w:tbl>
    <w:p w14:paraId="34E72E5F" w14:textId="77777777" w:rsidR="00C10A47" w:rsidRPr="00080C5D" w:rsidRDefault="00C10A47" w:rsidP="00017CAF">
      <w:pPr>
        <w:shd w:val="clear" w:color="auto" w:fill="FEFEFE"/>
        <w:spacing w:after="0" w:line="276" w:lineRule="auto"/>
        <w:rPr>
          <w:rStyle w:val="indented"/>
          <w:rFonts w:cs="Times New Roman"/>
          <w:b/>
          <w:szCs w:val="24"/>
          <w:lang w:val="en-US" w:eastAsia="bg-BG"/>
        </w:rPr>
      </w:pPr>
    </w:p>
    <w:p w14:paraId="23EAC097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A5CED" w:rsidRPr="00080C5D" w14:paraId="644513E2" w14:textId="77777777" w:rsidTr="008C33D1">
        <w:tc>
          <w:tcPr>
            <w:tcW w:w="10881" w:type="dxa"/>
          </w:tcPr>
          <w:p w14:paraId="5426D500" w14:textId="609CCD41" w:rsidR="004E7092" w:rsidRPr="00080C5D" w:rsidRDefault="00537199" w:rsidP="00017CAF">
            <w:pPr>
              <w:shd w:val="clear" w:color="auto" w:fill="FEFEFE"/>
              <w:spacing w:line="276" w:lineRule="auto"/>
              <w:jc w:val="both"/>
              <w:rPr>
                <w:rFonts w:cs="Times New Roman"/>
                <w:b/>
                <w:szCs w:val="24"/>
                <w:shd w:val="clear" w:color="auto" w:fill="FEFEFE"/>
                <w:lang w:val="en-US"/>
              </w:rPr>
            </w:pP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516F3DAF" w14:textId="77777777" w:rsidR="003F7A0D" w:rsidRPr="003F7A0D" w:rsidRDefault="003F7A0D" w:rsidP="003F7A0D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3F7A0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Общини Луковит и Роман;</w:t>
            </w:r>
          </w:p>
          <w:p w14:paraId="339E439C" w14:textId="77777777" w:rsidR="003F7A0D" w:rsidRPr="003F7A0D" w:rsidRDefault="003F7A0D" w:rsidP="003F7A0D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3F7A0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Юридически лица с нестопанска цел, регистрирани по Закона за юридическите лица с нестопанска цел за дейности, свързани със социалната и спортната дейност и културния живот;</w:t>
            </w:r>
          </w:p>
          <w:p w14:paraId="599473C3" w14:textId="77777777" w:rsidR="003F7A0D" w:rsidRPr="003F7A0D" w:rsidRDefault="003F7A0D" w:rsidP="003F7A0D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3F7A0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Читалища, регистрирани по Закона за народните читалища за дейности свързани с културния живот.</w:t>
            </w:r>
          </w:p>
          <w:p w14:paraId="02D94552" w14:textId="6312F436" w:rsidR="004E7092" w:rsidRPr="00B54ECE" w:rsidRDefault="003F7A0D" w:rsidP="00B54E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</w:pP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Кандидатът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/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получателят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финансова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помощ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–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юридическо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лице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следва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има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седалище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и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адрес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управление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територията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действие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 МИГ и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осъществява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дейностите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по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проекта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територията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действие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МИГ.</w:t>
            </w:r>
          </w:p>
        </w:tc>
      </w:tr>
    </w:tbl>
    <w:p w14:paraId="4918AEAD" w14:textId="77777777" w:rsidR="008A5CED" w:rsidRPr="00080C5D" w:rsidRDefault="008A5CED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52F21111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3. ДОПУСТИМИ ДЕЙНОСТИ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A5CED" w:rsidRPr="00080C5D" w14:paraId="5153581F" w14:textId="77777777" w:rsidTr="008C33D1">
        <w:tc>
          <w:tcPr>
            <w:tcW w:w="10881" w:type="dxa"/>
          </w:tcPr>
          <w:p w14:paraId="46AB434D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3F7A0D">
              <w:rPr>
                <w:rFonts w:cs="Times New Roman"/>
                <w:szCs w:val="24"/>
              </w:rPr>
              <w:t>По настоящата процедура за финансова помощ МИГ ще подпомага проекти за:</w:t>
            </w:r>
          </w:p>
          <w:p w14:paraId="3341C680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1. Дейност 1 Строителство, реконструкция и/или рехабилитация на нови и съществуващи общински пътища, улици, тротоари, и съоръженията и принадлежностите към тях;</w:t>
            </w:r>
          </w:p>
          <w:p w14:paraId="7D68FB0E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2. Дейност 2 Изграждане и/или обновяване на площи, за широко обществено ползване, предназначени за трайно задоволяване на обществени потребности от общинско значение;</w:t>
            </w:r>
          </w:p>
          <w:p w14:paraId="3F745121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 xml:space="preserve">3. Дейност 3 Изграждане, реконструкция, ремонт, оборудване и/или обзавеждане на социална инфраструктура за предоставяне на услуги, които не са част от процеса на </w:t>
            </w:r>
            <w:proofErr w:type="spellStart"/>
            <w:r w:rsidRPr="003F7A0D">
              <w:rPr>
                <w:rFonts w:cs="Times New Roman"/>
                <w:szCs w:val="24"/>
              </w:rPr>
              <w:t>деинституционализация</w:t>
            </w:r>
            <w:proofErr w:type="spellEnd"/>
            <w:r w:rsidRPr="003F7A0D">
              <w:rPr>
                <w:rFonts w:cs="Times New Roman"/>
                <w:szCs w:val="24"/>
              </w:rPr>
              <w:t xml:space="preserve"> на </w:t>
            </w:r>
            <w:r w:rsidRPr="003F7A0D">
              <w:rPr>
                <w:rFonts w:cs="Times New Roman"/>
                <w:szCs w:val="24"/>
              </w:rPr>
              <w:lastRenderedPageBreak/>
              <w:t>деца или възрастни, включително транспортни средства;</w:t>
            </w:r>
          </w:p>
          <w:p w14:paraId="6C59415E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4. Дейност 4 Реконструкция и/или ремонт на общински сгради, в които се предоставят обществени услуги, с цел подобряване на тяхната енергийна ефективност;</w:t>
            </w:r>
          </w:p>
          <w:p w14:paraId="372D9FF2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 xml:space="preserve">5. Дейност 5 Изграждане, реконструкция, ремонт, оборудване и/или обзавеждане на спортна инфраструктура </w:t>
            </w:r>
          </w:p>
          <w:p w14:paraId="6C5DD6DC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6. Дейност 6 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</w:t>
            </w:r>
          </w:p>
          <w:p w14:paraId="1D6BF2EE" w14:textId="6708AEDB" w:rsidR="008A5CED" w:rsidRPr="000B588F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</w:rPr>
              <w:t>7. Дейност 7 Реконструкция, ремонт, оборудване и/или обзавеждане на общинска образователна инфраструктура с местно значение, вкл. и за ПГСС СЕРГЕЙ РУМЯНЦЕВ, гр. Луковит.</w:t>
            </w:r>
          </w:p>
        </w:tc>
      </w:tr>
    </w:tbl>
    <w:p w14:paraId="056877EE" w14:textId="77777777" w:rsidR="00B2368B" w:rsidRPr="00080C5D" w:rsidRDefault="00B2368B" w:rsidP="00017CAF">
      <w:pPr>
        <w:pStyle w:val="af"/>
        <w:spacing w:line="276" w:lineRule="auto"/>
        <w:ind w:right="49"/>
        <w:jc w:val="both"/>
        <w:rPr>
          <w:rFonts w:ascii="Times New Roman" w:hAnsi="Times New Roman"/>
          <w:lang w:val="bg-BG"/>
        </w:rPr>
      </w:pPr>
    </w:p>
    <w:p w14:paraId="13CD90B3" w14:textId="77777777" w:rsidR="001B0DBB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8C33D1" w:rsidRPr="00080C5D" w14:paraId="5E9574B5" w14:textId="77777777" w:rsidTr="008C33D1">
        <w:tc>
          <w:tcPr>
            <w:tcW w:w="10913" w:type="dxa"/>
          </w:tcPr>
          <w:p w14:paraId="5B46C5F4" w14:textId="33B876EF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Съгласно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Стратегията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ВОМР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МИГ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Луковит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–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Роман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:</w:t>
            </w:r>
          </w:p>
          <w:p w14:paraId="452514F5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1.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строителство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реконструкция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рехабилитация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изграждане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обновяване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ремонт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реставрация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сгради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помещения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друга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недвижима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собственост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съгласно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подпомагане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дейности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които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:</w:t>
            </w:r>
          </w:p>
          <w:p w14:paraId="3AA1C363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а)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прякото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изпълнение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строително-монтажните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работи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;</w:t>
            </w:r>
          </w:p>
          <w:p w14:paraId="0019C1F3" w14:textId="0AC62AA4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б)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непредвидени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размер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5%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одобрените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.</w:t>
            </w:r>
          </w:p>
          <w:p w14:paraId="6DAE56FE" w14:textId="16EB04B6" w:rsidR="007D68D2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2.закупуване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нови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транспортни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средства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оборудване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обзавеждане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пазарната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им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включително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чрез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финансов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лизинг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когато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е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приложимо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;</w:t>
            </w:r>
          </w:p>
          <w:p w14:paraId="1B39C990" w14:textId="66581806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3.придобиване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компютърен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софтуер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патентни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авторски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права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лицензи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регистрация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търговски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марки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пазарната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им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;</w:t>
            </w:r>
          </w:p>
          <w:p w14:paraId="12F6558F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4.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общи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т.ч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хонорари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архитекти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инженери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консултанти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консултации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икономическа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екологична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устойчивост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извършени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както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процеса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подготовка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преди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подаване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заявлението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подпомагане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така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време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неговото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изпълнение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които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12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общия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размер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включени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3.</w:t>
            </w:r>
          </w:p>
          <w:p w14:paraId="0F3D03ED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32CC5EAF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общи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може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следните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:</w:t>
            </w:r>
          </w:p>
          <w:p w14:paraId="65593344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1.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консултантски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услуги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подготовката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2A10B3C9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2.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консултантски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услуги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управлението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5DCDF811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3.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изготвяне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технически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работен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случаите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строително-монтажни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дейности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5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41B27A0B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4.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строителен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надзор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6C28B4A9" w14:textId="7700D7FA" w:rsidR="000C402E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5.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авторски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надзор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1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3.</w:t>
            </w:r>
          </w:p>
          <w:p w14:paraId="1C2550B2" w14:textId="5B546BCE" w:rsidR="000C402E" w:rsidRPr="000B588F" w:rsidRDefault="003F7A0D" w:rsidP="00852911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="00852911" w:rsidRPr="00852911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6AB3EDD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35B54754" w14:textId="067E22C8" w:rsidR="009C16B1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5</w:t>
      </w:r>
      <w:r w:rsidR="00D3123F" w:rsidRPr="00080C5D">
        <w:rPr>
          <w:rFonts w:cs="Times New Roman"/>
          <w:b/>
          <w:szCs w:val="24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8C33D1" w:rsidRPr="00080C5D" w14:paraId="217577AB" w14:textId="77777777" w:rsidTr="008C33D1">
        <w:tc>
          <w:tcPr>
            <w:tcW w:w="10913" w:type="dxa"/>
          </w:tcPr>
          <w:p w14:paraId="0F22A6DC" w14:textId="1CB213C3" w:rsidR="00875D87" w:rsidRPr="00747F8C" w:rsidRDefault="00875D87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080C5D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Начален срок за подаване на проектните предложения: </w:t>
            </w:r>
            <w:r w:rsidR="00F810F8">
              <w:rPr>
                <w:rFonts w:cs="Times New Roman"/>
                <w:b/>
                <w:color w:val="000000"/>
                <w:szCs w:val="24"/>
                <w:lang w:eastAsia="bg-BG"/>
              </w:rPr>
              <w:t>12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.</w:t>
            </w:r>
            <w:r w:rsidR="005213B9" w:rsidRPr="00747F8C">
              <w:rPr>
                <w:rFonts w:cs="Times New Roman"/>
                <w:b/>
                <w:color w:val="000000"/>
                <w:szCs w:val="24"/>
                <w:lang w:val="en-US" w:eastAsia="bg-BG"/>
              </w:rPr>
              <w:t>06</w:t>
            </w:r>
            <w:r w:rsidR="00F810F8">
              <w:rPr>
                <w:rFonts w:cs="Times New Roman"/>
                <w:b/>
                <w:color w:val="000000"/>
                <w:szCs w:val="24"/>
                <w:lang w:eastAsia="bg-BG"/>
              </w:rPr>
              <w:t>.2023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</w:t>
            </w:r>
          </w:p>
          <w:p w14:paraId="3F67ED69" w14:textId="548E3197" w:rsidR="00875D87" w:rsidRDefault="00875D87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Краен срок за подаване на проектните предложения:</w:t>
            </w:r>
            <w:r w:rsidR="0060686B" w:rsidRPr="00747F8C">
              <w:rPr>
                <w:rFonts w:cs="Times New Roman"/>
                <w:szCs w:val="24"/>
              </w:rPr>
              <w:t xml:space="preserve"> </w:t>
            </w:r>
            <w:r w:rsidR="00747F8C" w:rsidRPr="00747F8C">
              <w:rPr>
                <w:rFonts w:cs="Times New Roman"/>
                <w:b/>
                <w:color w:val="000000"/>
                <w:szCs w:val="24"/>
                <w:lang w:val="en-US" w:eastAsia="bg-BG"/>
              </w:rPr>
              <w:t>31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.</w:t>
            </w:r>
            <w:r w:rsidR="00F810F8">
              <w:rPr>
                <w:rFonts w:cs="Times New Roman"/>
                <w:b/>
                <w:color w:val="000000"/>
                <w:szCs w:val="24"/>
                <w:lang w:eastAsia="bg-BG"/>
              </w:rPr>
              <w:t>08.2023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</w:t>
            </w:r>
            <w:r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1</w:t>
            </w:r>
            <w:r w:rsidR="005A13B5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7</w:t>
            </w:r>
            <w:r w:rsidR="003F7A0D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:0</w:t>
            </w:r>
            <w:r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0 часа.</w:t>
            </w:r>
          </w:p>
          <w:p w14:paraId="2FFA0AEF" w14:textId="4C6B2001" w:rsidR="00BE5E94" w:rsidRPr="00BE5E94" w:rsidRDefault="00BE5E94" w:rsidP="00BE5E94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val="en-US" w:eastAsia="bg-BG"/>
              </w:rPr>
            </w:pPr>
            <w:r>
              <w:rPr>
                <w:rFonts w:cs="Times New Roman"/>
                <w:b/>
                <w:color w:val="000000"/>
                <w:szCs w:val="24"/>
                <w:lang w:val="en-US" w:eastAsia="bg-BG"/>
              </w:rPr>
              <w:t xml:space="preserve"> </w:t>
            </w:r>
          </w:p>
          <w:p w14:paraId="7A4F9188" w14:textId="6193D4E0" w:rsidR="00BE5E94" w:rsidRDefault="00BE5E94" w:rsidP="00BE5E94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BE5E94">
              <w:rPr>
                <w:rFonts w:cs="Times New Roman"/>
                <w:b/>
                <w:color w:val="000000"/>
                <w:szCs w:val="24"/>
                <w:lang w:eastAsia="bg-BG"/>
              </w:rPr>
              <w:t>Втори краен срок за прие</w:t>
            </w:r>
            <w:r w:rsidR="005016F9">
              <w:rPr>
                <w:rFonts w:cs="Times New Roman"/>
                <w:b/>
                <w:color w:val="000000"/>
                <w:szCs w:val="24"/>
                <w:lang w:eastAsia="bg-BG"/>
              </w:rPr>
              <w:t>м на проектни предложения: 19</w:t>
            </w:r>
            <w:r w:rsidR="00F810F8">
              <w:rPr>
                <w:rFonts w:cs="Times New Roman"/>
                <w:b/>
                <w:color w:val="000000"/>
                <w:szCs w:val="24"/>
                <w:lang w:eastAsia="bg-BG"/>
              </w:rPr>
              <w:t>.12.2023</w:t>
            </w:r>
            <w:r w:rsidRPr="00BE5E94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г., 17:00 часа при наличие на неусвоен финансов ресурс след първи краен срок.</w:t>
            </w:r>
          </w:p>
          <w:p w14:paraId="6DE0D6BF" w14:textId="44B7B6AE" w:rsidR="00E2337D" w:rsidRDefault="00E2337D" w:rsidP="00017CAF">
            <w:pPr>
              <w:spacing w:line="276" w:lineRule="auto"/>
              <w:jc w:val="both"/>
              <w:rPr>
                <w:rFonts w:cs="Times New Roman"/>
                <w:b/>
                <w:color w:val="000000"/>
                <w:szCs w:val="24"/>
                <w:lang w:val="en-US" w:eastAsia="bg-BG"/>
              </w:rPr>
            </w:pPr>
          </w:p>
          <w:p w14:paraId="56E815C3" w14:textId="77777777" w:rsidR="00F810F8" w:rsidRPr="00080C5D" w:rsidRDefault="00F810F8" w:rsidP="00017CAF">
            <w:pPr>
              <w:spacing w:line="276" w:lineRule="auto"/>
              <w:jc w:val="both"/>
              <w:rPr>
                <w:rFonts w:cs="Times New Roman"/>
                <w:b/>
                <w:color w:val="000000"/>
                <w:szCs w:val="24"/>
                <w:lang w:val="en-US" w:eastAsia="bg-BG"/>
              </w:rPr>
            </w:pPr>
          </w:p>
          <w:p w14:paraId="1FAAB855" w14:textId="7A156C7D" w:rsidR="003D1348" w:rsidRPr="00080C5D" w:rsidRDefault="003D1348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080C5D">
              <w:rPr>
                <w:rFonts w:cs="Times New Roman"/>
                <w:b/>
                <w:szCs w:val="24"/>
              </w:rPr>
              <w:lastRenderedPageBreak/>
              <w:t xml:space="preserve">Размер на БФП: </w:t>
            </w:r>
            <w:r w:rsidR="00F810F8" w:rsidRPr="00A732FB">
              <w:rPr>
                <w:b/>
                <w:szCs w:val="24"/>
              </w:rPr>
              <w:t>84</w:t>
            </w:r>
            <w:r w:rsidR="00F810F8">
              <w:rPr>
                <w:b/>
                <w:szCs w:val="24"/>
                <w:lang w:val="en-US"/>
              </w:rPr>
              <w:t xml:space="preserve"> </w:t>
            </w:r>
            <w:r w:rsidR="00F810F8" w:rsidRPr="00A732FB">
              <w:rPr>
                <w:b/>
                <w:szCs w:val="24"/>
              </w:rPr>
              <w:t xml:space="preserve">931,48 </w:t>
            </w:r>
            <w:r w:rsidR="00F810F8" w:rsidRPr="00857384">
              <w:rPr>
                <w:b/>
                <w:szCs w:val="24"/>
              </w:rPr>
              <w:t>(</w:t>
            </w:r>
            <w:r w:rsidR="00F810F8">
              <w:rPr>
                <w:b/>
                <w:szCs w:val="24"/>
              </w:rPr>
              <w:t>осемдесет и четири</w:t>
            </w:r>
            <w:r w:rsidR="00F810F8" w:rsidRPr="00857384">
              <w:rPr>
                <w:b/>
                <w:szCs w:val="24"/>
              </w:rPr>
              <w:t xml:space="preserve"> хиляди </w:t>
            </w:r>
            <w:r w:rsidR="00F810F8">
              <w:rPr>
                <w:b/>
                <w:szCs w:val="24"/>
              </w:rPr>
              <w:t>деветстотин т</w:t>
            </w:r>
            <w:r w:rsidR="00F810F8" w:rsidRPr="00857384">
              <w:rPr>
                <w:b/>
                <w:szCs w:val="24"/>
              </w:rPr>
              <w:t xml:space="preserve">ридесет </w:t>
            </w:r>
            <w:r w:rsidR="00F810F8">
              <w:rPr>
                <w:b/>
                <w:szCs w:val="24"/>
              </w:rPr>
              <w:t xml:space="preserve">и един </w:t>
            </w:r>
            <w:r w:rsidR="00F810F8" w:rsidRPr="00857384">
              <w:rPr>
                <w:b/>
                <w:szCs w:val="24"/>
              </w:rPr>
              <w:t xml:space="preserve">лева и четиридесет и </w:t>
            </w:r>
            <w:r w:rsidR="00F810F8">
              <w:rPr>
                <w:b/>
                <w:szCs w:val="24"/>
              </w:rPr>
              <w:t>осем</w:t>
            </w:r>
            <w:r w:rsidR="00F810F8" w:rsidRPr="00857384">
              <w:rPr>
                <w:b/>
                <w:szCs w:val="24"/>
              </w:rPr>
              <w:t xml:space="preserve"> стотинки) лева</w:t>
            </w:r>
          </w:p>
          <w:p w14:paraId="587B4D4C" w14:textId="77777777" w:rsidR="007C1D39" w:rsidRPr="00080C5D" w:rsidRDefault="007C1D39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  <w:p w14:paraId="37B98664" w14:textId="3E760346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Място на подаване на проектни предложения:</w:t>
            </w:r>
          </w:p>
          <w:p w14:paraId="3E60C514" w14:textId="536E0300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2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 xml:space="preserve">. </w:t>
            </w:r>
          </w:p>
        </w:tc>
      </w:tr>
    </w:tbl>
    <w:p w14:paraId="327CA813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2225AEAB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7348A948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6</w:t>
      </w:r>
      <w:r w:rsidR="00D3123F" w:rsidRPr="00080C5D">
        <w:rPr>
          <w:rFonts w:cs="Times New Roman"/>
          <w:b/>
          <w:szCs w:val="24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3"/>
      </w:tblGrid>
      <w:tr w:rsidR="00E56540" w:rsidRPr="00080C5D" w14:paraId="6E799ABA" w14:textId="77777777" w:rsidTr="00F22A30">
        <w:trPr>
          <w:trHeight w:val="1619"/>
        </w:trPr>
        <w:tc>
          <w:tcPr>
            <w:tcW w:w="10793" w:type="dxa"/>
          </w:tcPr>
          <w:tbl>
            <w:tblPr>
              <w:tblW w:w="1050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580"/>
            </w:tblGrid>
            <w:tr w:rsidR="00017CAF" w:rsidRPr="00080C5D" w14:paraId="2B6DF84B" w14:textId="77777777" w:rsidTr="00581F5E">
              <w:trPr>
                <w:trHeight w:val="1039"/>
              </w:trPr>
              <w:tc>
                <w:tcPr>
                  <w:tcW w:w="3461" w:type="dxa"/>
                  <w:shd w:val="clear" w:color="auto" w:fill="DEEAF6" w:themeFill="accent1" w:themeFillTint="33"/>
                </w:tcPr>
                <w:p w14:paraId="6A889945" w14:textId="77777777" w:rsidR="00017CAF" w:rsidRPr="00080C5D" w:rsidRDefault="00017CAF" w:rsidP="004833F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  <w:r w:rsidRPr="00080C5D">
                    <w:rPr>
                      <w:b/>
                      <w:bCs/>
                      <w:color w:val="auto"/>
                    </w:rPr>
                    <w:t xml:space="preserve">Общ размер на безвъзмездната финансова помощ </w:t>
                  </w:r>
                </w:p>
              </w:tc>
              <w:tc>
                <w:tcPr>
                  <w:tcW w:w="3461" w:type="dxa"/>
                  <w:shd w:val="clear" w:color="auto" w:fill="DEEAF6" w:themeFill="accent1" w:themeFillTint="33"/>
                </w:tcPr>
                <w:p w14:paraId="156CC9CE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Средства от ЕЗФРСР</w:t>
                  </w:r>
                </w:p>
                <w:p w14:paraId="0986A03B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  <w:tc>
                <w:tcPr>
                  <w:tcW w:w="3580" w:type="dxa"/>
                  <w:shd w:val="clear" w:color="auto" w:fill="DEEAF6" w:themeFill="accent1" w:themeFillTint="33"/>
                </w:tcPr>
                <w:p w14:paraId="0CBDBA59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Национално съфинансиране</w:t>
                  </w:r>
                </w:p>
                <w:p w14:paraId="65A2A3AC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</w:tr>
            <w:tr w:rsidR="00017CAF" w:rsidRPr="00080C5D" w14:paraId="06F5A8D2" w14:textId="77777777" w:rsidTr="00760332">
              <w:trPr>
                <w:trHeight w:val="565"/>
              </w:trPr>
              <w:tc>
                <w:tcPr>
                  <w:tcW w:w="3461" w:type="dxa"/>
                  <w:shd w:val="clear" w:color="auto" w:fill="auto"/>
                  <w:vAlign w:val="center"/>
                </w:tcPr>
                <w:p w14:paraId="34DB23EC" w14:textId="22818030" w:rsidR="00017CAF" w:rsidRPr="00080C5D" w:rsidRDefault="00F810F8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F810F8">
                    <w:rPr>
                      <w:rFonts w:cs="Times New Roman"/>
                      <w:b/>
                      <w:szCs w:val="24"/>
                    </w:rPr>
                    <w:t xml:space="preserve">84 931,48 </w:t>
                  </w:r>
                  <w:r w:rsidR="00A01D26" w:rsidRPr="00A01D26">
                    <w:rPr>
                      <w:rFonts w:cs="Times New Roman"/>
                      <w:b/>
                      <w:szCs w:val="24"/>
                    </w:rPr>
                    <w:t>лв.</w:t>
                  </w:r>
                </w:p>
              </w:tc>
              <w:tc>
                <w:tcPr>
                  <w:tcW w:w="3461" w:type="dxa"/>
                  <w:shd w:val="clear" w:color="auto" w:fill="auto"/>
                  <w:vAlign w:val="center"/>
                </w:tcPr>
                <w:p w14:paraId="55FDE3EF" w14:textId="54018BEC" w:rsidR="00017CAF" w:rsidRPr="00080C5D" w:rsidRDefault="00017CAF" w:rsidP="005213B9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(90%) </w:t>
                  </w:r>
                  <w:r w:rsidR="005213B9">
                    <w:rPr>
                      <w:rFonts w:cs="Times New Roman"/>
                      <w:b/>
                      <w:szCs w:val="24"/>
                    </w:rPr>
                    <w:t>–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 w:rsidR="00F810F8" w:rsidRPr="00F810F8">
                    <w:rPr>
                      <w:rFonts w:cs="Times New Roman"/>
                      <w:b/>
                      <w:szCs w:val="24"/>
                      <w:lang w:val="en-US"/>
                    </w:rPr>
                    <w:t xml:space="preserve">76 438,33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 w14:paraId="081E2171" w14:textId="07DC94BB" w:rsidR="00017CAF" w:rsidRPr="00080C5D" w:rsidRDefault="00017CAF" w:rsidP="005213B9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(10 %) </w:t>
                  </w:r>
                  <w:r w:rsidR="005213B9">
                    <w:rPr>
                      <w:rFonts w:cs="Times New Roman"/>
                      <w:b/>
                      <w:szCs w:val="24"/>
                    </w:rPr>
                    <w:t>–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 w:rsidR="00F810F8" w:rsidRPr="00F810F8">
                    <w:rPr>
                      <w:rFonts w:cs="Times New Roman"/>
                      <w:b/>
                      <w:szCs w:val="24"/>
                      <w:lang w:val="en-US"/>
                    </w:rPr>
                    <w:t xml:space="preserve">8 493,15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</w:tr>
          </w:tbl>
          <w:p w14:paraId="3AA531F0" w14:textId="328DF1DA" w:rsidR="00017CAF" w:rsidRPr="00080C5D" w:rsidRDefault="00017CAF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4A31C9E8" w14:textId="77777777" w:rsidR="00E56540" w:rsidRPr="00080C5D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731B9854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7</w:t>
      </w:r>
      <w:r w:rsidR="00D3123F" w:rsidRPr="00080C5D">
        <w:rPr>
          <w:rFonts w:cs="Times New Roman"/>
          <w:b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W w:w="10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314"/>
      </w:tblGrid>
      <w:tr w:rsidR="001069D0" w:rsidRPr="00080C5D" w14:paraId="62F75CD1" w14:textId="77777777" w:rsidTr="00F22A30">
        <w:trPr>
          <w:trHeight w:val="795"/>
        </w:trPr>
        <w:tc>
          <w:tcPr>
            <w:tcW w:w="5308" w:type="dxa"/>
            <w:shd w:val="clear" w:color="auto" w:fill="DEEAF6" w:themeFill="accent1" w:themeFillTint="33"/>
            <w:vAlign w:val="center"/>
          </w:tcPr>
          <w:p w14:paraId="6490EFBE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Минимален размер на безвъзмездната финансова помощ</w:t>
            </w:r>
          </w:p>
        </w:tc>
        <w:tc>
          <w:tcPr>
            <w:tcW w:w="5314" w:type="dxa"/>
            <w:shd w:val="clear" w:color="auto" w:fill="DEEAF6" w:themeFill="accent1" w:themeFillTint="33"/>
            <w:vAlign w:val="center"/>
          </w:tcPr>
          <w:p w14:paraId="274A2843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Максимален размер на безвъзмездната финансова помощ</w:t>
            </w:r>
          </w:p>
        </w:tc>
      </w:tr>
      <w:tr w:rsidR="001069D0" w:rsidRPr="00080C5D" w14:paraId="3F540EEF" w14:textId="77777777" w:rsidTr="00F22A30">
        <w:trPr>
          <w:trHeight w:val="480"/>
        </w:trPr>
        <w:tc>
          <w:tcPr>
            <w:tcW w:w="5308" w:type="dxa"/>
            <w:shd w:val="clear" w:color="auto" w:fill="auto"/>
            <w:vAlign w:val="center"/>
          </w:tcPr>
          <w:p w14:paraId="46B0ACE5" w14:textId="0C534229" w:rsidR="001069D0" w:rsidRPr="00EE6B7C" w:rsidRDefault="00EE6B7C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10 0</w:t>
            </w:r>
            <w:r w:rsidR="00FF2876"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00,00 лева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E5A769" w14:textId="4EF42634" w:rsidR="001069D0" w:rsidRPr="00EE6B7C" w:rsidRDefault="00F810F8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810F8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84 931,48 </w:t>
            </w:r>
            <w:r w:rsidR="00FF2876"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лева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</w:tc>
      </w:tr>
    </w:tbl>
    <w:p w14:paraId="43981CB9" w14:textId="56803BD1" w:rsidR="00E56540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1083A495" w14:textId="2EF4918B" w:rsidR="00EE6B7C" w:rsidRPr="00EE6B7C" w:rsidRDefault="00EE6B7C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>
        <w:rPr>
          <w:rFonts w:cs="Times New Roman"/>
          <w:b/>
          <w:szCs w:val="24"/>
          <w:lang w:eastAsia="bg-BG"/>
        </w:rPr>
        <w:t>8. ПРОЦЕНТ НА СЪФИНАНСИРАНЕ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EE6B7C" w14:paraId="5B1918B8" w14:textId="77777777" w:rsidTr="00EE6B7C">
        <w:tc>
          <w:tcPr>
            <w:tcW w:w="10913" w:type="dxa"/>
          </w:tcPr>
          <w:p w14:paraId="46E0AD97" w14:textId="77777777" w:rsidR="00EE6B7C" w:rsidRPr="00EE6B7C" w:rsidRDefault="00EE6B7C" w:rsidP="00EE6B7C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мярката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предоставя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формата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възстановяване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действително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направени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и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платени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34704562" w14:textId="77777777" w:rsidR="00EE6B7C" w:rsidRPr="00EE6B7C" w:rsidRDefault="00EE6B7C" w:rsidP="00EE6B7C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100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общите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52229E09" w14:textId="77777777" w:rsidR="00EE6B7C" w:rsidRPr="00EE6B7C" w:rsidRDefault="00EE6B7C" w:rsidP="00EE6B7C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100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общия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надхвърля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левовата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равностойност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50 000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евро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. </w:t>
            </w:r>
          </w:p>
          <w:p w14:paraId="1FDF785C" w14:textId="58BC7DBE" w:rsidR="00EE6B7C" w:rsidRPr="00EE6B7C" w:rsidRDefault="00EE6B7C" w:rsidP="00EE6B7C">
            <w:pPr>
              <w:spacing w:line="276" w:lineRule="auto"/>
              <w:rPr>
                <w:rFonts w:cs="Times New Roman"/>
                <w:b/>
                <w:szCs w:val="24"/>
                <w:lang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определя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въз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основа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анализ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„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разходи-</w:t>
            </w:r>
            <w:proofErr w:type="gramStart"/>
            <w:r w:rsidRPr="00EE6B7C">
              <w:rPr>
                <w:rFonts w:cs="Times New Roman"/>
                <w:szCs w:val="24"/>
                <w:lang w:val="en-US" w:eastAsia="bg-BG"/>
              </w:rPr>
              <w:t>ползи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“</w:t>
            </w:r>
            <w:proofErr w:type="gramEnd"/>
            <w:r w:rsidRPr="00EE6B7C">
              <w:rPr>
                <w:rFonts w:cs="Times New Roman"/>
                <w:szCs w:val="24"/>
                <w:lang w:val="en-US" w:eastAsia="bg-BG"/>
              </w:rPr>
              <w:t>. /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Приложение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2-1 и 2-2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Документи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попълване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/</w:t>
            </w:r>
            <w:r>
              <w:rPr>
                <w:rFonts w:cs="Times New Roman"/>
                <w:szCs w:val="24"/>
                <w:lang w:eastAsia="bg-BG"/>
              </w:rPr>
              <w:t>.</w:t>
            </w:r>
          </w:p>
        </w:tc>
      </w:tr>
    </w:tbl>
    <w:p w14:paraId="16CDAB9D" w14:textId="77777777" w:rsidR="001069D0" w:rsidRPr="00080C5D" w:rsidRDefault="001069D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16ED4CA6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3D92B0BC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8</w:t>
      </w:r>
      <w:r w:rsidR="00D3123F" w:rsidRPr="00080C5D">
        <w:rPr>
          <w:rFonts w:cs="Times New Roman"/>
          <w:b/>
          <w:szCs w:val="24"/>
          <w:lang w:eastAsia="bg-BG"/>
        </w:rPr>
        <w:t>. КРИТЕРИИ ЗА ИЗБОР НА ПРОЕКТНИ ПРЕДЛОЖЕНИЯ И ТЯХНАТА ТЕЖЕСТ</w:t>
      </w:r>
    </w:p>
    <w:p w14:paraId="10165F34" w14:textId="77777777" w:rsidR="00C1113E" w:rsidRPr="00080C5D" w:rsidRDefault="00C1113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4"/>
        <w:gridCol w:w="1147"/>
      </w:tblGrid>
      <w:tr w:rsidR="006D2EC5" w:rsidRPr="006D2EC5" w14:paraId="28F28AB2" w14:textId="77777777" w:rsidTr="006D2EC5">
        <w:trPr>
          <w:jc w:val="center"/>
        </w:trPr>
        <w:tc>
          <w:tcPr>
            <w:tcW w:w="10441" w:type="dxa"/>
            <w:gridSpan w:val="2"/>
            <w:tcBorders>
              <w:top w:val="single" w:sz="4" w:space="0" w:color="auto"/>
            </w:tcBorders>
          </w:tcPr>
          <w:p w14:paraId="2E2051E5" w14:textId="0BB89033" w:rsidR="006D2EC5" w:rsidRPr="006D2EC5" w:rsidRDefault="00FF2876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FF2876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Постъпилите проектни предложения се оценяват в съответствие със следните критерии за подбор от одобрената СВОМР:</w:t>
            </w:r>
          </w:p>
        </w:tc>
      </w:tr>
      <w:tr w:rsidR="006D2EC5" w:rsidRPr="006D2EC5" w14:paraId="0D38AFBE" w14:textId="77777777" w:rsidTr="006D2EC5">
        <w:trPr>
          <w:jc w:val="center"/>
        </w:trPr>
        <w:tc>
          <w:tcPr>
            <w:tcW w:w="9294" w:type="dxa"/>
            <w:tcBorders>
              <w:top w:val="single" w:sz="4" w:space="0" w:color="auto"/>
            </w:tcBorders>
          </w:tcPr>
          <w:p w14:paraId="7BBF9398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Критерии за ОЦЕНКА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F8E329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Точки</w:t>
            </w:r>
          </w:p>
        </w:tc>
      </w:tr>
      <w:tr w:rsidR="00EE6B7C" w:rsidRPr="006D2EC5" w14:paraId="00577FA2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7E" w14:textId="6FFB18D5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Проектът е за инвестиции в читалище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58D3" w14:textId="0D148E26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5</w:t>
            </w:r>
          </w:p>
        </w:tc>
      </w:tr>
      <w:tr w:rsidR="00EE6B7C" w:rsidRPr="006D2EC5" w14:paraId="61D63568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953" w14:textId="5626ABA3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Проектът е подаден от неправителствена организация или читалище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3B9" w14:textId="0F702E53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10</w:t>
            </w:r>
          </w:p>
        </w:tc>
      </w:tr>
      <w:tr w:rsidR="00EE6B7C" w:rsidRPr="006D2EC5" w14:paraId="208487F7" w14:textId="77777777" w:rsidTr="0019710A">
        <w:trPr>
          <w:trHeight w:val="1050"/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30D" w14:textId="467F9018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Реализират се инвестиции в спортна инфраструктура, свързани със спорт, отдих и свободно време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54DD" w14:textId="70DEEE87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51362843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4DE" w14:textId="574C2775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 xml:space="preserve">Реализират се инвестиции в социалната инфраструктура за предоставяне на услуги, </w:t>
            </w:r>
            <w:r w:rsidRPr="005F4489">
              <w:rPr>
                <w:szCs w:val="24"/>
              </w:rPr>
              <w:lastRenderedPageBreak/>
              <w:t xml:space="preserve">които не са част от процеса на </w:t>
            </w:r>
            <w:proofErr w:type="spellStart"/>
            <w:r w:rsidRPr="005F4489">
              <w:rPr>
                <w:szCs w:val="24"/>
              </w:rPr>
              <w:t>деинституционализация</w:t>
            </w:r>
            <w:proofErr w:type="spellEnd"/>
            <w:r w:rsidRPr="005F4489">
              <w:rPr>
                <w:szCs w:val="24"/>
              </w:rPr>
              <w:t xml:space="preserve"> (за уязвими групи, деца, възрастни хора, хора с увреждания)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FCB8" w14:textId="3371B584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lastRenderedPageBreak/>
              <w:t>15</w:t>
            </w:r>
          </w:p>
        </w:tc>
      </w:tr>
      <w:tr w:rsidR="00EE6B7C" w:rsidRPr="006D2EC5" w14:paraId="4D98938E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147" w14:textId="570B3AB2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lastRenderedPageBreak/>
              <w:t>Реализират се инвестиции за подобряване достъпа до обекти свързани с културния живот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6996" w14:textId="30A2CE1C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669D131E" w14:textId="77777777" w:rsidTr="0019710A">
        <w:trPr>
          <w:jc w:val="center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65C" w14:textId="40A02067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Реализират се инвестиции в образователна инфраструктура с местно 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3737" w14:textId="07A6502B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7B097E61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D41" w14:textId="7C4FFD5C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5F4489">
              <w:rPr>
                <w:szCs w:val="24"/>
              </w:rPr>
              <w:t>Проектът надгражда постигнат/и резултат/и от предишни дейности на кандидата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D399" w14:textId="434A5034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6BF87A56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EC4" w14:textId="5AB3C5A1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5F4489">
              <w:rPr>
                <w:szCs w:val="24"/>
              </w:rPr>
              <w:t>Проектът обхваща инвестиции в повече от едно населено място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E845B" w14:textId="62AE8F85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10</w:t>
            </w:r>
          </w:p>
        </w:tc>
      </w:tr>
      <w:tr w:rsidR="00EE6B7C" w:rsidRPr="00EE6B7C" w14:paraId="13DB77CC" w14:textId="77777777" w:rsidTr="000D3B25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E366" w14:textId="264EF444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val="ru-RU" w:eastAsia="bg-BG"/>
              </w:rPr>
            </w:pPr>
            <w:r w:rsidRPr="00EE6B7C">
              <w:rPr>
                <w:b/>
                <w:bCs/>
                <w:szCs w:val="24"/>
              </w:rPr>
              <w:t>Общо: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BF10" w14:textId="45943965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eastAsia="bg-BG"/>
              </w:rPr>
            </w:pPr>
            <w:r w:rsidRPr="00EE6B7C">
              <w:rPr>
                <w:b/>
                <w:bCs/>
                <w:szCs w:val="24"/>
              </w:rPr>
              <w:t>100 т.</w:t>
            </w:r>
          </w:p>
        </w:tc>
      </w:tr>
    </w:tbl>
    <w:p w14:paraId="0B536FA0" w14:textId="77777777" w:rsidR="00EE6B7C" w:rsidRDefault="00EE6B7C" w:rsidP="00EE6B7C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eastAsia="bg-BG"/>
        </w:rPr>
      </w:pPr>
    </w:p>
    <w:p w14:paraId="0989CD2E" w14:textId="4072B340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Максималният брой на точки по настоящата процедура е 100.</w:t>
      </w:r>
    </w:p>
    <w:p w14:paraId="069111A4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bookmarkStart w:id="3" w:name="_GoBack"/>
      <w:bookmarkEnd w:id="3"/>
    </w:p>
    <w:p w14:paraId="065E6F56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точки.</w:t>
      </w:r>
    </w:p>
    <w:p w14:paraId="6FE1F6E7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4AC9F2C1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За проектни предложения, които са получили еднакъв брой точки на етап „Техническа и финансова оценка“ и има недостиг на средства за финансирането им, класирането ще се извърши по следния начин: Приоритет ще имат проектните предложения получили по-голям брой точки по критерий „Реализират се инвестиции в образователна инфраструктура с местно значение“. В случай, че проектните предложения имат равен брой точки по посочения критерий, те ще бъдат класирани, съобразно получените точки по критерий „Реализират се инвестиции в спортна инфраструктура, свързани със спорт, отдих и свободно време“</w:t>
      </w:r>
    </w:p>
    <w:p w14:paraId="20129612" w14:textId="77777777" w:rsidR="000E7846" w:rsidRPr="00080C5D" w:rsidRDefault="000E7846" w:rsidP="00017CAF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val="en-US" w:eastAsia="bg-BG"/>
        </w:rPr>
      </w:pPr>
    </w:p>
    <w:p w14:paraId="216EA2D7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9</w:t>
      </w:r>
      <w:r w:rsidR="00D3123F" w:rsidRPr="00080C5D">
        <w:rPr>
          <w:rFonts w:cs="Times New Roman"/>
          <w:b/>
          <w:szCs w:val="24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241EC" w:rsidRPr="00080C5D" w14:paraId="00FAA2A9" w14:textId="77777777" w:rsidTr="000241EC">
        <w:tc>
          <w:tcPr>
            <w:tcW w:w="10913" w:type="dxa"/>
          </w:tcPr>
          <w:p w14:paraId="195E0393" w14:textId="77777777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При условията на чл. 26, ал. 8 от ЗУСЕСИФ,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адрес: office@mig-lr.eu.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</w:t>
            </w:r>
          </w:p>
          <w:p w14:paraId="291C5800" w14:textId="46BBDB9E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Разясненията се публикуват на електронната страница на МИГ Луковит-Роман и на страницата на ИСУН в срок до две седмици преди изтичането на срока за кандидатстване.</w:t>
            </w:r>
          </w:p>
          <w:p w14:paraId="2C69DD09" w14:textId="6F0E61DA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Лица за контакт: </w:t>
            </w:r>
            <w:r w:rsidR="000E7846" w:rsidRPr="00080C5D">
              <w:rPr>
                <w:rFonts w:cs="Times New Roman"/>
                <w:szCs w:val="24"/>
              </w:rPr>
              <w:t>Надя Иванова</w:t>
            </w:r>
            <w:r w:rsidRPr="00080C5D">
              <w:rPr>
                <w:rFonts w:cs="Times New Roman"/>
                <w:szCs w:val="24"/>
              </w:rPr>
              <w:t xml:space="preserve">; </w:t>
            </w:r>
            <w:r w:rsidR="00BE5E94">
              <w:rPr>
                <w:rFonts w:cs="Times New Roman"/>
                <w:szCs w:val="24"/>
                <w:lang w:val="en-US"/>
              </w:rPr>
              <w:t xml:space="preserve"> </w:t>
            </w:r>
            <w:r w:rsidR="00245762" w:rsidRPr="00080C5D">
              <w:rPr>
                <w:rFonts w:cs="Times New Roman"/>
                <w:szCs w:val="24"/>
              </w:rPr>
              <w:t xml:space="preserve"> </w:t>
            </w:r>
            <w:r w:rsidR="000E7846" w:rsidRPr="00080C5D">
              <w:rPr>
                <w:rFonts w:cs="Times New Roman"/>
                <w:szCs w:val="24"/>
              </w:rPr>
              <w:t>Бисерка Николова</w:t>
            </w:r>
            <w:r w:rsidR="00245762" w:rsidRPr="00080C5D">
              <w:rPr>
                <w:rFonts w:cs="Times New Roman"/>
                <w:szCs w:val="24"/>
              </w:rPr>
              <w:t>.</w:t>
            </w:r>
            <w:r w:rsidRPr="00080C5D">
              <w:rPr>
                <w:rFonts w:cs="Times New Roman"/>
                <w:szCs w:val="24"/>
              </w:rPr>
              <w:t xml:space="preserve"> е-</w:t>
            </w:r>
            <w:r w:rsidRPr="00080C5D">
              <w:rPr>
                <w:rFonts w:cs="Times New Roman"/>
                <w:szCs w:val="24"/>
                <w:lang w:val="en-US"/>
              </w:rPr>
              <w:t xml:space="preserve">mail: </w:t>
            </w:r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office</w:t>
            </w:r>
            <w:r w:rsidR="000E7846" w:rsidRPr="00080C5D">
              <w:rPr>
                <w:rFonts w:cs="Times New Roman"/>
                <w:szCs w:val="24"/>
                <w:u w:val="single"/>
              </w:rPr>
              <w:t>@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mig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-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lr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.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eu</w:t>
            </w:r>
            <w:proofErr w:type="spellEnd"/>
            <w:r w:rsidRPr="00080C5D">
              <w:rPr>
                <w:rFonts w:cs="Times New Roman"/>
                <w:szCs w:val="24"/>
              </w:rPr>
              <w:t xml:space="preserve"> </w:t>
            </w:r>
          </w:p>
          <w:p w14:paraId="74516E52" w14:textId="7777777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5FB3F72" w:rsidR="000241EC" w:rsidRPr="00080C5D" w:rsidRDefault="000241EC" w:rsidP="00017CAF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Сдружение „МИГ </w:t>
            </w:r>
            <w:r w:rsidR="000E7846" w:rsidRPr="00080C5D">
              <w:rPr>
                <w:rFonts w:cs="Times New Roman"/>
                <w:szCs w:val="24"/>
              </w:rPr>
              <w:t>Луковит-Роман</w:t>
            </w:r>
            <w:r w:rsidRPr="00080C5D">
              <w:rPr>
                <w:rFonts w:cs="Times New Roman"/>
                <w:szCs w:val="24"/>
              </w:rPr>
              <w:t xml:space="preserve">“: </w:t>
            </w:r>
            <w:hyperlink r:id="rId13" w:history="1">
              <w:r w:rsidR="000E7846" w:rsidRPr="00080C5D">
                <w:rPr>
                  <w:rFonts w:cs="Times New Roman"/>
                  <w:color w:val="0563C1"/>
                  <w:szCs w:val="24"/>
                  <w:u w:val="single"/>
                </w:rPr>
                <w:t>http://mig-lr.eu/</w:t>
              </w:r>
            </w:hyperlink>
          </w:p>
          <w:p w14:paraId="34B78F21" w14:textId="77777777" w:rsidR="000241EC" w:rsidRPr="00080C5D" w:rsidRDefault="000241EC" w:rsidP="00017CAF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ИСУН </w:t>
            </w:r>
            <w:hyperlink r:id="rId14" w:history="1">
              <w:r w:rsidRPr="00080C5D">
                <w:rPr>
                  <w:rStyle w:val="a7"/>
                  <w:rFonts w:cs="Times New Roman"/>
                  <w:szCs w:val="24"/>
                </w:rPr>
                <w:t>http://eumis2020.government.bg/</w:t>
              </w:r>
            </w:hyperlink>
            <w:r w:rsidRPr="00080C5D">
              <w:rPr>
                <w:rFonts w:cs="Times New Roman"/>
                <w:szCs w:val="24"/>
              </w:rPr>
              <w:t xml:space="preserve">  . </w:t>
            </w:r>
          </w:p>
        </w:tc>
      </w:tr>
    </w:tbl>
    <w:p w14:paraId="2A3ECD51" w14:textId="77777777" w:rsidR="00181874" w:rsidRPr="00080C5D" w:rsidRDefault="00181874" w:rsidP="00017CA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</w:p>
    <w:p w14:paraId="46575E70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10</w:t>
      </w:r>
      <w:r w:rsidR="00D3123F" w:rsidRPr="00080C5D">
        <w:rPr>
          <w:rFonts w:cs="Times New Roman"/>
          <w:b/>
          <w:szCs w:val="24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241EC" w:rsidRPr="00080C5D" w14:paraId="39CE4F25" w14:textId="77777777" w:rsidTr="000241EC">
        <w:tc>
          <w:tcPr>
            <w:tcW w:w="10913" w:type="dxa"/>
          </w:tcPr>
          <w:p w14:paraId="20CED501" w14:textId="77777777" w:rsidR="000241EC" w:rsidRPr="00080C5D" w:rsidRDefault="000241EC" w:rsidP="00017CAF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080C5D">
              <w:rPr>
                <w:rFonts w:cs="Times New Roman"/>
                <w:b/>
                <w:bCs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</w:t>
            </w:r>
            <w:r w:rsidRPr="00080C5D">
              <w:rPr>
                <w:rFonts w:cs="Times New Roman"/>
                <w:szCs w:val="24"/>
              </w:rPr>
              <w:t xml:space="preserve">чрез модула „Е-кандидатстване“ на следния интернет адрес: </w:t>
            </w:r>
            <w:hyperlink r:id="rId15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>.</w:t>
            </w:r>
          </w:p>
        </w:tc>
      </w:tr>
    </w:tbl>
    <w:p w14:paraId="3ABF18BB" w14:textId="77777777" w:rsidR="000241EC" w:rsidRPr="00080C5D" w:rsidRDefault="000241EC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</w:p>
    <w:bookmarkEnd w:id="0"/>
    <w:bookmarkEnd w:id="1"/>
    <w:bookmarkEnd w:id="2"/>
    <w:p w14:paraId="5024930D" w14:textId="77777777" w:rsidR="00E31DB3" w:rsidRPr="00080C5D" w:rsidRDefault="00E31DB3" w:rsidP="00017CAF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</w:p>
    <w:sectPr w:rsidR="00E31DB3" w:rsidRPr="00080C5D" w:rsidSect="00E56540">
      <w:footerReference w:type="default" r:id="rId16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C5E6" w14:textId="77777777" w:rsidR="002C5203" w:rsidRDefault="002C5203" w:rsidP="00617FB6">
      <w:pPr>
        <w:spacing w:after="0" w:line="240" w:lineRule="auto"/>
      </w:pPr>
      <w:r>
        <w:separator/>
      </w:r>
    </w:p>
  </w:endnote>
  <w:endnote w:type="continuationSeparator" w:id="0">
    <w:p w14:paraId="33F71AB9" w14:textId="77777777" w:rsidR="002C5203" w:rsidRDefault="002C5203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EDB6" w14:textId="77777777" w:rsidR="002C5203" w:rsidRDefault="002C5203" w:rsidP="00617FB6">
      <w:pPr>
        <w:spacing w:after="0" w:line="240" w:lineRule="auto"/>
      </w:pPr>
      <w:r>
        <w:separator/>
      </w:r>
    </w:p>
  </w:footnote>
  <w:footnote w:type="continuationSeparator" w:id="0">
    <w:p w14:paraId="10FB9902" w14:textId="77777777" w:rsidR="002C5203" w:rsidRDefault="002C5203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111"/>
    <w:multiLevelType w:val="hybridMultilevel"/>
    <w:tmpl w:val="A35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603F8"/>
    <w:multiLevelType w:val="hybridMultilevel"/>
    <w:tmpl w:val="C512C2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ED2100"/>
    <w:multiLevelType w:val="hybridMultilevel"/>
    <w:tmpl w:val="51D2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775"/>
    <w:multiLevelType w:val="hybridMultilevel"/>
    <w:tmpl w:val="3E3627D6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441"/>
    <w:multiLevelType w:val="hybridMultilevel"/>
    <w:tmpl w:val="BB7E5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3D7F"/>
    <w:multiLevelType w:val="hybridMultilevel"/>
    <w:tmpl w:val="A9384A86"/>
    <w:lvl w:ilvl="0" w:tplc="89FAC7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D1FF1"/>
    <w:multiLevelType w:val="hybridMultilevel"/>
    <w:tmpl w:val="345C23DC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2"/>
  </w:num>
  <w:num w:numId="5">
    <w:abstractNumId w:val="28"/>
  </w:num>
  <w:num w:numId="6">
    <w:abstractNumId w:val="33"/>
  </w:num>
  <w:num w:numId="7">
    <w:abstractNumId w:val="16"/>
  </w:num>
  <w:num w:numId="8">
    <w:abstractNumId w:val="21"/>
  </w:num>
  <w:num w:numId="9">
    <w:abstractNumId w:val="17"/>
  </w:num>
  <w:num w:numId="10">
    <w:abstractNumId w:val="12"/>
  </w:num>
  <w:num w:numId="11">
    <w:abstractNumId w:val="9"/>
  </w:num>
  <w:num w:numId="12">
    <w:abstractNumId w:val="29"/>
  </w:num>
  <w:num w:numId="13">
    <w:abstractNumId w:val="2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3"/>
  </w:num>
  <w:num w:numId="18">
    <w:abstractNumId w:val="0"/>
  </w:num>
  <w:num w:numId="19">
    <w:abstractNumId w:val="6"/>
  </w:num>
  <w:num w:numId="20">
    <w:abstractNumId w:val="25"/>
  </w:num>
  <w:num w:numId="21">
    <w:abstractNumId w:val="4"/>
  </w:num>
  <w:num w:numId="22">
    <w:abstractNumId w:val="20"/>
  </w:num>
  <w:num w:numId="23">
    <w:abstractNumId w:val="19"/>
  </w:num>
  <w:num w:numId="24">
    <w:abstractNumId w:val="31"/>
  </w:num>
  <w:num w:numId="25">
    <w:abstractNumId w:val="26"/>
  </w:num>
  <w:num w:numId="26">
    <w:abstractNumId w:val="11"/>
  </w:num>
  <w:num w:numId="27">
    <w:abstractNumId w:val="14"/>
  </w:num>
  <w:num w:numId="28">
    <w:abstractNumId w:val="15"/>
  </w:num>
  <w:num w:numId="29">
    <w:abstractNumId w:val="3"/>
  </w:num>
  <w:num w:numId="30">
    <w:abstractNumId w:val="24"/>
  </w:num>
  <w:num w:numId="31">
    <w:abstractNumId w:val="7"/>
  </w:num>
  <w:num w:numId="32">
    <w:abstractNumId w:val="5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17165"/>
    <w:rsid w:val="00017CAF"/>
    <w:rsid w:val="0002238F"/>
    <w:rsid w:val="000241EC"/>
    <w:rsid w:val="000366F5"/>
    <w:rsid w:val="00080C5D"/>
    <w:rsid w:val="00083971"/>
    <w:rsid w:val="000917B7"/>
    <w:rsid w:val="000942A1"/>
    <w:rsid w:val="000A201A"/>
    <w:rsid w:val="000A5CF7"/>
    <w:rsid w:val="000B588F"/>
    <w:rsid w:val="000B7D47"/>
    <w:rsid w:val="000C402E"/>
    <w:rsid w:val="000D0DD9"/>
    <w:rsid w:val="000D3B25"/>
    <w:rsid w:val="000E438E"/>
    <w:rsid w:val="000E7846"/>
    <w:rsid w:val="000F01A4"/>
    <w:rsid w:val="001069D0"/>
    <w:rsid w:val="00115102"/>
    <w:rsid w:val="00125744"/>
    <w:rsid w:val="001407F5"/>
    <w:rsid w:val="00141D58"/>
    <w:rsid w:val="001719FE"/>
    <w:rsid w:val="00181874"/>
    <w:rsid w:val="0018286F"/>
    <w:rsid w:val="00185B7C"/>
    <w:rsid w:val="001B0DBB"/>
    <w:rsid w:val="001B6A76"/>
    <w:rsid w:val="001D2D9B"/>
    <w:rsid w:val="001D4E72"/>
    <w:rsid w:val="001E3DCB"/>
    <w:rsid w:val="001F0FCC"/>
    <w:rsid w:val="001F1345"/>
    <w:rsid w:val="001F77D2"/>
    <w:rsid w:val="00227052"/>
    <w:rsid w:val="002344BB"/>
    <w:rsid w:val="00245762"/>
    <w:rsid w:val="00245CD1"/>
    <w:rsid w:val="00246749"/>
    <w:rsid w:val="00251558"/>
    <w:rsid w:val="00265D45"/>
    <w:rsid w:val="0027009E"/>
    <w:rsid w:val="00286D96"/>
    <w:rsid w:val="002B2D9D"/>
    <w:rsid w:val="002C393A"/>
    <w:rsid w:val="002C3F1A"/>
    <w:rsid w:val="002C40CB"/>
    <w:rsid w:val="002C5203"/>
    <w:rsid w:val="002D5249"/>
    <w:rsid w:val="002E0452"/>
    <w:rsid w:val="002E684F"/>
    <w:rsid w:val="002F7345"/>
    <w:rsid w:val="00300F41"/>
    <w:rsid w:val="00306D29"/>
    <w:rsid w:val="003170F7"/>
    <w:rsid w:val="00323CAC"/>
    <w:rsid w:val="00325BD6"/>
    <w:rsid w:val="0032657C"/>
    <w:rsid w:val="0035203D"/>
    <w:rsid w:val="00353D1B"/>
    <w:rsid w:val="003600CC"/>
    <w:rsid w:val="0036084E"/>
    <w:rsid w:val="00371A33"/>
    <w:rsid w:val="00380A07"/>
    <w:rsid w:val="0039512C"/>
    <w:rsid w:val="003A2B25"/>
    <w:rsid w:val="003D09B5"/>
    <w:rsid w:val="003D1348"/>
    <w:rsid w:val="003E2BBC"/>
    <w:rsid w:val="003F1CC4"/>
    <w:rsid w:val="003F699C"/>
    <w:rsid w:val="003F7A0D"/>
    <w:rsid w:val="0042754C"/>
    <w:rsid w:val="004345BD"/>
    <w:rsid w:val="00444D9D"/>
    <w:rsid w:val="004459A8"/>
    <w:rsid w:val="00456104"/>
    <w:rsid w:val="004561C9"/>
    <w:rsid w:val="0046383D"/>
    <w:rsid w:val="00477810"/>
    <w:rsid w:val="0048142A"/>
    <w:rsid w:val="00484537"/>
    <w:rsid w:val="00496B80"/>
    <w:rsid w:val="004A0593"/>
    <w:rsid w:val="004A2989"/>
    <w:rsid w:val="004B1C33"/>
    <w:rsid w:val="004D1F9A"/>
    <w:rsid w:val="004D2754"/>
    <w:rsid w:val="004E32A0"/>
    <w:rsid w:val="004E7092"/>
    <w:rsid w:val="004E786A"/>
    <w:rsid w:val="004F4741"/>
    <w:rsid w:val="005016F9"/>
    <w:rsid w:val="005213B9"/>
    <w:rsid w:val="00526C08"/>
    <w:rsid w:val="005315CE"/>
    <w:rsid w:val="00537199"/>
    <w:rsid w:val="00563B32"/>
    <w:rsid w:val="0057526E"/>
    <w:rsid w:val="00581F5E"/>
    <w:rsid w:val="0059678C"/>
    <w:rsid w:val="005A13B5"/>
    <w:rsid w:val="005A6A85"/>
    <w:rsid w:val="005B4A2A"/>
    <w:rsid w:val="005B7567"/>
    <w:rsid w:val="005E0998"/>
    <w:rsid w:val="005F1377"/>
    <w:rsid w:val="005F7437"/>
    <w:rsid w:val="00601EE3"/>
    <w:rsid w:val="0060686B"/>
    <w:rsid w:val="00617FB6"/>
    <w:rsid w:val="006224F4"/>
    <w:rsid w:val="00623FD1"/>
    <w:rsid w:val="00630782"/>
    <w:rsid w:val="0063467E"/>
    <w:rsid w:val="006535DA"/>
    <w:rsid w:val="00653E8A"/>
    <w:rsid w:val="00664ABB"/>
    <w:rsid w:val="0067299F"/>
    <w:rsid w:val="0068075E"/>
    <w:rsid w:val="00684AC4"/>
    <w:rsid w:val="0069691C"/>
    <w:rsid w:val="006B17C5"/>
    <w:rsid w:val="006B3DD8"/>
    <w:rsid w:val="006C6FE0"/>
    <w:rsid w:val="006D0203"/>
    <w:rsid w:val="006D2EC5"/>
    <w:rsid w:val="006D40C0"/>
    <w:rsid w:val="006D45A0"/>
    <w:rsid w:val="007079A3"/>
    <w:rsid w:val="00724026"/>
    <w:rsid w:val="00747F8C"/>
    <w:rsid w:val="00757CB3"/>
    <w:rsid w:val="00760332"/>
    <w:rsid w:val="00781D2F"/>
    <w:rsid w:val="00786BA6"/>
    <w:rsid w:val="007A0E1F"/>
    <w:rsid w:val="007A2E7D"/>
    <w:rsid w:val="007A4B81"/>
    <w:rsid w:val="007A5405"/>
    <w:rsid w:val="007B1B8A"/>
    <w:rsid w:val="007B523B"/>
    <w:rsid w:val="007C1D39"/>
    <w:rsid w:val="007C3C18"/>
    <w:rsid w:val="007D21CC"/>
    <w:rsid w:val="007D45F6"/>
    <w:rsid w:val="007D68D2"/>
    <w:rsid w:val="007E7AD4"/>
    <w:rsid w:val="007F128F"/>
    <w:rsid w:val="007F3FAE"/>
    <w:rsid w:val="008051B1"/>
    <w:rsid w:val="00806203"/>
    <w:rsid w:val="008069EA"/>
    <w:rsid w:val="0081207F"/>
    <w:rsid w:val="00815630"/>
    <w:rsid w:val="00820623"/>
    <w:rsid w:val="008231B8"/>
    <w:rsid w:val="008457F4"/>
    <w:rsid w:val="00846B49"/>
    <w:rsid w:val="00852911"/>
    <w:rsid w:val="0085575D"/>
    <w:rsid w:val="008602B3"/>
    <w:rsid w:val="00864369"/>
    <w:rsid w:val="00865D3A"/>
    <w:rsid w:val="0086759C"/>
    <w:rsid w:val="00870182"/>
    <w:rsid w:val="008704CD"/>
    <w:rsid w:val="00875D87"/>
    <w:rsid w:val="008861B1"/>
    <w:rsid w:val="008873E0"/>
    <w:rsid w:val="008930FB"/>
    <w:rsid w:val="008A024D"/>
    <w:rsid w:val="008A5CED"/>
    <w:rsid w:val="008B01E9"/>
    <w:rsid w:val="008B0DBB"/>
    <w:rsid w:val="008C33D1"/>
    <w:rsid w:val="008C7790"/>
    <w:rsid w:val="008E35E7"/>
    <w:rsid w:val="008F08DA"/>
    <w:rsid w:val="008F75EC"/>
    <w:rsid w:val="008F7AF0"/>
    <w:rsid w:val="00913D07"/>
    <w:rsid w:val="0091472B"/>
    <w:rsid w:val="009200F8"/>
    <w:rsid w:val="0092422F"/>
    <w:rsid w:val="00925984"/>
    <w:rsid w:val="00993696"/>
    <w:rsid w:val="00994236"/>
    <w:rsid w:val="0099528A"/>
    <w:rsid w:val="009A3ED8"/>
    <w:rsid w:val="009B2C25"/>
    <w:rsid w:val="009C0C2F"/>
    <w:rsid w:val="009C16B1"/>
    <w:rsid w:val="009C50B4"/>
    <w:rsid w:val="009E72D4"/>
    <w:rsid w:val="00A01619"/>
    <w:rsid w:val="00A01D26"/>
    <w:rsid w:val="00A0248E"/>
    <w:rsid w:val="00A053E9"/>
    <w:rsid w:val="00A103B4"/>
    <w:rsid w:val="00A21443"/>
    <w:rsid w:val="00A27006"/>
    <w:rsid w:val="00A575D1"/>
    <w:rsid w:val="00A60EB9"/>
    <w:rsid w:val="00A63670"/>
    <w:rsid w:val="00A66E89"/>
    <w:rsid w:val="00A776E3"/>
    <w:rsid w:val="00A96D68"/>
    <w:rsid w:val="00A97419"/>
    <w:rsid w:val="00AA7329"/>
    <w:rsid w:val="00AB5C31"/>
    <w:rsid w:val="00AB70EB"/>
    <w:rsid w:val="00AB783C"/>
    <w:rsid w:val="00AC2303"/>
    <w:rsid w:val="00AC3207"/>
    <w:rsid w:val="00AC48C5"/>
    <w:rsid w:val="00AC7B2E"/>
    <w:rsid w:val="00AD7AE9"/>
    <w:rsid w:val="00AE1915"/>
    <w:rsid w:val="00B020BC"/>
    <w:rsid w:val="00B023E7"/>
    <w:rsid w:val="00B073BC"/>
    <w:rsid w:val="00B20EF5"/>
    <w:rsid w:val="00B2368B"/>
    <w:rsid w:val="00B262D9"/>
    <w:rsid w:val="00B34177"/>
    <w:rsid w:val="00B54ECE"/>
    <w:rsid w:val="00B601FC"/>
    <w:rsid w:val="00B63DE4"/>
    <w:rsid w:val="00B650F8"/>
    <w:rsid w:val="00B659BE"/>
    <w:rsid w:val="00B675C7"/>
    <w:rsid w:val="00B76497"/>
    <w:rsid w:val="00B82530"/>
    <w:rsid w:val="00B84E44"/>
    <w:rsid w:val="00B97B27"/>
    <w:rsid w:val="00BA37B3"/>
    <w:rsid w:val="00BB500B"/>
    <w:rsid w:val="00BC3FD9"/>
    <w:rsid w:val="00BD5AD0"/>
    <w:rsid w:val="00BE5E94"/>
    <w:rsid w:val="00C033B3"/>
    <w:rsid w:val="00C10A47"/>
    <w:rsid w:val="00C1113E"/>
    <w:rsid w:val="00C45BF8"/>
    <w:rsid w:val="00C529FF"/>
    <w:rsid w:val="00C679C0"/>
    <w:rsid w:val="00C67E85"/>
    <w:rsid w:val="00C7372F"/>
    <w:rsid w:val="00C84528"/>
    <w:rsid w:val="00C86DA8"/>
    <w:rsid w:val="00C8763A"/>
    <w:rsid w:val="00C91946"/>
    <w:rsid w:val="00C93457"/>
    <w:rsid w:val="00CA7741"/>
    <w:rsid w:val="00CB253A"/>
    <w:rsid w:val="00CC2823"/>
    <w:rsid w:val="00CD0C94"/>
    <w:rsid w:val="00CD3A45"/>
    <w:rsid w:val="00CD63C9"/>
    <w:rsid w:val="00CE368B"/>
    <w:rsid w:val="00D0210F"/>
    <w:rsid w:val="00D169EE"/>
    <w:rsid w:val="00D207BB"/>
    <w:rsid w:val="00D30002"/>
    <w:rsid w:val="00D3123F"/>
    <w:rsid w:val="00D47772"/>
    <w:rsid w:val="00D514EC"/>
    <w:rsid w:val="00D545B5"/>
    <w:rsid w:val="00D57706"/>
    <w:rsid w:val="00D61C2C"/>
    <w:rsid w:val="00D731C2"/>
    <w:rsid w:val="00D8747D"/>
    <w:rsid w:val="00D93F35"/>
    <w:rsid w:val="00DB6F4E"/>
    <w:rsid w:val="00DC3896"/>
    <w:rsid w:val="00DE66EB"/>
    <w:rsid w:val="00DE7214"/>
    <w:rsid w:val="00DF24E3"/>
    <w:rsid w:val="00DF36A0"/>
    <w:rsid w:val="00DF74CA"/>
    <w:rsid w:val="00E02385"/>
    <w:rsid w:val="00E149BB"/>
    <w:rsid w:val="00E2337D"/>
    <w:rsid w:val="00E23868"/>
    <w:rsid w:val="00E31DB3"/>
    <w:rsid w:val="00E33A67"/>
    <w:rsid w:val="00E36EA7"/>
    <w:rsid w:val="00E4300C"/>
    <w:rsid w:val="00E56540"/>
    <w:rsid w:val="00E72839"/>
    <w:rsid w:val="00E84502"/>
    <w:rsid w:val="00E96269"/>
    <w:rsid w:val="00EA1B32"/>
    <w:rsid w:val="00EA7618"/>
    <w:rsid w:val="00EC71BE"/>
    <w:rsid w:val="00ED6C96"/>
    <w:rsid w:val="00ED7A97"/>
    <w:rsid w:val="00EE63CB"/>
    <w:rsid w:val="00EE6B7C"/>
    <w:rsid w:val="00F077DF"/>
    <w:rsid w:val="00F136C8"/>
    <w:rsid w:val="00F22A30"/>
    <w:rsid w:val="00F4200F"/>
    <w:rsid w:val="00F5099D"/>
    <w:rsid w:val="00F65E3C"/>
    <w:rsid w:val="00F674FA"/>
    <w:rsid w:val="00F6753A"/>
    <w:rsid w:val="00F7321C"/>
    <w:rsid w:val="00F776D0"/>
    <w:rsid w:val="00F810F8"/>
    <w:rsid w:val="00F92E14"/>
    <w:rsid w:val="00FB0342"/>
    <w:rsid w:val="00FB380D"/>
    <w:rsid w:val="00FC1EFC"/>
    <w:rsid w:val="00FD4FCA"/>
    <w:rsid w:val="00FF287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  <w15:docId w15:val="{C808694B-9302-4499-91EC-2C5403D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hd Знак,Header Titlos Prosforas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rsid w:val="00DF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7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ig-lr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umis2020.government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15</cp:revision>
  <cp:lastPrinted>2017-05-09T10:34:00Z</cp:lastPrinted>
  <dcterms:created xsi:type="dcterms:W3CDTF">2020-07-10T07:06:00Z</dcterms:created>
  <dcterms:modified xsi:type="dcterms:W3CDTF">2023-04-28T07:45:00Z</dcterms:modified>
</cp:coreProperties>
</file>