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017F" w14:textId="12C4F2DA" w:rsidR="005A6A85" w:rsidRPr="00080C5D" w:rsidRDefault="009B2C2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4"/>
          <w:u w:val="single"/>
        </w:rPr>
      </w:pPr>
      <w:r w:rsidRPr="00080C5D">
        <w:rPr>
          <w:rFonts w:eastAsia="Times New Roman" w:cs="Times New Roman"/>
          <w:noProof/>
          <w:szCs w:val="24"/>
        </w:rPr>
        <w:t xml:space="preserve">      </w:t>
      </w:r>
      <w:r w:rsidR="00A0248E" w:rsidRPr="00080C5D">
        <w:rPr>
          <w:rFonts w:eastAsia="Times New Roman" w:cs="Times New Roman"/>
          <w:noProof/>
          <w:szCs w:val="24"/>
        </w:rPr>
        <w:t xml:space="preserve"> </w:t>
      </w:r>
      <w:r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</w:rPr>
        <w:t xml:space="preserve"> 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62A40C0" wp14:editId="3E02D639">
            <wp:extent cx="666750" cy="48233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8" cy="4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</w:t>
      </w:r>
      <w:r w:rsidR="008A5CED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noProof/>
          <w:szCs w:val="24"/>
          <w:u w:val="single"/>
        </w:rPr>
        <w:t xml:space="preserve">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0DE125B2" wp14:editId="116FE11A">
            <wp:extent cx="581025" cy="443974"/>
            <wp:effectExtent l="19050" t="19050" r="9525" b="1333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6" cy="444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</w:t>
      </w:r>
      <w:r w:rsidR="0081207F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67430330" wp14:editId="0036FF4C">
            <wp:extent cx="548249" cy="464820"/>
            <wp:effectExtent l="0" t="0" r="444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5" cy="468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   </w:t>
      </w:r>
      <w:r w:rsidR="008A5CED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eastAsia="bg-BG"/>
        </w:rPr>
        <w:drawing>
          <wp:inline distT="0" distB="0" distL="0" distR="0" wp14:anchorId="57EB2C7E" wp14:editId="7416BAAF">
            <wp:extent cx="1147555" cy="485775"/>
            <wp:effectExtent l="19050" t="19050" r="14605" b="9525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39" cy="485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</w:t>
      </w:r>
      <w:r w:rsidR="008A5CED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     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en-US"/>
        </w:rPr>
        <w:t xml:space="preserve"> </w:t>
      </w:r>
      <w:r w:rsidR="005A6A85" w:rsidRPr="00080C5D">
        <w:rPr>
          <w:rFonts w:eastAsia="Times New Roman" w:cs="Times New Roman"/>
          <w:i/>
          <w:noProof/>
          <w:szCs w:val="24"/>
          <w:u w:val="single"/>
          <w:lang w:val="ru-RU"/>
        </w:rPr>
        <w:t xml:space="preserve">  </w:t>
      </w:r>
      <w:r w:rsidR="005A6A85" w:rsidRPr="00080C5D">
        <w:rPr>
          <w:rFonts w:eastAsia="Times New Roman" w:cs="Times New Roman"/>
          <w:i/>
          <w:noProof/>
          <w:szCs w:val="24"/>
          <w:u w:val="single"/>
        </w:rPr>
        <w:t xml:space="preserve"> </w:t>
      </w:r>
      <w:r w:rsidR="005A6A85" w:rsidRPr="00080C5D">
        <w:rPr>
          <w:rFonts w:eastAsia="Times New Roman" w:cs="Times New Roman"/>
          <w:noProof/>
          <w:szCs w:val="24"/>
          <w:u w:val="single"/>
          <w:lang w:eastAsia="bg-BG"/>
        </w:rPr>
        <w:drawing>
          <wp:inline distT="0" distB="0" distL="0" distR="0" wp14:anchorId="2704AE68" wp14:editId="79A395BB">
            <wp:extent cx="628650" cy="462854"/>
            <wp:effectExtent l="19050" t="19050" r="19050" b="1397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8" cy="45899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C5614B8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szCs w:val="24"/>
        </w:rPr>
      </w:pPr>
      <w:r w:rsidRPr="00080C5D">
        <w:rPr>
          <w:rFonts w:eastAsia="Times New Roman" w:cs="Times New Roman"/>
          <w:szCs w:val="24"/>
        </w:rPr>
        <w:t>„Европейски земеделски фонд за развитие на селските райони – Европа инвестира в селските райони”</w:t>
      </w:r>
    </w:p>
    <w:p w14:paraId="5D65976E" w14:textId="77777777" w:rsidR="005A6A85" w:rsidRPr="00080C5D" w:rsidRDefault="005A6A85" w:rsidP="00017CAF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320"/>
          <w:tab w:val="right" w:pos="8640"/>
        </w:tabs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4"/>
        </w:rPr>
      </w:pPr>
      <w:r w:rsidRPr="00080C5D">
        <w:rPr>
          <w:rFonts w:eastAsia="Times New Roman" w:cs="Times New Roman"/>
          <w:b/>
          <w:szCs w:val="24"/>
        </w:rPr>
        <w:t>ПРОГРАМА ЗА РАЗВИТИЕ НА СЕЛСКИТЕ РАЙОНИ 2014 – 2020 г.</w:t>
      </w:r>
    </w:p>
    <w:p w14:paraId="1D6F46D5" w14:textId="0A7DEC32" w:rsidR="005A6A85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Сдружение „МИГ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Луковит-Роман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” </w:t>
      </w:r>
    </w:p>
    <w:p w14:paraId="50FD141F" w14:textId="74E57281" w:rsidR="00617FB6" w:rsidRPr="00080C5D" w:rsidRDefault="005A6A85" w:rsidP="00017CA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 xml:space="preserve">Споразумение </w:t>
      </w:r>
      <w:r w:rsidR="0081207F"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за изпълнение на СВОМР №РД50-22/25.03.2019 г</w:t>
      </w:r>
      <w:r w:rsidRPr="00080C5D"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  <w:t>.</w:t>
      </w:r>
    </w:p>
    <w:p w14:paraId="17F9D2B0" w14:textId="77777777" w:rsidR="00870182" w:rsidRPr="00080C5D" w:rsidRDefault="00870182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Cs/>
          <w:color w:val="000000"/>
          <w:spacing w:val="3"/>
          <w:szCs w:val="24"/>
          <w:lang w:eastAsia="bg-BG"/>
        </w:rPr>
      </w:pPr>
    </w:p>
    <w:p w14:paraId="66147337" w14:textId="7E329B8B" w:rsidR="008A5CED" w:rsidRPr="00080C5D" w:rsidRDefault="0081207F" w:rsidP="00017CA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</w:pPr>
      <w:r w:rsidRPr="00080C5D">
        <w:rPr>
          <w:rFonts w:eastAsia="Times New Roman" w:cs="Times New Roman"/>
          <w:b/>
          <w:i/>
          <w:iCs/>
          <w:color w:val="000000"/>
          <w:spacing w:val="3"/>
          <w:szCs w:val="24"/>
          <w:lang w:eastAsia="bg-BG"/>
        </w:rPr>
        <w:t xml:space="preserve"> </w:t>
      </w:r>
    </w:p>
    <w:p w14:paraId="3994F78C" w14:textId="77777777" w:rsidR="00870182" w:rsidRPr="00080C5D" w:rsidRDefault="00870182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bookmarkStart w:id="0" w:name="_Toc175379528"/>
      <w:bookmarkStart w:id="1" w:name="_Toc175470698"/>
      <w:bookmarkStart w:id="2" w:name="_Toc175573961"/>
    </w:p>
    <w:p w14:paraId="22E9854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  <w:u w:val="single"/>
        </w:rPr>
      </w:pPr>
      <w:r w:rsidRPr="00080C5D">
        <w:rPr>
          <w:rFonts w:cs="Times New Roman"/>
          <w:b/>
          <w:szCs w:val="24"/>
          <w:u w:val="single"/>
        </w:rPr>
        <w:t>О Б Я В А</w:t>
      </w:r>
    </w:p>
    <w:p w14:paraId="73AB09AC" w14:textId="77777777" w:rsidR="008051B1" w:rsidRPr="00080C5D" w:rsidRDefault="008051B1" w:rsidP="00017CAF">
      <w:pPr>
        <w:spacing w:after="0" w:line="276" w:lineRule="auto"/>
        <w:jc w:val="center"/>
        <w:outlineLvl w:val="0"/>
        <w:rPr>
          <w:rFonts w:cs="Times New Roman"/>
          <w:b/>
          <w:color w:val="385623" w:themeColor="accent6" w:themeShade="80"/>
          <w:szCs w:val="24"/>
          <w:u w:val="single"/>
        </w:rPr>
      </w:pPr>
    </w:p>
    <w:p w14:paraId="039F089E" w14:textId="6AA2A860" w:rsidR="008051B1" w:rsidRPr="00080C5D" w:rsidRDefault="008051B1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szCs w:val="24"/>
        </w:rPr>
        <w:t xml:space="preserve">За прием на проектни предложения към Стратегията за водено от общностите местно развитие на Сдружение „Местна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Pr="00080C5D">
        <w:rPr>
          <w:rFonts w:cs="Times New Roman"/>
          <w:b/>
          <w:szCs w:val="24"/>
        </w:rPr>
        <w:t>“, финансирана чрез „Програма за развитие на селските райони 2014 – 2020 г.</w:t>
      </w:r>
    </w:p>
    <w:p w14:paraId="071A561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</w:p>
    <w:p w14:paraId="1864744A" w14:textId="56169624" w:rsidR="00D3123F" w:rsidRPr="00080C5D" w:rsidRDefault="005A6A85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szCs w:val="24"/>
        </w:rPr>
        <w:t>СДРУЖЕНИЕ „</w:t>
      </w:r>
      <w:r w:rsidR="00D3123F" w:rsidRPr="00080C5D">
        <w:rPr>
          <w:rFonts w:cs="Times New Roman"/>
          <w:b/>
          <w:szCs w:val="24"/>
        </w:rPr>
        <w:t xml:space="preserve">МЕСТНА ИНИЦИАТИВНА ГРУПА </w:t>
      </w:r>
      <w:r w:rsidR="0081207F" w:rsidRPr="00080C5D">
        <w:rPr>
          <w:rFonts w:cs="Times New Roman"/>
          <w:b/>
          <w:szCs w:val="24"/>
        </w:rPr>
        <w:t>ЛУКОВИТ-РОМАН</w:t>
      </w:r>
      <w:r w:rsidRPr="00080C5D">
        <w:rPr>
          <w:rFonts w:cs="Times New Roman"/>
          <w:b/>
          <w:szCs w:val="24"/>
        </w:rPr>
        <w:t>“</w:t>
      </w:r>
    </w:p>
    <w:p w14:paraId="60CDF181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szCs w:val="24"/>
        </w:rPr>
      </w:pPr>
      <w:r w:rsidRPr="00080C5D">
        <w:rPr>
          <w:rFonts w:cs="Times New Roman"/>
          <w:b/>
          <w:caps/>
          <w:szCs w:val="24"/>
        </w:rPr>
        <w:t>Открива процедура за подбор на проектни предложения</w:t>
      </w:r>
    </w:p>
    <w:p w14:paraId="57B6CBA9" w14:textId="77777777" w:rsidR="00D3123F" w:rsidRPr="00080C5D" w:rsidRDefault="00D3123F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</w:rPr>
      </w:pPr>
      <w:r w:rsidRPr="00080C5D">
        <w:rPr>
          <w:rFonts w:cs="Times New Roman"/>
          <w:b/>
          <w:caps/>
          <w:szCs w:val="24"/>
        </w:rPr>
        <w:t>за предОставяне на безвъзмездна финансова помощ</w:t>
      </w:r>
    </w:p>
    <w:p w14:paraId="1AAFFE85" w14:textId="77777777" w:rsidR="00C10A47" w:rsidRPr="00080C5D" w:rsidRDefault="00C10A47" w:rsidP="00017CAF">
      <w:pPr>
        <w:spacing w:after="0" w:line="276" w:lineRule="auto"/>
        <w:jc w:val="center"/>
        <w:outlineLvl w:val="0"/>
        <w:rPr>
          <w:rFonts w:cs="Times New Roman"/>
          <w:b/>
          <w:caps/>
          <w:szCs w:val="24"/>
          <w:lang w:val="en-US"/>
        </w:rPr>
      </w:pPr>
    </w:p>
    <w:tbl>
      <w:tblPr>
        <w:tblStyle w:val="a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3"/>
      </w:tblGrid>
      <w:tr w:rsidR="008051B1" w:rsidRPr="00080C5D" w14:paraId="003BE79E" w14:textId="77777777" w:rsidTr="008C33D1">
        <w:tc>
          <w:tcPr>
            <w:tcW w:w="10881" w:type="dxa"/>
            <w:shd w:val="clear" w:color="auto" w:fill="F2F2F2" w:themeFill="background1" w:themeFillShade="F2"/>
          </w:tcPr>
          <w:p w14:paraId="6CC3EBE9" w14:textId="7D7FA5A8" w:rsidR="00C10A47" w:rsidRPr="00080C5D" w:rsidRDefault="008051B1" w:rsidP="00017CAF">
            <w:pPr>
              <w:spacing w:line="276" w:lineRule="auto"/>
              <w:jc w:val="center"/>
              <w:outlineLvl w:val="0"/>
              <w:rPr>
                <w:rStyle w:val="indented"/>
                <w:rFonts w:cs="Times New Roman"/>
                <w:b/>
                <w:szCs w:val="24"/>
              </w:rPr>
            </w:pPr>
            <w:r w:rsidRPr="00080C5D">
              <w:rPr>
                <w:rStyle w:val="indented"/>
                <w:rFonts w:cs="Times New Roman"/>
                <w:b/>
                <w:szCs w:val="24"/>
              </w:rPr>
              <w:t>Процедура з</w:t>
            </w:r>
            <w:r w:rsidR="000942A1" w:rsidRPr="00080C5D">
              <w:rPr>
                <w:rStyle w:val="indented"/>
                <w:rFonts w:cs="Times New Roman"/>
                <w:b/>
                <w:szCs w:val="24"/>
              </w:rPr>
              <w:t>а подбор на проектни предложения</w:t>
            </w:r>
            <w:r w:rsidRPr="00080C5D">
              <w:rPr>
                <w:rStyle w:val="indented"/>
                <w:rFonts w:cs="Times New Roman"/>
                <w:b/>
                <w:szCs w:val="24"/>
              </w:rPr>
              <w:t xml:space="preserve">: </w:t>
            </w:r>
          </w:p>
          <w:p w14:paraId="129E5EF8" w14:textId="3E954031" w:rsidR="0092422F" w:rsidRPr="00294802" w:rsidRDefault="008051B1" w:rsidP="00017CAF">
            <w:pPr>
              <w:spacing w:line="276" w:lineRule="auto"/>
              <w:jc w:val="center"/>
              <w:outlineLvl w:val="0"/>
              <w:rPr>
                <w:rStyle w:val="indented"/>
                <w:rFonts w:cs="Times New Roman"/>
                <w:b/>
                <w:szCs w:val="24"/>
              </w:rPr>
            </w:pPr>
            <w:r w:rsidRPr="00080C5D">
              <w:rPr>
                <w:rStyle w:val="indented"/>
                <w:rFonts w:cs="Times New Roman"/>
                <w:b/>
                <w:szCs w:val="24"/>
              </w:rPr>
              <w:t xml:space="preserve"> </w:t>
            </w:r>
            <w:r w:rsidR="002E684F" w:rsidRPr="00080C5D">
              <w:rPr>
                <w:rStyle w:val="indented"/>
                <w:rFonts w:cs="Times New Roman"/>
                <w:b/>
                <w:szCs w:val="24"/>
              </w:rPr>
              <w:t>BG06RDNP001-19.</w:t>
            </w:r>
            <w:r w:rsidR="00294802">
              <w:rPr>
                <w:rStyle w:val="indented"/>
                <w:rFonts w:cs="Times New Roman"/>
                <w:b/>
                <w:szCs w:val="24"/>
                <w:lang w:val="en-US"/>
              </w:rPr>
              <w:t>672</w:t>
            </w:r>
          </w:p>
          <w:p w14:paraId="48D07596" w14:textId="28A23B24" w:rsidR="008051B1" w:rsidRPr="00080C5D" w:rsidRDefault="002E684F" w:rsidP="00017CAF">
            <w:pPr>
              <w:spacing w:line="276" w:lineRule="auto"/>
              <w:jc w:val="center"/>
              <w:outlineLvl w:val="0"/>
              <w:rPr>
                <w:rFonts w:cs="Times New Roman"/>
                <w:b/>
                <w:szCs w:val="24"/>
              </w:rPr>
            </w:pPr>
            <w:r w:rsidRPr="00080C5D">
              <w:rPr>
                <w:rStyle w:val="indented"/>
                <w:rFonts w:cs="Times New Roman"/>
                <w:b/>
                <w:szCs w:val="24"/>
              </w:rPr>
              <w:t>мярка 19-4.2 „Инвестиции в преработка/маркетинг на селскостопански продукти“</w:t>
            </w:r>
            <w:r w:rsidR="00E23868" w:rsidRPr="00080C5D">
              <w:rPr>
                <w:rStyle w:val="indented"/>
                <w:rFonts w:cs="Times New Roman"/>
                <w:b/>
                <w:szCs w:val="24"/>
                <w:lang w:val="en-US"/>
              </w:rPr>
              <w:t xml:space="preserve"> </w:t>
            </w:r>
            <w:r w:rsidR="0092422F" w:rsidRPr="00080C5D">
              <w:rPr>
                <w:rStyle w:val="indented"/>
                <w:rFonts w:cs="Times New Roman"/>
                <w:b/>
                <w:szCs w:val="24"/>
              </w:rPr>
              <w:t xml:space="preserve">от Стратегия за водено от общностите местно развитие на Сдружение "МИГ </w:t>
            </w:r>
            <w:r w:rsidR="0081207F" w:rsidRPr="00080C5D">
              <w:rPr>
                <w:rStyle w:val="indented"/>
                <w:rFonts w:cs="Times New Roman"/>
                <w:b/>
                <w:szCs w:val="24"/>
              </w:rPr>
              <w:t>Луковит-Роман</w:t>
            </w:r>
            <w:r w:rsidR="0092422F" w:rsidRPr="00080C5D">
              <w:rPr>
                <w:rStyle w:val="indented"/>
                <w:rFonts w:cs="Times New Roman"/>
                <w:b/>
                <w:szCs w:val="24"/>
              </w:rPr>
              <w:t>".</w:t>
            </w:r>
          </w:p>
        </w:tc>
      </w:tr>
    </w:tbl>
    <w:p w14:paraId="15315000" w14:textId="77777777" w:rsidR="00A575D1" w:rsidRPr="00080C5D" w:rsidRDefault="00A575D1" w:rsidP="00017CAF">
      <w:pPr>
        <w:spacing w:line="276" w:lineRule="auto"/>
        <w:jc w:val="both"/>
        <w:outlineLvl w:val="0"/>
        <w:rPr>
          <w:rFonts w:cs="Times New Roman"/>
          <w:b/>
          <w:szCs w:val="24"/>
        </w:rPr>
      </w:pPr>
    </w:p>
    <w:p w14:paraId="1FD6BAF0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1. НАИМЕНОВАНИЕ НА МЯРКАТА ОТ СТРАТЕГИЯТА ЗА ВОМР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10A47" w:rsidRPr="00080C5D" w14:paraId="0497215A" w14:textId="77777777" w:rsidTr="008C33D1">
        <w:tc>
          <w:tcPr>
            <w:tcW w:w="10881" w:type="dxa"/>
          </w:tcPr>
          <w:p w14:paraId="0BCE4E1B" w14:textId="00E4B2D2" w:rsidR="00C10A47" w:rsidRPr="00080C5D" w:rsidRDefault="005F7437" w:rsidP="00017CAF">
            <w:pPr>
              <w:shd w:val="clear" w:color="auto" w:fill="FEFEFE"/>
              <w:spacing w:line="276" w:lineRule="auto"/>
              <w:rPr>
                <w:rStyle w:val="indented"/>
                <w:rFonts w:cs="Times New Roman"/>
                <w:b/>
                <w:szCs w:val="24"/>
              </w:rPr>
            </w:pPr>
            <w:r w:rsidRPr="00080C5D">
              <w:rPr>
                <w:rStyle w:val="indented"/>
                <w:rFonts w:cs="Times New Roman"/>
                <w:b/>
                <w:szCs w:val="24"/>
              </w:rPr>
              <w:t>19-4.2 „Инвестиции в преработка/маркетинг на селскостопански продукти”</w:t>
            </w:r>
            <w:r w:rsidR="007B523B" w:rsidRPr="00080C5D">
              <w:rPr>
                <w:rStyle w:val="indented"/>
                <w:rFonts w:cs="Times New Roman"/>
                <w:b/>
                <w:szCs w:val="24"/>
              </w:rPr>
              <w:t xml:space="preserve">от Стратегия за водено от общностите местно развитие на Сдружение "МИГ </w:t>
            </w:r>
            <w:r w:rsidR="0081207F" w:rsidRPr="00080C5D">
              <w:rPr>
                <w:rStyle w:val="indented"/>
                <w:rFonts w:cs="Times New Roman"/>
                <w:b/>
                <w:szCs w:val="24"/>
              </w:rPr>
              <w:t>Луковит-Роман</w:t>
            </w:r>
            <w:r w:rsidR="007B523B" w:rsidRPr="00080C5D">
              <w:rPr>
                <w:rStyle w:val="indented"/>
                <w:rFonts w:cs="Times New Roman"/>
                <w:b/>
                <w:szCs w:val="24"/>
              </w:rPr>
              <w:t>".</w:t>
            </w:r>
          </w:p>
        </w:tc>
      </w:tr>
    </w:tbl>
    <w:p w14:paraId="34E72E5F" w14:textId="77777777" w:rsidR="00C10A47" w:rsidRPr="00080C5D" w:rsidRDefault="00C10A47" w:rsidP="00017CAF">
      <w:pPr>
        <w:shd w:val="clear" w:color="auto" w:fill="FEFEFE"/>
        <w:spacing w:after="0" w:line="276" w:lineRule="auto"/>
        <w:rPr>
          <w:rStyle w:val="indented"/>
          <w:rFonts w:cs="Times New Roman"/>
          <w:b/>
          <w:szCs w:val="24"/>
          <w:lang w:val="en-US" w:eastAsia="bg-BG"/>
        </w:rPr>
      </w:pPr>
    </w:p>
    <w:p w14:paraId="23EAC097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2. ДОПУСТИМИ КАНДИДАТИ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A5CED" w:rsidRPr="00080C5D" w14:paraId="644513E2" w14:textId="77777777" w:rsidTr="008C33D1">
        <w:tc>
          <w:tcPr>
            <w:tcW w:w="10881" w:type="dxa"/>
          </w:tcPr>
          <w:p w14:paraId="5426D500" w14:textId="609CCD41" w:rsidR="004E7092" w:rsidRPr="00080C5D" w:rsidRDefault="00537199" w:rsidP="00017CAF">
            <w:pPr>
              <w:shd w:val="clear" w:color="auto" w:fill="FEFEFE"/>
              <w:spacing w:line="276" w:lineRule="auto"/>
              <w:jc w:val="both"/>
              <w:rPr>
                <w:rFonts w:cs="Times New Roman"/>
                <w:b/>
                <w:szCs w:val="24"/>
                <w:shd w:val="clear" w:color="auto" w:fill="FEFEFE"/>
                <w:lang w:val="en-US"/>
              </w:rPr>
            </w:pPr>
            <w:r w:rsidRPr="00080C5D">
              <w:rPr>
                <w:rFonts w:cs="Times New Roman"/>
                <w:b/>
                <w:szCs w:val="24"/>
                <w:shd w:val="clear" w:color="auto" w:fill="FEFEFE"/>
              </w:rPr>
              <w:t>Допустими кандидати по настоящата процедура за предоставяне на БФП са:</w:t>
            </w:r>
          </w:p>
          <w:p w14:paraId="6829DA2C" w14:textId="61905DC5" w:rsidR="0036084E" w:rsidRPr="00080C5D" w:rsidRDefault="00E96269" w:rsidP="00017CAF">
            <w:pPr>
              <w:pStyle w:val="a9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</w:pPr>
            <w:r w:rsidRPr="00080C5D">
              <w:rPr>
                <w:rFonts w:eastAsia="Calibri" w:cs="Times New Roman"/>
                <w:b/>
                <w:szCs w:val="24"/>
                <w:shd w:val="clear" w:color="auto" w:fill="FEFEFE"/>
                <w:lang w:eastAsia="bg-BG"/>
              </w:rPr>
              <w:t>Земеделски стопани,</w:t>
            </w:r>
            <w:r w:rsidRPr="00080C5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 xml:space="preserve"> които отговарят на следните условия:</w:t>
            </w:r>
          </w:p>
          <w:p w14:paraId="283B61D5" w14:textId="7A6A4BC5" w:rsidR="0036084E" w:rsidRPr="00080C5D" w:rsidRDefault="00D61C2C" w:rsidP="00017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</w:pPr>
            <w:r w:rsidRPr="00080C5D"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  <w:t xml:space="preserve"> </w:t>
            </w:r>
            <w:r w:rsidR="00E96269" w:rsidRPr="00080C5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 xml:space="preserve">а) да са регистрирани като земеделски стопани съгласно Наредба № 3 от 1999 г. за създаване и поддържане на регистър на земеделските стопани (ДВ, бр. 10 от 1999 г.); </w:t>
            </w:r>
          </w:p>
          <w:p w14:paraId="49454120" w14:textId="77777777" w:rsidR="00E96269" w:rsidRPr="00080C5D" w:rsidRDefault="00E96269" w:rsidP="00017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</w:pPr>
            <w:r w:rsidRPr="00080C5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>б) минималният стандартен производствен обем на земеделското им стопанство е не по-малко от левовата равностойност на 8000 евро.</w:t>
            </w:r>
          </w:p>
          <w:p w14:paraId="0924E9CC" w14:textId="77777777" w:rsidR="0036084E" w:rsidRPr="00080C5D" w:rsidRDefault="0036084E" w:rsidP="00017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szCs w:val="24"/>
                <w:shd w:val="clear" w:color="auto" w:fill="FEFEFE"/>
                <w:lang w:val="en-US" w:eastAsia="bg-BG"/>
              </w:rPr>
            </w:pPr>
          </w:p>
          <w:p w14:paraId="02D94552" w14:textId="74B78FA4" w:rsidR="004E7092" w:rsidRPr="00080C5D" w:rsidRDefault="00E96269" w:rsidP="00017CAF">
            <w:pPr>
              <w:pStyle w:val="a9"/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eastAsia="Calibri" w:cs="Times New Roman"/>
                <w:b/>
                <w:szCs w:val="24"/>
                <w:shd w:val="clear" w:color="auto" w:fill="FEFEFE"/>
                <w:lang w:eastAsia="x-none"/>
              </w:rPr>
            </w:pPr>
            <w:r w:rsidRPr="00080C5D">
              <w:rPr>
                <w:rFonts w:eastAsia="Calibri" w:cs="Times New Roman"/>
                <w:b/>
                <w:szCs w:val="24"/>
                <w:shd w:val="clear" w:color="auto" w:fill="FEFEFE"/>
                <w:lang w:eastAsia="bg-BG"/>
              </w:rPr>
              <w:t xml:space="preserve">Еднолични търговци и юридически лица, </w:t>
            </w:r>
            <w:r w:rsidRPr="00080C5D">
              <w:rPr>
                <w:rFonts w:eastAsia="Calibri" w:cs="Times New Roman"/>
                <w:szCs w:val="24"/>
                <w:shd w:val="clear" w:color="auto" w:fill="FEFEFE"/>
                <w:lang w:eastAsia="bg-BG"/>
              </w:rPr>
              <w:t>различни от кандидатите по т. 1</w:t>
            </w:r>
            <w:r w:rsidRPr="00080C5D">
              <w:rPr>
                <w:rFonts w:eastAsia="Calibri" w:cs="Times New Roman"/>
                <w:b/>
                <w:szCs w:val="24"/>
                <w:shd w:val="clear" w:color="auto" w:fill="FEFEFE"/>
                <w:lang w:eastAsia="bg-BG"/>
              </w:rPr>
              <w:t>, които са регистрирани по Търговския закон или Закона за кооперациите.</w:t>
            </w:r>
          </w:p>
        </w:tc>
      </w:tr>
    </w:tbl>
    <w:p w14:paraId="4918AEAD" w14:textId="77777777" w:rsidR="008A5CED" w:rsidRPr="00080C5D" w:rsidRDefault="008A5CED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52F21111" w14:textId="77777777" w:rsidR="00D3123F" w:rsidRPr="00080C5D" w:rsidRDefault="00D3123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3. ДОПУСТИМИ ДЕЙНОСТИ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A5CED" w:rsidRPr="00080C5D" w14:paraId="5153581F" w14:textId="77777777" w:rsidTr="008C33D1">
        <w:tc>
          <w:tcPr>
            <w:tcW w:w="10881" w:type="dxa"/>
          </w:tcPr>
          <w:p w14:paraId="6BC834F2" w14:textId="77777777" w:rsidR="00D57706" w:rsidRPr="00080C5D" w:rsidRDefault="00D57706" w:rsidP="00017C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080C5D">
              <w:rPr>
                <w:rFonts w:cs="Times New Roman"/>
                <w:b/>
                <w:szCs w:val="24"/>
              </w:rPr>
              <w:t>По настоящите Условия за кандидатстване по мярка 19-</w:t>
            </w:r>
            <w:r w:rsidRPr="00080C5D">
              <w:rPr>
                <w:rFonts w:cs="Times New Roman"/>
                <w:b/>
                <w:szCs w:val="24"/>
                <w:lang w:val="en-US"/>
              </w:rPr>
              <w:t>4</w:t>
            </w:r>
            <w:r w:rsidRPr="00080C5D">
              <w:rPr>
                <w:rFonts w:cs="Times New Roman"/>
                <w:b/>
                <w:szCs w:val="24"/>
              </w:rPr>
              <w:t xml:space="preserve">.2 „Инвестиции в преработка/маркетинг на селскостопански продукти“ от Стратегията за ВОМР на „МИГ Луковит-Роман“ се предоставя безвъзмездна финансова помощ за </w:t>
            </w:r>
            <w:r w:rsidRPr="00080C5D">
              <w:rPr>
                <w:rFonts w:cs="Times New Roman"/>
                <w:b/>
                <w:szCs w:val="24"/>
                <w:shd w:val="clear" w:color="auto" w:fill="FEFEFE"/>
              </w:rPr>
              <w:t xml:space="preserve">кандидати, които инвестират в </w:t>
            </w:r>
            <w:r w:rsidRPr="00080C5D">
              <w:rPr>
                <w:rFonts w:cs="Times New Roman"/>
                <w:b/>
                <w:i/>
                <w:szCs w:val="24"/>
                <w:shd w:val="clear" w:color="auto" w:fill="FEFEFE"/>
              </w:rPr>
              <w:t>материални и нематериални активи</w:t>
            </w:r>
            <w:r w:rsidRPr="00080C5D">
              <w:rPr>
                <w:rFonts w:cs="Times New Roman"/>
                <w:b/>
                <w:szCs w:val="24"/>
                <w:shd w:val="clear" w:color="auto" w:fill="FEFEFE"/>
              </w:rPr>
              <w:t xml:space="preserve">, </w:t>
            </w:r>
            <w:r w:rsidRPr="00080C5D">
              <w:rPr>
                <w:rFonts w:cs="Times New Roman"/>
                <w:b/>
                <w:i/>
                <w:szCs w:val="24"/>
                <w:shd w:val="clear" w:color="auto" w:fill="FEFEFE"/>
              </w:rPr>
              <w:t xml:space="preserve">свързани с подобряване </w:t>
            </w:r>
            <w:r w:rsidRPr="00080C5D">
              <w:rPr>
                <w:rFonts w:cs="Times New Roman"/>
                <w:b/>
                <w:i/>
                <w:szCs w:val="24"/>
              </w:rPr>
              <w:t>на цялостната дейност и конкурентоспособност на предприятието</w:t>
            </w:r>
            <w:r w:rsidRPr="00080C5D">
              <w:rPr>
                <w:rFonts w:cs="Times New Roman"/>
                <w:b/>
                <w:szCs w:val="24"/>
              </w:rPr>
              <w:t xml:space="preserve"> </w:t>
            </w:r>
            <w:r w:rsidRPr="00080C5D">
              <w:rPr>
                <w:rFonts w:cs="Times New Roman"/>
                <w:b/>
                <w:szCs w:val="24"/>
                <w:shd w:val="clear" w:color="auto" w:fill="FEFEFE"/>
              </w:rPr>
              <w:t>чрез</w:t>
            </w:r>
            <w:r w:rsidRPr="00080C5D">
              <w:rPr>
                <w:rFonts w:cs="Times New Roman"/>
                <w:b/>
                <w:szCs w:val="24"/>
              </w:rPr>
              <w:t xml:space="preserve"> следните допустими за подпомагане </w:t>
            </w:r>
            <w:r w:rsidRPr="00080C5D">
              <w:rPr>
                <w:rFonts w:cs="Times New Roman"/>
                <w:b/>
                <w:i/>
                <w:szCs w:val="24"/>
              </w:rPr>
              <w:t>дейности</w:t>
            </w:r>
            <w:r w:rsidRPr="00080C5D">
              <w:rPr>
                <w:rFonts w:cs="Times New Roman"/>
                <w:b/>
                <w:szCs w:val="24"/>
              </w:rPr>
              <w:t>:</w:t>
            </w:r>
          </w:p>
          <w:p w14:paraId="51BCE770" w14:textId="77777777" w:rsidR="000B588F" w:rsidRPr="00490D02" w:rsidRDefault="000B588F" w:rsidP="000B5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</w:rPr>
            </w:pPr>
            <w:r w:rsidRPr="00490D02">
              <w:rPr>
                <w:szCs w:val="24"/>
              </w:rPr>
              <w:t>1. внедряване на нови и/или модернизиране на наличните мощности и подобряване на използването им, и/или</w:t>
            </w:r>
          </w:p>
          <w:p w14:paraId="5707A654" w14:textId="77777777" w:rsidR="000B588F" w:rsidRPr="00490D02" w:rsidRDefault="000B588F" w:rsidP="000B5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</w:rPr>
            </w:pPr>
            <w:r w:rsidRPr="00490D02">
              <w:rPr>
                <w:szCs w:val="24"/>
              </w:rPr>
              <w:lastRenderedPageBreak/>
              <w:t>2. внедряване на нови продукти, процеси и технологии, и/или</w:t>
            </w:r>
          </w:p>
          <w:p w14:paraId="5B84BAE8" w14:textId="77777777" w:rsidR="000B588F" w:rsidRPr="00490D02" w:rsidRDefault="000B588F" w:rsidP="000B5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</w:rPr>
            </w:pPr>
            <w:r w:rsidRPr="00490D02">
              <w:rPr>
                <w:szCs w:val="24"/>
              </w:rPr>
              <w:t>3. намаляване на себестойността на произвежданата продукция, и/или</w:t>
            </w:r>
          </w:p>
          <w:p w14:paraId="0E0340AF" w14:textId="77777777" w:rsidR="000B588F" w:rsidRPr="00490D02" w:rsidRDefault="000B588F" w:rsidP="000B5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</w:rPr>
            </w:pPr>
            <w:r w:rsidRPr="00490D02">
              <w:rPr>
                <w:szCs w:val="24"/>
              </w:rPr>
              <w:t>4. постигане на съответствие с нововъведени стандарти на ЕС, и/или</w:t>
            </w:r>
          </w:p>
          <w:p w14:paraId="2DD52A5B" w14:textId="77777777" w:rsidR="000B588F" w:rsidRPr="00490D02" w:rsidRDefault="000B588F" w:rsidP="000B5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</w:rPr>
            </w:pPr>
            <w:r w:rsidRPr="00490D02">
              <w:rPr>
                <w:szCs w:val="24"/>
              </w:rPr>
              <w:t>5. опазване на околната среда, включително намаляване на вредните емисии и отпадъци, и/или</w:t>
            </w:r>
          </w:p>
          <w:p w14:paraId="65C6A20C" w14:textId="77777777" w:rsidR="000B588F" w:rsidRPr="00490D02" w:rsidRDefault="000B588F" w:rsidP="000B5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</w:rPr>
            </w:pPr>
            <w:r w:rsidRPr="00490D02">
              <w:rPr>
                <w:szCs w:val="24"/>
              </w:rPr>
              <w:t>6. подобряване на енергийната ефективност в предприятията, и/или</w:t>
            </w:r>
          </w:p>
          <w:p w14:paraId="1043A105" w14:textId="77777777" w:rsidR="000B588F" w:rsidRPr="00490D02" w:rsidRDefault="000B588F" w:rsidP="000B5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</w:rPr>
            </w:pPr>
            <w:r w:rsidRPr="00490D02">
              <w:rPr>
                <w:szCs w:val="24"/>
              </w:rPr>
              <w:t>7. подобряване на безопасността и хигиенните условия на производство и труд, и/или</w:t>
            </w:r>
          </w:p>
          <w:p w14:paraId="0D84FD8F" w14:textId="77777777" w:rsidR="000B588F" w:rsidRPr="00490D02" w:rsidRDefault="000B588F" w:rsidP="000B5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</w:rPr>
            </w:pPr>
            <w:r w:rsidRPr="00490D02">
              <w:rPr>
                <w:szCs w:val="24"/>
              </w:rPr>
              <w:t>8. подобряване на качеството и безопасността на храните и тяхната проследяемост, и/или</w:t>
            </w:r>
          </w:p>
          <w:p w14:paraId="1D6BF2EE" w14:textId="1640CD69" w:rsidR="008A5CED" w:rsidRPr="000B588F" w:rsidRDefault="000B588F" w:rsidP="000B58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Cs w:val="24"/>
                <w:lang w:val="en-US"/>
              </w:rPr>
            </w:pPr>
            <w:r w:rsidRPr="00490D02">
              <w:rPr>
                <w:szCs w:val="24"/>
              </w:rPr>
              <w:t>9. подобряване на възможностите за производство на биологични храни чрез преработка на първични земеделски биологични продукти.</w:t>
            </w:r>
          </w:p>
        </w:tc>
      </w:tr>
    </w:tbl>
    <w:p w14:paraId="056877EE" w14:textId="77777777" w:rsidR="00B2368B" w:rsidRPr="00080C5D" w:rsidRDefault="00B2368B" w:rsidP="00017CAF">
      <w:pPr>
        <w:pStyle w:val="af"/>
        <w:spacing w:line="276" w:lineRule="auto"/>
        <w:ind w:right="49"/>
        <w:jc w:val="both"/>
        <w:rPr>
          <w:rFonts w:ascii="Times New Roman" w:hAnsi="Times New Roman"/>
          <w:lang w:val="bg-BG"/>
        </w:rPr>
      </w:pPr>
    </w:p>
    <w:p w14:paraId="13CD90B3" w14:textId="77777777" w:rsidR="001B0DBB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4. ДОПУСТИМИ РАЗХОДИ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C33D1" w:rsidRPr="00080C5D" w14:paraId="5E9574B5" w14:textId="77777777" w:rsidTr="008C33D1">
        <w:tc>
          <w:tcPr>
            <w:tcW w:w="10913" w:type="dxa"/>
          </w:tcPr>
          <w:p w14:paraId="70A79607" w14:textId="77777777" w:rsidR="000C402E" w:rsidRPr="00080C5D" w:rsidRDefault="000C402E" w:rsidP="00017CA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</w:p>
          <w:p w14:paraId="6C28B4A9" w14:textId="29D4D803" w:rsidR="000C402E" w:rsidRPr="00D8747D" w:rsidRDefault="000C402E" w:rsidP="00017CA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b/>
                <w:szCs w:val="24"/>
                <w:lang w:val="en-US"/>
              </w:rPr>
            </w:pPr>
            <w:r w:rsidRPr="00080C5D">
              <w:rPr>
                <w:rFonts w:cs="Times New Roman"/>
                <w:b/>
                <w:szCs w:val="24"/>
              </w:rPr>
              <w:t>Съгласно стратегията за ВОМР на „МИГ Луковит-Роман“, допустими за финансова помощ са следните разходи:</w:t>
            </w:r>
          </w:p>
          <w:p w14:paraId="29FFBE25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1. изграждане, придобиване и модернизиране на сгради и други недвижими активи, свързани с производството и/или маркетинга, включително такива, използвани за опазване компонентите на околната среда;</w:t>
            </w:r>
          </w:p>
          <w:p w14:paraId="532E576D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2. закупуване, включително чрез финансов лизинг, и/или инсталиране на нови машини, съоръжения и оборудване, необходими за подобряване на производствения процес по преработка и маркетинга, в т.ч. за:</w:t>
            </w:r>
          </w:p>
          <w:p w14:paraId="33DCD41A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а) преработка, пакетиране, включително охлаждане, замразяване, сушене, съхраняване и др. на суровините или продукцията;</w:t>
            </w:r>
          </w:p>
          <w:p w14:paraId="39C1CBAD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 xml:space="preserve">б) производство на нови продукти, въвеждане на нови технологии и процеси; </w:t>
            </w:r>
          </w:p>
          <w:p w14:paraId="5AAF8AB5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в) опазване компонентите на околната среда;</w:t>
            </w:r>
          </w:p>
          <w:p w14:paraId="1B6919F2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г) производство на енергия от възобновяеми енергийни източници за собствените нужди на предприятието, включително чрез преработка на растителна и животинска първична и вторична биомаса;</w:t>
            </w:r>
          </w:p>
          <w:p w14:paraId="2A152ABD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д) подобряване на енергийната ефективност и за подобряване и контрол на качеството и безопасността на суровините и храните;</w:t>
            </w:r>
          </w:p>
          <w:p w14:paraId="091555A0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 xml:space="preserve">3. 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производствени дейности; </w:t>
            </w:r>
          </w:p>
          <w:p w14:paraId="1282A11C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4. закупуване на сгради, помещения и други недвижими имоти, необходими за изпълнение на проекта, предназначени за производствени дейности;</w:t>
            </w:r>
          </w:p>
          <w:p w14:paraId="386B7BAD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5. закупуване, включително чрез финансов лизинг, на специализирани транспортни средства, включително хладилни такива, за превоз на суровините или готовата продукция, използвани и произвеждани от предприятието;</w:t>
            </w:r>
          </w:p>
          <w:p w14:paraId="0E7460C9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6. 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лизинг;</w:t>
            </w:r>
          </w:p>
          <w:p w14:paraId="21B1B6B2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7. материални инвестиции за постигане на съответствие с новоприети стандарти на Съюза;</w:t>
            </w:r>
          </w:p>
          <w:p w14:paraId="39BA7C91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8. разходи за достигане на съответствие с международно признати стандарти за системи за управление, разходи за въвеждане на добри производствени практики, системи за управление на качеството и подготовка за сертификация в предприятията само когато тези разходи са част от общ проект на кандидата;</w:t>
            </w:r>
          </w:p>
          <w:p w14:paraId="42499F77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9. закупуване на софтуер, включително чрез финансов лизинг;</w:t>
            </w:r>
          </w:p>
          <w:p w14:paraId="1D777B70" w14:textId="77777777" w:rsidR="000B588F" w:rsidRPr="000B588F" w:rsidRDefault="000B588F" w:rsidP="000B588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</w:rPr>
            </w:pPr>
            <w:r w:rsidRPr="000B588F">
              <w:rPr>
                <w:rFonts w:cs="Times New Roman"/>
                <w:szCs w:val="24"/>
              </w:rPr>
              <w:t>10. за ноу-хау, придобиване на патентни права и лицензи, за регистрация на търговски марки и процеси, необходими за изготвяне и изпълнение на проекта</w:t>
            </w:r>
          </w:p>
          <w:p w14:paraId="1C2550B2" w14:textId="1D1E4314" w:rsidR="000C402E" w:rsidRPr="000B588F" w:rsidRDefault="000B588F" w:rsidP="00017CAF">
            <w:pPr>
              <w:autoSpaceDE w:val="0"/>
              <w:autoSpaceDN w:val="0"/>
              <w:adjustRightInd w:val="0"/>
              <w:spacing w:before="240" w:line="276" w:lineRule="auto"/>
              <w:contextualSpacing/>
              <w:jc w:val="both"/>
              <w:rPr>
                <w:rFonts w:cs="Times New Roman"/>
                <w:szCs w:val="24"/>
                <w:lang w:val="en-US"/>
              </w:rPr>
            </w:pPr>
            <w:r w:rsidRPr="000B588F">
              <w:rPr>
                <w:rFonts w:cs="Times New Roman"/>
                <w:szCs w:val="24"/>
              </w:rPr>
              <w:t xml:space="preserve">11. разходи, свързани с проекта, в т.ч. разходи за предпроектни проучвания, такси, хонорари за архитекти, инженери и консултанти, консултации за икономическа устойчивост на проекти, извършени </w:t>
            </w:r>
            <w:r w:rsidRPr="000B588F">
              <w:rPr>
                <w:rFonts w:cs="Times New Roman"/>
                <w:szCs w:val="24"/>
              </w:rPr>
              <w:lastRenderedPageBreak/>
              <w:t xml:space="preserve">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проект, включени в т. 1 – 9. </w:t>
            </w:r>
            <w:r w:rsidRPr="000B588F">
              <w:rPr>
                <w:rFonts w:cs="Times New Roman"/>
                <w:iCs/>
                <w:szCs w:val="24"/>
              </w:rPr>
              <w:t>Консултациите се състоят от разработване на бизнес план, включващ предпроектни изследвания и маркетингови стратегии, извършване на предпроектни проучвания и окомплектоване на пакета от документи и консултантски услуги, свързани с изпълнението, и отчитане на дейностите по проекта до изплащане на помощта и не следва да надхвърлят 5 на сто от стойността на допустимите разходи.</w:t>
            </w:r>
          </w:p>
        </w:tc>
      </w:tr>
    </w:tbl>
    <w:p w14:paraId="26AB3EDD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35B54754" w14:textId="067E22C8" w:rsidR="009C16B1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 w:rsidRPr="00080C5D">
        <w:rPr>
          <w:rFonts w:cs="Times New Roman"/>
          <w:b/>
          <w:szCs w:val="24"/>
          <w:lang w:eastAsia="bg-BG"/>
        </w:rPr>
        <w:t>5</w:t>
      </w:r>
      <w:r w:rsidR="00D3123F" w:rsidRPr="00080C5D">
        <w:rPr>
          <w:rFonts w:cs="Times New Roman"/>
          <w:b/>
          <w:szCs w:val="24"/>
          <w:lang w:eastAsia="bg-BG"/>
        </w:rPr>
        <w:t>. ПЕРИОД ЗА ПРИЕМ И МЯСТО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C33D1" w:rsidRPr="00080C5D" w14:paraId="217577AB" w14:textId="77777777" w:rsidTr="008C33D1">
        <w:tc>
          <w:tcPr>
            <w:tcW w:w="10913" w:type="dxa"/>
          </w:tcPr>
          <w:p w14:paraId="3930382D" w14:textId="77777777" w:rsidR="00592F6A" w:rsidRDefault="00592F6A" w:rsidP="00017CAF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eastAsia="bg-BG"/>
              </w:rPr>
            </w:pPr>
          </w:p>
          <w:p w14:paraId="09E7E0AE" w14:textId="01D6F607" w:rsidR="00592F6A" w:rsidRPr="00294802" w:rsidRDefault="00592F6A" w:rsidP="00017CAF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eastAsia="bg-BG"/>
              </w:rPr>
            </w:pPr>
            <w:r w:rsidRPr="00592F6A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Началната дата за прием по </w:t>
            </w:r>
            <w:r w:rsidR="004B04D0">
              <w:rPr>
                <w:rFonts w:cs="Times New Roman"/>
                <w:b/>
                <w:color w:val="000000"/>
                <w:szCs w:val="24"/>
                <w:lang w:eastAsia="bg-BG"/>
              </w:rPr>
              <w:t>Втори</w:t>
            </w:r>
            <w:r w:rsidRPr="00592F6A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 краен срок :</w:t>
            </w:r>
            <w:r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 </w:t>
            </w:r>
            <w:r w:rsidR="004B04D0">
              <w:rPr>
                <w:rFonts w:cs="Times New Roman"/>
                <w:b/>
                <w:color w:val="000000"/>
                <w:szCs w:val="24"/>
                <w:lang w:val="en-US" w:eastAsia="bg-BG"/>
              </w:rPr>
              <w:t>24</w:t>
            </w:r>
            <w:r w:rsidR="004B04D0">
              <w:rPr>
                <w:rFonts w:cs="Times New Roman"/>
                <w:b/>
                <w:color w:val="000000"/>
                <w:szCs w:val="24"/>
                <w:lang w:eastAsia="bg-BG"/>
              </w:rPr>
              <w:t>.04.2023</w:t>
            </w:r>
            <w:r w:rsidRPr="00294802">
              <w:rPr>
                <w:rFonts w:cs="Times New Roman"/>
                <w:b/>
                <w:color w:val="000000"/>
                <w:szCs w:val="24"/>
                <w:lang w:eastAsia="bg-BG"/>
              </w:rPr>
              <w:t>г.</w:t>
            </w:r>
          </w:p>
          <w:p w14:paraId="3F67ED69" w14:textId="7B6EC4D5" w:rsidR="00875D87" w:rsidRPr="00294802" w:rsidRDefault="004B04D0" w:rsidP="00017CAF">
            <w:pPr>
              <w:shd w:val="clear" w:color="auto" w:fill="FEFEFE"/>
              <w:spacing w:line="276" w:lineRule="auto"/>
              <w:rPr>
                <w:rFonts w:cs="Times New Roman"/>
                <w:b/>
                <w:color w:val="000000"/>
                <w:szCs w:val="24"/>
                <w:lang w:eastAsia="bg-BG"/>
              </w:rPr>
            </w:pPr>
            <w:r>
              <w:rPr>
                <w:rFonts w:cs="Times New Roman"/>
                <w:b/>
                <w:color w:val="000000"/>
                <w:szCs w:val="24"/>
                <w:lang w:eastAsia="bg-BG"/>
              </w:rPr>
              <w:t>К</w:t>
            </w:r>
            <w:r w:rsidR="00875D87" w:rsidRPr="00294802">
              <w:rPr>
                <w:rFonts w:cs="Times New Roman"/>
                <w:b/>
                <w:color w:val="000000"/>
                <w:szCs w:val="24"/>
                <w:lang w:eastAsia="bg-BG"/>
              </w:rPr>
              <w:t>раен срок за подаване на проектните предложения:</w:t>
            </w:r>
            <w:r w:rsidR="0060686B" w:rsidRPr="00294802">
              <w:rPr>
                <w:rFonts w:cs="Times New Roman"/>
                <w:szCs w:val="24"/>
              </w:rPr>
              <w:t xml:space="preserve"> </w:t>
            </w:r>
            <w:r w:rsidR="00E42C7E">
              <w:rPr>
                <w:rFonts w:cs="Times New Roman"/>
                <w:b/>
                <w:color w:val="000000"/>
                <w:szCs w:val="24"/>
                <w:lang w:eastAsia="bg-BG"/>
              </w:rPr>
              <w:t>13</w:t>
            </w:r>
            <w:r w:rsidR="0060686B" w:rsidRPr="00294802">
              <w:rPr>
                <w:rFonts w:cs="Times New Roman"/>
                <w:b/>
                <w:color w:val="000000"/>
                <w:szCs w:val="24"/>
                <w:lang w:eastAsia="bg-BG"/>
              </w:rPr>
              <w:t>.</w:t>
            </w:r>
            <w:r w:rsidR="00E42C7E">
              <w:rPr>
                <w:rFonts w:cs="Times New Roman"/>
                <w:b/>
                <w:color w:val="000000"/>
                <w:szCs w:val="24"/>
                <w:lang w:eastAsia="bg-BG"/>
              </w:rPr>
              <w:t>11</w:t>
            </w:r>
            <w:bookmarkStart w:id="3" w:name="_GoBack"/>
            <w:bookmarkEnd w:id="3"/>
            <w:r w:rsidR="00294802" w:rsidRPr="00294802">
              <w:rPr>
                <w:rFonts w:cs="Times New Roman"/>
                <w:b/>
                <w:color w:val="000000"/>
                <w:szCs w:val="24"/>
                <w:lang w:eastAsia="bg-BG"/>
              </w:rPr>
              <w:t>.2023</w:t>
            </w:r>
            <w:r w:rsidR="0060686B" w:rsidRPr="00294802">
              <w:rPr>
                <w:rFonts w:cs="Times New Roman"/>
                <w:b/>
                <w:color w:val="000000"/>
                <w:szCs w:val="24"/>
                <w:lang w:eastAsia="bg-BG"/>
              </w:rPr>
              <w:t xml:space="preserve"> г.</w:t>
            </w:r>
            <w:r w:rsidR="00875D87" w:rsidRPr="00294802">
              <w:rPr>
                <w:rFonts w:cs="Times New Roman"/>
                <w:b/>
                <w:color w:val="000000"/>
                <w:szCs w:val="24"/>
                <w:lang w:eastAsia="bg-BG"/>
              </w:rPr>
              <w:t>1</w:t>
            </w:r>
            <w:r w:rsidR="005A13B5" w:rsidRPr="00294802">
              <w:rPr>
                <w:rFonts w:cs="Times New Roman"/>
                <w:b/>
                <w:color w:val="000000"/>
                <w:szCs w:val="24"/>
                <w:lang w:eastAsia="bg-BG"/>
              </w:rPr>
              <w:t>7</w:t>
            </w:r>
            <w:r w:rsidR="00294802">
              <w:rPr>
                <w:rFonts w:cs="Times New Roman"/>
                <w:b/>
                <w:color w:val="000000"/>
                <w:szCs w:val="24"/>
                <w:lang w:eastAsia="bg-BG"/>
              </w:rPr>
              <w:t>:</w:t>
            </w:r>
            <w:r w:rsidR="00875D87" w:rsidRPr="00294802">
              <w:rPr>
                <w:rFonts w:cs="Times New Roman"/>
                <w:b/>
                <w:color w:val="000000"/>
                <w:szCs w:val="24"/>
                <w:lang w:eastAsia="bg-BG"/>
              </w:rPr>
              <w:t>00 часа.</w:t>
            </w:r>
          </w:p>
          <w:p w14:paraId="2A5A2ED3" w14:textId="77777777" w:rsidR="004B04D0" w:rsidRDefault="004B04D0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14:paraId="1FAAB855" w14:textId="4177C1FF" w:rsidR="003D1348" w:rsidRPr="00080C5D" w:rsidRDefault="003D1348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  <w:r w:rsidRPr="00080C5D">
              <w:rPr>
                <w:rFonts w:cs="Times New Roman"/>
                <w:b/>
                <w:szCs w:val="24"/>
              </w:rPr>
              <w:t xml:space="preserve">Размер на БФП: </w:t>
            </w:r>
            <w:r w:rsidR="002B234C">
              <w:rPr>
                <w:rFonts w:cs="Times New Roman"/>
                <w:b/>
                <w:szCs w:val="24"/>
              </w:rPr>
              <w:t>99 919,57</w:t>
            </w:r>
            <w:r w:rsidR="007C1D39" w:rsidRPr="00080C5D">
              <w:rPr>
                <w:rFonts w:cs="Times New Roman"/>
                <w:b/>
                <w:szCs w:val="24"/>
              </w:rPr>
              <w:t xml:space="preserve"> (</w:t>
            </w:r>
            <w:r w:rsidR="002B234C">
              <w:rPr>
                <w:rFonts w:cs="Times New Roman"/>
                <w:b/>
                <w:szCs w:val="24"/>
              </w:rPr>
              <w:t>деветдесет и девет хиляди деветстотин и деветнадесет лева и петдесет и седем стотинки</w:t>
            </w:r>
            <w:r w:rsidR="007C1D39" w:rsidRPr="00080C5D">
              <w:rPr>
                <w:rFonts w:cs="Times New Roman"/>
                <w:b/>
                <w:szCs w:val="24"/>
              </w:rPr>
              <w:t xml:space="preserve">) лева </w:t>
            </w:r>
          </w:p>
          <w:p w14:paraId="587B4D4C" w14:textId="77777777" w:rsidR="007C1D39" w:rsidRPr="00080C5D" w:rsidRDefault="007C1D39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</w:p>
          <w:p w14:paraId="37B98664" w14:textId="3E760346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080C5D">
              <w:rPr>
                <w:rFonts w:cs="Times New Roman"/>
                <w:b/>
                <w:szCs w:val="24"/>
              </w:rPr>
              <w:t>Място на подаване на проектни предложения:</w:t>
            </w:r>
          </w:p>
          <w:p w14:paraId="3E60C514" w14:textId="536E0300" w:rsidR="00865D3A" w:rsidRPr="00080C5D" w:rsidRDefault="00865D3A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чрез модула „Е-кандидатстване“ на следния интернет адрес: </w:t>
            </w:r>
            <w:hyperlink r:id="rId12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 xml:space="preserve">. </w:t>
            </w:r>
          </w:p>
        </w:tc>
      </w:tr>
    </w:tbl>
    <w:p w14:paraId="327CA813" w14:textId="77777777" w:rsidR="008C33D1" w:rsidRPr="00080C5D" w:rsidRDefault="008C33D1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2225AEAB" w14:textId="77777777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7348A948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6</w:t>
      </w:r>
      <w:r w:rsidR="00D3123F" w:rsidRPr="00080C5D">
        <w:rPr>
          <w:rFonts w:cs="Times New Roman"/>
          <w:b/>
          <w:szCs w:val="24"/>
          <w:lang w:eastAsia="bg-BG"/>
        </w:rPr>
        <w:t>. БЮДЖЕТ НА ПРИЕМА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56540" w:rsidRPr="00080C5D" w14:paraId="6E799ABA" w14:textId="77777777" w:rsidTr="00F22A30">
        <w:trPr>
          <w:trHeight w:val="1619"/>
        </w:trPr>
        <w:tc>
          <w:tcPr>
            <w:tcW w:w="10793" w:type="dxa"/>
          </w:tcPr>
          <w:tbl>
            <w:tblPr>
              <w:tblW w:w="10502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3461"/>
              <w:gridCol w:w="3580"/>
            </w:tblGrid>
            <w:tr w:rsidR="00017CAF" w:rsidRPr="00080C5D" w14:paraId="2B6DF84B" w14:textId="77777777" w:rsidTr="00581F5E">
              <w:trPr>
                <w:trHeight w:val="1039"/>
              </w:trPr>
              <w:tc>
                <w:tcPr>
                  <w:tcW w:w="3461" w:type="dxa"/>
                  <w:shd w:val="clear" w:color="auto" w:fill="DEEAF6" w:themeFill="accent1" w:themeFillTint="33"/>
                </w:tcPr>
                <w:p w14:paraId="6A889945" w14:textId="77777777" w:rsidR="00017CAF" w:rsidRPr="00080C5D" w:rsidRDefault="00017CAF" w:rsidP="004833F7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  <w:r w:rsidRPr="00080C5D">
                    <w:rPr>
                      <w:b/>
                      <w:bCs/>
                      <w:color w:val="auto"/>
                    </w:rPr>
                    <w:t xml:space="preserve">Общ размер на безвъзмездната финансова помощ </w:t>
                  </w:r>
                </w:p>
              </w:tc>
              <w:tc>
                <w:tcPr>
                  <w:tcW w:w="3461" w:type="dxa"/>
                  <w:shd w:val="clear" w:color="auto" w:fill="DEEAF6" w:themeFill="accent1" w:themeFillTint="33"/>
                </w:tcPr>
                <w:p w14:paraId="156CC9CE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Средства от ЕЗФРСР</w:t>
                  </w:r>
                </w:p>
                <w:p w14:paraId="0986A03B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  <w:tc>
                <w:tcPr>
                  <w:tcW w:w="3580" w:type="dxa"/>
                  <w:shd w:val="clear" w:color="auto" w:fill="DEEAF6" w:themeFill="accent1" w:themeFillTint="33"/>
                </w:tcPr>
                <w:p w14:paraId="0CBDBA59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Национално съфинансиране</w:t>
                  </w:r>
                </w:p>
                <w:p w14:paraId="65A2A3AC" w14:textId="77777777" w:rsidR="00017CAF" w:rsidRPr="00080C5D" w:rsidRDefault="00017CAF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>(сума/процент)</w:t>
                  </w:r>
                </w:p>
              </w:tc>
            </w:tr>
            <w:tr w:rsidR="00017CAF" w:rsidRPr="00080C5D" w14:paraId="06F5A8D2" w14:textId="77777777" w:rsidTr="00760332">
              <w:trPr>
                <w:trHeight w:val="565"/>
              </w:trPr>
              <w:tc>
                <w:tcPr>
                  <w:tcW w:w="3461" w:type="dxa"/>
                  <w:shd w:val="clear" w:color="auto" w:fill="auto"/>
                  <w:vAlign w:val="center"/>
                </w:tcPr>
                <w:p w14:paraId="34DB23EC" w14:textId="76D37D91" w:rsidR="00017CAF" w:rsidRPr="00080C5D" w:rsidRDefault="002B234C" w:rsidP="004833F7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2B234C">
                    <w:rPr>
                      <w:rFonts w:cs="Times New Roman"/>
                      <w:b/>
                      <w:szCs w:val="24"/>
                    </w:rPr>
                    <w:t xml:space="preserve">99 919,57 </w:t>
                  </w:r>
                  <w:r w:rsidR="00017CAF" w:rsidRPr="00080C5D">
                    <w:rPr>
                      <w:rFonts w:cs="Times New Roman"/>
                      <w:b/>
                      <w:szCs w:val="24"/>
                    </w:rPr>
                    <w:t>лева</w:t>
                  </w:r>
                </w:p>
              </w:tc>
              <w:tc>
                <w:tcPr>
                  <w:tcW w:w="3461" w:type="dxa"/>
                  <w:shd w:val="clear" w:color="auto" w:fill="auto"/>
                  <w:vAlign w:val="center"/>
                </w:tcPr>
                <w:p w14:paraId="55FDE3EF" w14:textId="63A79D51" w:rsidR="00017CAF" w:rsidRPr="00080C5D" w:rsidRDefault="00017CAF" w:rsidP="002B234C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(90%) </w:t>
                  </w:r>
                  <w:r w:rsidR="002B234C">
                    <w:rPr>
                      <w:rFonts w:cs="Times New Roman"/>
                      <w:b/>
                      <w:szCs w:val="24"/>
                    </w:rPr>
                    <w:t>–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r w:rsidR="002B234C">
                    <w:rPr>
                      <w:rFonts w:cs="Times New Roman"/>
                      <w:b/>
                      <w:szCs w:val="24"/>
                    </w:rPr>
                    <w:t>89 927,61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 лева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</w:tcPr>
                <w:p w14:paraId="081E2171" w14:textId="00D7F551" w:rsidR="00017CAF" w:rsidRPr="00080C5D" w:rsidRDefault="00017CAF" w:rsidP="002B234C">
                  <w:pPr>
                    <w:pStyle w:val="a3"/>
                    <w:tabs>
                      <w:tab w:val="clear" w:pos="4536"/>
                      <w:tab w:val="clear" w:pos="9072"/>
                    </w:tabs>
                    <w:spacing w:before="120" w:after="120"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(10 %) </w:t>
                  </w:r>
                  <w:r w:rsidR="002B234C">
                    <w:rPr>
                      <w:rFonts w:cs="Times New Roman"/>
                      <w:b/>
                      <w:szCs w:val="24"/>
                    </w:rPr>
                    <w:t>–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 </w:t>
                  </w:r>
                  <w:r w:rsidR="002B234C">
                    <w:rPr>
                      <w:rFonts w:cs="Times New Roman"/>
                      <w:b/>
                      <w:szCs w:val="24"/>
                    </w:rPr>
                    <w:t>9 991,96</w:t>
                  </w:r>
                  <w:r w:rsidRPr="00080C5D">
                    <w:rPr>
                      <w:rFonts w:cs="Times New Roman"/>
                      <w:b/>
                      <w:szCs w:val="24"/>
                    </w:rPr>
                    <w:t xml:space="preserve"> лева</w:t>
                  </w:r>
                </w:p>
              </w:tc>
            </w:tr>
          </w:tbl>
          <w:p w14:paraId="3AA531F0" w14:textId="328DF1DA" w:rsidR="00017CAF" w:rsidRPr="00080C5D" w:rsidRDefault="00017CAF" w:rsidP="00017CAF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4A31C9E8" w14:textId="77777777" w:rsidR="00E56540" w:rsidRPr="00080C5D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</w:p>
    <w:p w14:paraId="731B9854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7</w:t>
      </w:r>
      <w:r w:rsidR="00D3123F" w:rsidRPr="00080C5D">
        <w:rPr>
          <w:rFonts w:cs="Times New Roman"/>
          <w:b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tbl>
      <w:tblPr>
        <w:tblW w:w="10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5314"/>
      </w:tblGrid>
      <w:tr w:rsidR="001069D0" w:rsidRPr="00080C5D" w14:paraId="62F75CD1" w14:textId="77777777" w:rsidTr="00F22A30">
        <w:trPr>
          <w:trHeight w:val="795"/>
        </w:trPr>
        <w:tc>
          <w:tcPr>
            <w:tcW w:w="5308" w:type="dxa"/>
            <w:shd w:val="clear" w:color="auto" w:fill="DEEAF6" w:themeFill="accent1" w:themeFillTint="33"/>
            <w:vAlign w:val="center"/>
          </w:tcPr>
          <w:p w14:paraId="6490EFBE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Минимален размер на безвъзмездната финансова помощ</w:t>
            </w:r>
          </w:p>
        </w:tc>
        <w:tc>
          <w:tcPr>
            <w:tcW w:w="5314" w:type="dxa"/>
            <w:shd w:val="clear" w:color="auto" w:fill="DEEAF6" w:themeFill="accent1" w:themeFillTint="33"/>
            <w:vAlign w:val="center"/>
          </w:tcPr>
          <w:p w14:paraId="274A2843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Максимален размер на безвъзмездната финансова помощ</w:t>
            </w:r>
          </w:p>
        </w:tc>
      </w:tr>
      <w:tr w:rsidR="001069D0" w:rsidRPr="00080C5D" w14:paraId="3F540EEF" w14:textId="77777777" w:rsidTr="00F22A30">
        <w:trPr>
          <w:trHeight w:val="480"/>
        </w:trPr>
        <w:tc>
          <w:tcPr>
            <w:tcW w:w="5308" w:type="dxa"/>
            <w:shd w:val="clear" w:color="auto" w:fill="auto"/>
            <w:vAlign w:val="center"/>
          </w:tcPr>
          <w:p w14:paraId="46B0ACE5" w14:textId="77777777" w:rsidR="001069D0" w:rsidRPr="00080C5D" w:rsidRDefault="001069D0" w:rsidP="001069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val="en-US" w:eastAsia="bg-BG"/>
              </w:rPr>
            </w:pPr>
            <w:r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10 000,00 лева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02E5A769" w14:textId="26DA7B04" w:rsidR="001069D0" w:rsidRPr="00080C5D" w:rsidRDefault="002B234C" w:rsidP="00FC1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szCs w:val="24"/>
                <w:lang w:val="en-US" w:eastAsia="bg-BG"/>
              </w:rPr>
            </w:pPr>
            <w:r w:rsidRPr="002B234C">
              <w:rPr>
                <w:rFonts w:eastAsia="Times New Roman" w:cs="Times New Roman"/>
                <w:b/>
                <w:bCs/>
                <w:szCs w:val="24"/>
                <w:lang w:eastAsia="bg-BG"/>
              </w:rPr>
              <w:t xml:space="preserve">99 919,57 </w:t>
            </w:r>
            <w:r w:rsidR="001069D0" w:rsidRPr="00080C5D">
              <w:rPr>
                <w:rFonts w:eastAsia="Times New Roman" w:cs="Times New Roman"/>
                <w:b/>
                <w:bCs/>
                <w:szCs w:val="24"/>
                <w:lang w:eastAsia="bg-BG"/>
              </w:rPr>
              <w:t>лева</w:t>
            </w:r>
          </w:p>
        </w:tc>
      </w:tr>
    </w:tbl>
    <w:p w14:paraId="43981CB9" w14:textId="77777777" w:rsidR="00E56540" w:rsidRPr="00080C5D" w:rsidRDefault="00E5654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tbl>
      <w:tblPr>
        <w:tblW w:w="10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5416"/>
      </w:tblGrid>
      <w:tr w:rsidR="001069D0" w:rsidRPr="00080C5D" w14:paraId="3684D07A" w14:textId="77777777" w:rsidTr="00F22A30">
        <w:trPr>
          <w:trHeight w:val="924"/>
        </w:trPr>
        <w:tc>
          <w:tcPr>
            <w:tcW w:w="5176" w:type="dxa"/>
            <w:shd w:val="clear" w:color="auto" w:fill="DEEAF6" w:themeFill="accent1" w:themeFillTint="33"/>
          </w:tcPr>
          <w:p w14:paraId="56F0D1C3" w14:textId="77777777" w:rsidR="001069D0" w:rsidRPr="00080C5D" w:rsidRDefault="001069D0" w:rsidP="004833F7">
            <w:pPr>
              <w:pStyle w:val="a3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080C5D">
              <w:rPr>
                <w:rFonts w:cs="Times New Roman"/>
                <w:b/>
                <w:szCs w:val="24"/>
              </w:rPr>
              <w:t>Минимален размер на общо допустимите разходи по проект</w:t>
            </w:r>
          </w:p>
        </w:tc>
        <w:tc>
          <w:tcPr>
            <w:tcW w:w="5416" w:type="dxa"/>
            <w:shd w:val="clear" w:color="auto" w:fill="DEEAF6" w:themeFill="accent1" w:themeFillTint="33"/>
          </w:tcPr>
          <w:p w14:paraId="6FAC0D3D" w14:textId="77777777" w:rsidR="001069D0" w:rsidRPr="00080C5D" w:rsidRDefault="001069D0" w:rsidP="004833F7">
            <w:pPr>
              <w:pStyle w:val="a3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080C5D">
              <w:rPr>
                <w:rFonts w:cs="Times New Roman"/>
                <w:b/>
                <w:szCs w:val="24"/>
              </w:rPr>
              <w:t>Максимален размер  на общо допустимите разходи по проект</w:t>
            </w:r>
          </w:p>
        </w:tc>
      </w:tr>
      <w:tr w:rsidR="001069D0" w:rsidRPr="00080C5D" w14:paraId="3A5DBD6F" w14:textId="77777777" w:rsidTr="00F22A30">
        <w:trPr>
          <w:trHeight w:val="605"/>
        </w:trPr>
        <w:tc>
          <w:tcPr>
            <w:tcW w:w="5176" w:type="dxa"/>
            <w:shd w:val="clear" w:color="auto" w:fill="auto"/>
          </w:tcPr>
          <w:p w14:paraId="203EA0C7" w14:textId="77777777" w:rsidR="001069D0" w:rsidRPr="00080C5D" w:rsidRDefault="001069D0" w:rsidP="004833F7">
            <w:pPr>
              <w:pStyle w:val="a3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080C5D">
              <w:rPr>
                <w:rFonts w:cs="Times New Roman"/>
                <w:b/>
                <w:szCs w:val="24"/>
              </w:rPr>
              <w:t xml:space="preserve">20 000 лева </w:t>
            </w:r>
          </w:p>
        </w:tc>
        <w:tc>
          <w:tcPr>
            <w:tcW w:w="5416" w:type="dxa"/>
            <w:shd w:val="clear" w:color="auto" w:fill="auto"/>
          </w:tcPr>
          <w:p w14:paraId="1DAABE93" w14:textId="24A845CC" w:rsidR="001069D0" w:rsidRPr="00080C5D" w:rsidRDefault="002B234C" w:rsidP="004833F7">
            <w:pPr>
              <w:pStyle w:val="a3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199 839,14</w:t>
            </w:r>
            <w:r w:rsidR="001069D0" w:rsidRPr="00080C5D">
              <w:rPr>
                <w:rFonts w:cs="Times New Roman"/>
                <w:b/>
                <w:szCs w:val="24"/>
              </w:rPr>
              <w:t xml:space="preserve"> лева</w:t>
            </w:r>
          </w:p>
        </w:tc>
      </w:tr>
    </w:tbl>
    <w:p w14:paraId="16CDAB9D" w14:textId="0DCB9A93" w:rsidR="001069D0" w:rsidRDefault="001069D0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56F5C1A2" w14:textId="7E961CEC" w:rsidR="003C53F1" w:rsidRPr="00080C5D" w:rsidRDefault="003C53F1" w:rsidP="003C53F1">
      <w:pPr>
        <w:shd w:val="clear" w:color="auto" w:fill="FEFEFE"/>
        <w:spacing w:after="0" w:line="276" w:lineRule="auto"/>
        <w:ind w:firstLine="708"/>
        <w:rPr>
          <w:rFonts w:cs="Times New Roman"/>
          <w:b/>
          <w:szCs w:val="24"/>
          <w:lang w:val="en-US" w:eastAsia="bg-BG"/>
        </w:rPr>
      </w:pPr>
      <w:proofErr w:type="spellStart"/>
      <w:r w:rsidRPr="003C53F1">
        <w:rPr>
          <w:rFonts w:cs="Times New Roman"/>
          <w:b/>
          <w:szCs w:val="24"/>
          <w:lang w:val="en-US" w:eastAsia="bg-BG"/>
        </w:rPr>
        <w:t>Безвъзмездната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финансова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помощ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по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мярката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е в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размер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до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50 %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от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общия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размер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на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допустимите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за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финансово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подпомагане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 xml:space="preserve"> </w:t>
      </w:r>
      <w:proofErr w:type="spellStart"/>
      <w:r w:rsidRPr="003C53F1">
        <w:rPr>
          <w:rFonts w:cs="Times New Roman"/>
          <w:b/>
          <w:szCs w:val="24"/>
          <w:lang w:val="en-US" w:eastAsia="bg-BG"/>
        </w:rPr>
        <w:t>разходи</w:t>
      </w:r>
      <w:proofErr w:type="spellEnd"/>
      <w:r w:rsidRPr="003C53F1">
        <w:rPr>
          <w:rFonts w:cs="Times New Roman"/>
          <w:b/>
          <w:szCs w:val="24"/>
          <w:lang w:val="en-US" w:eastAsia="bg-BG"/>
        </w:rPr>
        <w:t>.</w:t>
      </w:r>
    </w:p>
    <w:p w14:paraId="16ED4CA6" w14:textId="77777777" w:rsidR="00017CAF" w:rsidRPr="00080C5D" w:rsidRDefault="00017CAF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p w14:paraId="3D92B0BC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  <w:r w:rsidRPr="00080C5D">
        <w:rPr>
          <w:rFonts w:cs="Times New Roman"/>
          <w:b/>
          <w:szCs w:val="24"/>
          <w:lang w:eastAsia="bg-BG"/>
        </w:rPr>
        <w:t>8</w:t>
      </w:r>
      <w:r w:rsidR="00D3123F" w:rsidRPr="00080C5D">
        <w:rPr>
          <w:rFonts w:cs="Times New Roman"/>
          <w:b/>
          <w:szCs w:val="24"/>
          <w:lang w:eastAsia="bg-BG"/>
        </w:rPr>
        <w:t>. КРИТЕРИИ ЗА ИЗБОР НА ПРОЕКТНИ ПРЕДЛОЖЕНИЯ И ТЯХНАТА ТЕЖЕСТ</w:t>
      </w:r>
    </w:p>
    <w:p w14:paraId="10165F34" w14:textId="77777777" w:rsidR="00C1113E" w:rsidRPr="00080C5D" w:rsidRDefault="00C1113E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val="en-US" w:eastAsia="bg-BG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4"/>
        <w:gridCol w:w="1147"/>
      </w:tblGrid>
      <w:tr w:rsidR="006D2EC5" w:rsidRPr="006D2EC5" w14:paraId="28F28AB2" w14:textId="77777777" w:rsidTr="006D2EC5">
        <w:trPr>
          <w:jc w:val="center"/>
        </w:trPr>
        <w:tc>
          <w:tcPr>
            <w:tcW w:w="10441" w:type="dxa"/>
            <w:gridSpan w:val="2"/>
            <w:tcBorders>
              <w:top w:val="single" w:sz="4" w:space="0" w:color="auto"/>
            </w:tcBorders>
          </w:tcPr>
          <w:p w14:paraId="2E2051E5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Постъпилите проектни предложения се оценяват в съответствие със следните критерии за подбор от одобрената СВОМР:</w:t>
            </w:r>
          </w:p>
        </w:tc>
      </w:tr>
      <w:tr w:rsidR="006D2EC5" w:rsidRPr="006D2EC5" w14:paraId="0D38AFBE" w14:textId="77777777" w:rsidTr="006D2EC5">
        <w:trPr>
          <w:jc w:val="center"/>
        </w:trPr>
        <w:tc>
          <w:tcPr>
            <w:tcW w:w="9294" w:type="dxa"/>
            <w:tcBorders>
              <w:top w:val="single" w:sz="4" w:space="0" w:color="auto"/>
            </w:tcBorders>
          </w:tcPr>
          <w:p w14:paraId="7BBF9398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lastRenderedPageBreak/>
              <w:t>Критерии за ОЦЕНКА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7F8E329D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Точки</w:t>
            </w:r>
          </w:p>
        </w:tc>
      </w:tr>
      <w:tr w:rsidR="006D2EC5" w:rsidRPr="006D2EC5" w14:paraId="00577FA2" w14:textId="77777777" w:rsidTr="006D2EC5">
        <w:trPr>
          <w:jc w:val="center"/>
        </w:trPr>
        <w:tc>
          <w:tcPr>
            <w:tcW w:w="9294" w:type="dxa"/>
          </w:tcPr>
          <w:p w14:paraId="52BAC57E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  <w:t>Проектът е насочен към преработка на земеделски продукти произвеждани в района или собствена земеделска продукция</w:t>
            </w:r>
          </w:p>
        </w:tc>
        <w:tc>
          <w:tcPr>
            <w:tcW w:w="1147" w:type="dxa"/>
          </w:tcPr>
          <w:p w14:paraId="623758D3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bCs/>
                <w:color w:val="000000" w:themeColor="text1"/>
                <w:szCs w:val="24"/>
                <w:lang w:eastAsia="bg-BG"/>
              </w:rPr>
              <w:t>20</w:t>
            </w:r>
          </w:p>
        </w:tc>
      </w:tr>
      <w:tr w:rsidR="006D2EC5" w:rsidRPr="006D2EC5" w14:paraId="61D63568" w14:textId="77777777" w:rsidTr="006D2EC5">
        <w:trPr>
          <w:jc w:val="center"/>
        </w:trPr>
        <w:tc>
          <w:tcPr>
            <w:tcW w:w="9294" w:type="dxa"/>
          </w:tcPr>
          <w:p w14:paraId="37C80953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  <w:t>Проектът включва преработка на суровини от сектори - животновъдство, зеленчукови, овощни, медицински и ароматни култури</w:t>
            </w:r>
          </w:p>
        </w:tc>
        <w:tc>
          <w:tcPr>
            <w:tcW w:w="1147" w:type="dxa"/>
          </w:tcPr>
          <w:p w14:paraId="101A73B9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20</w:t>
            </w:r>
          </w:p>
        </w:tc>
      </w:tr>
      <w:tr w:rsidR="006D2EC5" w:rsidRPr="006D2EC5" w14:paraId="208487F7" w14:textId="77777777" w:rsidTr="006D2EC5">
        <w:trPr>
          <w:trHeight w:val="1050"/>
          <w:jc w:val="center"/>
        </w:trPr>
        <w:tc>
          <w:tcPr>
            <w:tcW w:w="9294" w:type="dxa"/>
          </w:tcPr>
          <w:p w14:paraId="71CBAF45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Проектът създава нови работни места</w:t>
            </w:r>
          </w:p>
          <w:p w14:paraId="2E0FD7C3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до 2 нови работни места – 5 точки</w:t>
            </w:r>
          </w:p>
          <w:p w14:paraId="30D52AAF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От 2 до 5 нови работни места – 15 точки</w:t>
            </w:r>
          </w:p>
          <w:p w14:paraId="7CD3430D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Над 5 нови работни места – 20 точки</w:t>
            </w:r>
          </w:p>
        </w:tc>
        <w:tc>
          <w:tcPr>
            <w:tcW w:w="1147" w:type="dxa"/>
          </w:tcPr>
          <w:p w14:paraId="4FC054DD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20</w:t>
            </w:r>
          </w:p>
        </w:tc>
      </w:tr>
      <w:tr w:rsidR="006D2EC5" w:rsidRPr="006D2EC5" w14:paraId="51362843" w14:textId="77777777" w:rsidTr="006D2EC5">
        <w:trPr>
          <w:jc w:val="center"/>
        </w:trPr>
        <w:tc>
          <w:tcPr>
            <w:tcW w:w="9294" w:type="dxa"/>
          </w:tcPr>
          <w:p w14:paraId="1760D4DE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Проектът е иновативен за територията на МИГ /по смисъла на ЛИДЕР/</w:t>
            </w:r>
          </w:p>
        </w:tc>
        <w:tc>
          <w:tcPr>
            <w:tcW w:w="1147" w:type="dxa"/>
          </w:tcPr>
          <w:p w14:paraId="78D2FCB8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10</w:t>
            </w:r>
          </w:p>
        </w:tc>
      </w:tr>
      <w:tr w:rsidR="006D2EC5" w:rsidRPr="006D2EC5" w14:paraId="4D98938E" w14:textId="77777777" w:rsidTr="006D2EC5">
        <w:trPr>
          <w:jc w:val="center"/>
        </w:trPr>
        <w:tc>
          <w:tcPr>
            <w:tcW w:w="9294" w:type="dxa"/>
          </w:tcPr>
          <w:p w14:paraId="25B37147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 xml:space="preserve">Проектът </w:t>
            </w:r>
            <w:r w:rsidRPr="006D2EC5"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  <w:t xml:space="preserve">предвижда </w:t>
            </w: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преработка на сертифицирани биологични продукти</w:t>
            </w:r>
          </w:p>
        </w:tc>
        <w:tc>
          <w:tcPr>
            <w:tcW w:w="1147" w:type="dxa"/>
          </w:tcPr>
          <w:p w14:paraId="700D6996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10</w:t>
            </w:r>
          </w:p>
        </w:tc>
      </w:tr>
      <w:tr w:rsidR="006D2EC5" w:rsidRPr="006D2EC5" w14:paraId="669D131E" w14:textId="77777777" w:rsidTr="006D2EC5">
        <w:trPr>
          <w:jc w:val="center"/>
        </w:trPr>
        <w:tc>
          <w:tcPr>
            <w:tcW w:w="9294" w:type="dxa"/>
          </w:tcPr>
          <w:p w14:paraId="7161965C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val="ru-RU" w:eastAsia="bg-BG"/>
              </w:rPr>
              <w:t>Проектът предвижда инвестиции за енергийна ефективност в предприятието</w:t>
            </w:r>
          </w:p>
        </w:tc>
        <w:tc>
          <w:tcPr>
            <w:tcW w:w="1147" w:type="dxa"/>
          </w:tcPr>
          <w:p w14:paraId="47D23737" w14:textId="77777777" w:rsidR="006D2EC5" w:rsidRPr="006D2EC5" w:rsidRDefault="006D2EC5" w:rsidP="006D2EC5">
            <w:pPr>
              <w:shd w:val="clear" w:color="auto" w:fill="FEFEFE"/>
              <w:spacing w:after="0" w:line="276" w:lineRule="auto"/>
              <w:rPr>
                <w:rFonts w:cs="Times New Roman"/>
                <w:b/>
                <w:color w:val="000000" w:themeColor="text1"/>
                <w:szCs w:val="24"/>
                <w:lang w:eastAsia="bg-BG"/>
              </w:rPr>
            </w:pPr>
            <w:r w:rsidRPr="006D2EC5">
              <w:rPr>
                <w:rFonts w:cs="Times New Roman"/>
                <w:b/>
                <w:color w:val="000000" w:themeColor="text1"/>
                <w:szCs w:val="24"/>
                <w:lang w:eastAsia="bg-BG"/>
              </w:rPr>
              <w:t>20</w:t>
            </w:r>
          </w:p>
        </w:tc>
      </w:tr>
    </w:tbl>
    <w:p w14:paraId="32F35372" w14:textId="77777777" w:rsidR="006D2EC5" w:rsidRPr="006D2EC5" w:rsidRDefault="006D2EC5" w:rsidP="006D2EC5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eastAsia="bg-BG"/>
        </w:rPr>
      </w:pPr>
      <w:r w:rsidRPr="006D2EC5">
        <w:rPr>
          <w:rFonts w:cs="Times New Roman"/>
          <w:b/>
          <w:color w:val="000000" w:themeColor="text1"/>
          <w:szCs w:val="24"/>
          <w:lang w:eastAsia="bg-BG"/>
        </w:rPr>
        <w:t xml:space="preserve">Подпомагат се проектни предложения, получили не по-малко от 30 точки по критериите за оценка. </w:t>
      </w:r>
    </w:p>
    <w:p w14:paraId="24A50F1D" w14:textId="3BD50552" w:rsidR="002E0452" w:rsidRPr="00080C5D" w:rsidRDefault="006D2EC5" w:rsidP="006D2EC5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val="en-US" w:eastAsia="bg-BG"/>
        </w:rPr>
      </w:pPr>
      <w:r w:rsidRPr="006D2EC5">
        <w:rPr>
          <w:rFonts w:cs="Times New Roman"/>
          <w:b/>
          <w:color w:val="000000" w:themeColor="text1"/>
          <w:szCs w:val="24"/>
          <w:lang w:eastAsia="bg-BG"/>
        </w:rPr>
        <w:t>За проектни предложения, които са получили еднакъв брой точки на етап „Техническа и финансова оценка“ и има недостиг на средства за финансирането им, класирането ще се извърши по следния начин: Приоритет ще имат проектните предложения получили по-голям брой точки по критерий „Проектът създава нови работни места“. В случай, че проектните предложения имат равен брой точки по посочения критерий, те ще бъдат класирани, съобразно получените точки по критерий „Проектът е насочен към преработка на земеделски продукти, произвеждани в района или собствена земеделска продукция.</w:t>
      </w:r>
    </w:p>
    <w:p w14:paraId="2F73AE86" w14:textId="77777777" w:rsidR="000E7846" w:rsidRPr="00080C5D" w:rsidRDefault="000E7846" w:rsidP="00017CAF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val="en-US" w:eastAsia="bg-BG"/>
        </w:rPr>
      </w:pPr>
    </w:p>
    <w:p w14:paraId="20129612" w14:textId="77777777" w:rsidR="000E7846" w:rsidRPr="00080C5D" w:rsidRDefault="000E7846" w:rsidP="00017CAF">
      <w:pPr>
        <w:shd w:val="clear" w:color="auto" w:fill="FEFEFE"/>
        <w:spacing w:after="0" w:line="276" w:lineRule="auto"/>
        <w:rPr>
          <w:rFonts w:cs="Times New Roman"/>
          <w:b/>
          <w:color w:val="000000" w:themeColor="text1"/>
          <w:szCs w:val="24"/>
          <w:lang w:val="en-US" w:eastAsia="bg-BG"/>
        </w:rPr>
      </w:pPr>
    </w:p>
    <w:p w14:paraId="216EA2D7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9</w:t>
      </w:r>
      <w:r w:rsidR="00D3123F" w:rsidRPr="00080C5D">
        <w:rPr>
          <w:rFonts w:cs="Times New Roman"/>
          <w:b/>
          <w:szCs w:val="24"/>
          <w:lang w:eastAsia="bg-BG"/>
        </w:rPr>
        <w:t>. ЛИЦЕ/А ЗА КОНТАКТ И МЯСТО ЗА ДОСТЪП ДО ПОДРОБНА ИНФОРМАЦИЯ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241EC" w:rsidRPr="00080C5D" w14:paraId="00FAA2A9" w14:textId="77777777" w:rsidTr="000241EC">
        <w:tc>
          <w:tcPr>
            <w:tcW w:w="10913" w:type="dxa"/>
          </w:tcPr>
          <w:p w14:paraId="195E0393" w14:textId="77777777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При условията на чл. 26, ал. 8 от ЗУСЕСИФ, кандидат в процедурата може да иска разяснения по документите и условията за предоставяне на финансова помощ в срок до три седмици преди изтичането на срока за кандидатстване на следния електронен адрес: office@mig-lr.eu. Разясненията се дават по отношение на условията за кандидатстване, не съдържат становище относно качеството на проектното предложение и са задължителни за всички кандидати. </w:t>
            </w:r>
          </w:p>
          <w:p w14:paraId="291C5800" w14:textId="46BBDB9E" w:rsidR="000E7846" w:rsidRPr="00080C5D" w:rsidRDefault="000E7846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Разясненията се публикуват на електронната страница на МИГ Луковит-Роман и на страницата на ИСУН в срок до две седмици преди изтичането на срока за кандидатстване.</w:t>
            </w:r>
          </w:p>
          <w:p w14:paraId="2C69DD09" w14:textId="2E6F59B2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Лица за контакт: </w:t>
            </w:r>
            <w:r w:rsidR="000E7846" w:rsidRPr="00080C5D">
              <w:rPr>
                <w:rFonts w:cs="Times New Roman"/>
                <w:szCs w:val="24"/>
              </w:rPr>
              <w:t>Надя Иванова</w:t>
            </w:r>
            <w:r w:rsidR="002B234C">
              <w:rPr>
                <w:rFonts w:cs="Times New Roman"/>
                <w:szCs w:val="24"/>
              </w:rPr>
              <w:t>;</w:t>
            </w:r>
            <w:r w:rsidR="00245762" w:rsidRPr="00080C5D">
              <w:rPr>
                <w:rFonts w:cs="Times New Roman"/>
                <w:szCs w:val="24"/>
              </w:rPr>
              <w:t xml:space="preserve"> </w:t>
            </w:r>
            <w:r w:rsidR="000E7846" w:rsidRPr="00080C5D">
              <w:rPr>
                <w:rFonts w:cs="Times New Roman"/>
                <w:szCs w:val="24"/>
              </w:rPr>
              <w:t>Бисерка Николова</w:t>
            </w:r>
            <w:r w:rsidR="00245762" w:rsidRPr="00080C5D">
              <w:rPr>
                <w:rFonts w:cs="Times New Roman"/>
                <w:szCs w:val="24"/>
              </w:rPr>
              <w:t>.</w:t>
            </w:r>
            <w:r w:rsidRPr="00080C5D">
              <w:rPr>
                <w:rFonts w:cs="Times New Roman"/>
                <w:szCs w:val="24"/>
              </w:rPr>
              <w:t xml:space="preserve"> е-</w:t>
            </w:r>
            <w:r w:rsidRPr="00080C5D">
              <w:rPr>
                <w:rFonts w:cs="Times New Roman"/>
                <w:szCs w:val="24"/>
                <w:lang w:val="en-US"/>
              </w:rPr>
              <w:t xml:space="preserve">mail: </w:t>
            </w:r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office</w:t>
            </w:r>
            <w:r w:rsidR="000E7846" w:rsidRPr="00080C5D">
              <w:rPr>
                <w:rFonts w:cs="Times New Roman"/>
                <w:szCs w:val="24"/>
                <w:u w:val="single"/>
              </w:rPr>
              <w:t>@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mig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-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lr</w:t>
            </w:r>
            <w:proofErr w:type="spellEnd"/>
            <w:r w:rsidR="000E7846" w:rsidRPr="00080C5D">
              <w:rPr>
                <w:rFonts w:cs="Times New Roman"/>
                <w:szCs w:val="24"/>
                <w:u w:val="single"/>
              </w:rPr>
              <w:t>.</w:t>
            </w:r>
            <w:proofErr w:type="spellStart"/>
            <w:r w:rsidR="000E7846" w:rsidRPr="00080C5D">
              <w:rPr>
                <w:rFonts w:cs="Times New Roman"/>
                <w:szCs w:val="24"/>
                <w:u w:val="single"/>
                <w:lang w:val="en-US"/>
              </w:rPr>
              <w:t>eu</w:t>
            </w:r>
            <w:proofErr w:type="spellEnd"/>
            <w:r w:rsidRPr="00080C5D">
              <w:rPr>
                <w:rFonts w:cs="Times New Roman"/>
                <w:szCs w:val="24"/>
              </w:rPr>
              <w:t xml:space="preserve"> </w:t>
            </w:r>
          </w:p>
          <w:p w14:paraId="74516E52" w14:textId="77777777" w:rsidR="000241EC" w:rsidRPr="00080C5D" w:rsidRDefault="000241EC" w:rsidP="00017CAF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>Пълният пакет документи за кандидатстване са публикувани на следните интернет адреси:</w:t>
            </w:r>
          </w:p>
          <w:p w14:paraId="730227A3" w14:textId="75FB3F72" w:rsidR="000241EC" w:rsidRPr="00080C5D" w:rsidRDefault="000241EC" w:rsidP="00017CAF">
            <w:pPr>
              <w:numPr>
                <w:ilvl w:val="0"/>
                <w:numId w:val="21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Сдружение „МИГ </w:t>
            </w:r>
            <w:r w:rsidR="000E7846" w:rsidRPr="00080C5D">
              <w:rPr>
                <w:rFonts w:cs="Times New Roman"/>
                <w:szCs w:val="24"/>
              </w:rPr>
              <w:t>Луковит-Роман</w:t>
            </w:r>
            <w:r w:rsidRPr="00080C5D">
              <w:rPr>
                <w:rFonts w:cs="Times New Roman"/>
                <w:szCs w:val="24"/>
              </w:rPr>
              <w:t xml:space="preserve">“: </w:t>
            </w:r>
            <w:hyperlink r:id="rId13" w:history="1">
              <w:r w:rsidR="000E7846" w:rsidRPr="00080C5D">
                <w:rPr>
                  <w:rFonts w:cs="Times New Roman"/>
                  <w:color w:val="0563C1"/>
                  <w:szCs w:val="24"/>
                  <w:u w:val="single"/>
                </w:rPr>
                <w:t>http://mig-lr.eu/</w:t>
              </w:r>
            </w:hyperlink>
          </w:p>
          <w:p w14:paraId="34B78F21" w14:textId="77777777" w:rsidR="000241EC" w:rsidRPr="00080C5D" w:rsidRDefault="000241EC" w:rsidP="00017CAF">
            <w:pPr>
              <w:numPr>
                <w:ilvl w:val="0"/>
                <w:numId w:val="13"/>
              </w:numPr>
              <w:tabs>
                <w:tab w:val="left" w:pos="142"/>
              </w:tabs>
              <w:snapToGri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на сайта на ИСУН </w:t>
            </w:r>
            <w:hyperlink r:id="rId14" w:history="1">
              <w:r w:rsidRPr="00080C5D">
                <w:rPr>
                  <w:rStyle w:val="a7"/>
                  <w:rFonts w:cs="Times New Roman"/>
                  <w:szCs w:val="24"/>
                </w:rPr>
                <w:t>http://eumis2020.government.bg/</w:t>
              </w:r>
            </w:hyperlink>
            <w:r w:rsidRPr="00080C5D">
              <w:rPr>
                <w:rFonts w:cs="Times New Roman"/>
                <w:szCs w:val="24"/>
              </w:rPr>
              <w:t xml:space="preserve">  . </w:t>
            </w:r>
          </w:p>
        </w:tc>
      </w:tr>
    </w:tbl>
    <w:p w14:paraId="2A3ECD51" w14:textId="77777777" w:rsidR="00181874" w:rsidRPr="00080C5D" w:rsidRDefault="00181874" w:rsidP="00017CAF">
      <w:pPr>
        <w:shd w:val="clear" w:color="auto" w:fill="FEFEFE"/>
        <w:spacing w:after="0" w:line="276" w:lineRule="auto"/>
        <w:rPr>
          <w:rFonts w:cs="Times New Roman"/>
          <w:b/>
          <w:color w:val="548DD4"/>
          <w:szCs w:val="24"/>
          <w:lang w:eastAsia="bg-BG"/>
        </w:rPr>
      </w:pPr>
    </w:p>
    <w:p w14:paraId="46575E70" w14:textId="77777777" w:rsidR="00D3123F" w:rsidRPr="00080C5D" w:rsidRDefault="001B0DBB" w:rsidP="00017CAF">
      <w:pPr>
        <w:shd w:val="clear" w:color="auto" w:fill="FEFEFE"/>
        <w:spacing w:after="0" w:line="276" w:lineRule="auto"/>
        <w:rPr>
          <w:rFonts w:cs="Times New Roman"/>
          <w:b/>
          <w:szCs w:val="24"/>
          <w:lang w:eastAsia="bg-BG"/>
        </w:rPr>
      </w:pPr>
      <w:r w:rsidRPr="00080C5D">
        <w:rPr>
          <w:rFonts w:cs="Times New Roman"/>
          <w:b/>
          <w:szCs w:val="24"/>
          <w:lang w:eastAsia="bg-BG"/>
        </w:rPr>
        <w:t>10</w:t>
      </w:r>
      <w:r w:rsidR="00D3123F" w:rsidRPr="00080C5D">
        <w:rPr>
          <w:rFonts w:cs="Times New Roman"/>
          <w:b/>
          <w:szCs w:val="24"/>
          <w:lang w:eastAsia="bg-BG"/>
        </w:rPr>
        <w:t>. НАЧИН ЗА ПОДАВАНЕ НА ПРОЕКТНИ ПРЕДЛОЖЕНИЯ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241EC" w:rsidRPr="00080C5D" w14:paraId="39CE4F25" w14:textId="77777777" w:rsidTr="000241EC">
        <w:tc>
          <w:tcPr>
            <w:tcW w:w="10913" w:type="dxa"/>
          </w:tcPr>
          <w:p w14:paraId="20CED501" w14:textId="77777777" w:rsidR="000241EC" w:rsidRPr="00080C5D" w:rsidRDefault="000241EC" w:rsidP="00017CAF">
            <w:pPr>
              <w:tabs>
                <w:tab w:val="left" w:pos="142"/>
              </w:tabs>
              <w:spacing w:line="276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080C5D">
              <w:rPr>
                <w:rFonts w:cs="Times New Roman"/>
                <w:szCs w:val="24"/>
              </w:rPr>
              <w:t xml:space="preserve">Подаването на проектно предложение по настоящата процедура се извършва по изцяло електронен път, чрез </w:t>
            </w:r>
            <w:r w:rsidRPr="00080C5D">
              <w:rPr>
                <w:rFonts w:cs="Times New Roman"/>
                <w:b/>
                <w:bCs/>
                <w:szCs w:val="24"/>
              </w:rPr>
              <w:t xml:space="preserve">Информационна система за управление и наблюдение на средствата от ЕС в периода 2014-2020 г. в България (ИСУН 2020), </w:t>
            </w:r>
            <w:r w:rsidRPr="00080C5D">
              <w:rPr>
                <w:rFonts w:cs="Times New Roman"/>
                <w:szCs w:val="24"/>
              </w:rPr>
              <w:t xml:space="preserve">чрез модула „Е-кандидатстване“ на следния интернет адрес: </w:t>
            </w:r>
            <w:hyperlink r:id="rId15" w:history="1">
              <w:r w:rsidRPr="00080C5D">
                <w:rPr>
                  <w:rStyle w:val="a7"/>
                  <w:rFonts w:cs="Times New Roman"/>
                  <w:szCs w:val="24"/>
                </w:rPr>
                <w:t>https://eumis2020.government.bg</w:t>
              </w:r>
            </w:hyperlink>
            <w:r w:rsidRPr="00080C5D">
              <w:rPr>
                <w:rFonts w:cs="Times New Roman"/>
                <w:szCs w:val="24"/>
              </w:rPr>
              <w:t>.</w:t>
            </w:r>
          </w:p>
        </w:tc>
      </w:tr>
    </w:tbl>
    <w:p w14:paraId="3ABF18BB" w14:textId="77777777" w:rsidR="000241EC" w:rsidRPr="00080C5D" w:rsidRDefault="000241EC" w:rsidP="00017CAF">
      <w:pPr>
        <w:shd w:val="clear" w:color="auto" w:fill="FEFEFE"/>
        <w:spacing w:after="0" w:line="276" w:lineRule="auto"/>
        <w:rPr>
          <w:rFonts w:cs="Times New Roman"/>
          <w:b/>
          <w:color w:val="385623" w:themeColor="accent6" w:themeShade="80"/>
          <w:szCs w:val="24"/>
          <w:lang w:eastAsia="bg-BG"/>
        </w:rPr>
      </w:pPr>
    </w:p>
    <w:bookmarkEnd w:id="0"/>
    <w:bookmarkEnd w:id="1"/>
    <w:bookmarkEnd w:id="2"/>
    <w:p w14:paraId="5024930D" w14:textId="77777777" w:rsidR="00E31DB3" w:rsidRPr="00080C5D" w:rsidRDefault="00E31DB3" w:rsidP="00017CAF">
      <w:pPr>
        <w:tabs>
          <w:tab w:val="left" w:pos="142"/>
        </w:tabs>
        <w:spacing w:line="276" w:lineRule="auto"/>
        <w:jc w:val="both"/>
        <w:rPr>
          <w:rFonts w:cs="Times New Roman"/>
          <w:b/>
          <w:szCs w:val="24"/>
        </w:rPr>
      </w:pPr>
    </w:p>
    <w:sectPr w:rsidR="00E31DB3" w:rsidRPr="00080C5D" w:rsidSect="00E56540">
      <w:footerReference w:type="default" r:id="rId16"/>
      <w:pgSz w:w="11906" w:h="16838"/>
      <w:pgMar w:top="426" w:right="424" w:bottom="709" w:left="709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329B3" w14:textId="77777777" w:rsidR="00372568" w:rsidRDefault="00372568" w:rsidP="00617FB6">
      <w:pPr>
        <w:spacing w:after="0" w:line="240" w:lineRule="auto"/>
      </w:pPr>
      <w:r>
        <w:separator/>
      </w:r>
    </w:p>
  </w:endnote>
  <w:endnote w:type="continuationSeparator" w:id="0">
    <w:p w14:paraId="5F94860D" w14:textId="77777777" w:rsidR="00372568" w:rsidRDefault="00372568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E6A7" w14:textId="77777777" w:rsidR="00617FB6" w:rsidRPr="00EE63CB" w:rsidRDefault="00617FB6" w:rsidP="00913D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C45A" w14:textId="77777777" w:rsidR="00372568" w:rsidRDefault="00372568" w:rsidP="00617FB6">
      <w:pPr>
        <w:spacing w:after="0" w:line="240" w:lineRule="auto"/>
      </w:pPr>
      <w:r>
        <w:separator/>
      </w:r>
    </w:p>
  </w:footnote>
  <w:footnote w:type="continuationSeparator" w:id="0">
    <w:p w14:paraId="70C29A89" w14:textId="77777777" w:rsidR="00372568" w:rsidRDefault="00372568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2111"/>
    <w:multiLevelType w:val="hybridMultilevel"/>
    <w:tmpl w:val="A3580B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603F8"/>
    <w:multiLevelType w:val="hybridMultilevel"/>
    <w:tmpl w:val="C512C2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ED2100"/>
    <w:multiLevelType w:val="hybridMultilevel"/>
    <w:tmpl w:val="51D23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775"/>
    <w:multiLevelType w:val="hybridMultilevel"/>
    <w:tmpl w:val="3E3627D6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C0A77"/>
    <w:multiLevelType w:val="multilevel"/>
    <w:tmpl w:val="76AAF7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4B737F"/>
    <w:multiLevelType w:val="hybridMultilevel"/>
    <w:tmpl w:val="7BC6E372"/>
    <w:lvl w:ilvl="0" w:tplc="8056EF1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441"/>
    <w:multiLevelType w:val="hybridMultilevel"/>
    <w:tmpl w:val="BB7E51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F4109"/>
    <w:multiLevelType w:val="hybridMultilevel"/>
    <w:tmpl w:val="871A660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FB0EAC"/>
    <w:multiLevelType w:val="hybridMultilevel"/>
    <w:tmpl w:val="2198287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A3D7F"/>
    <w:multiLevelType w:val="hybridMultilevel"/>
    <w:tmpl w:val="A9384A86"/>
    <w:lvl w:ilvl="0" w:tplc="89FAC7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D1FF1"/>
    <w:multiLevelType w:val="hybridMultilevel"/>
    <w:tmpl w:val="345C23DC"/>
    <w:lvl w:ilvl="0" w:tplc="F1503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43451B"/>
    <w:multiLevelType w:val="hybridMultilevel"/>
    <w:tmpl w:val="287ECA28"/>
    <w:lvl w:ilvl="0" w:tplc="F1FE27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45BB4"/>
    <w:multiLevelType w:val="hybridMultilevel"/>
    <w:tmpl w:val="5374FB54"/>
    <w:lvl w:ilvl="0" w:tplc="E3FAB04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2"/>
  </w:num>
  <w:num w:numId="4">
    <w:abstractNumId w:val="22"/>
  </w:num>
  <w:num w:numId="5">
    <w:abstractNumId w:val="28"/>
  </w:num>
  <w:num w:numId="6">
    <w:abstractNumId w:val="33"/>
  </w:num>
  <w:num w:numId="7">
    <w:abstractNumId w:val="16"/>
  </w:num>
  <w:num w:numId="8">
    <w:abstractNumId w:val="21"/>
  </w:num>
  <w:num w:numId="9">
    <w:abstractNumId w:val="17"/>
  </w:num>
  <w:num w:numId="10">
    <w:abstractNumId w:val="12"/>
  </w:num>
  <w:num w:numId="11">
    <w:abstractNumId w:val="9"/>
  </w:num>
  <w:num w:numId="12">
    <w:abstractNumId w:val="29"/>
  </w:num>
  <w:num w:numId="13">
    <w:abstractNumId w:val="27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3"/>
  </w:num>
  <w:num w:numId="18">
    <w:abstractNumId w:val="0"/>
  </w:num>
  <w:num w:numId="19">
    <w:abstractNumId w:val="6"/>
  </w:num>
  <w:num w:numId="20">
    <w:abstractNumId w:val="25"/>
  </w:num>
  <w:num w:numId="21">
    <w:abstractNumId w:val="4"/>
  </w:num>
  <w:num w:numId="22">
    <w:abstractNumId w:val="20"/>
  </w:num>
  <w:num w:numId="23">
    <w:abstractNumId w:val="19"/>
  </w:num>
  <w:num w:numId="24">
    <w:abstractNumId w:val="31"/>
  </w:num>
  <w:num w:numId="25">
    <w:abstractNumId w:val="26"/>
  </w:num>
  <w:num w:numId="26">
    <w:abstractNumId w:val="11"/>
  </w:num>
  <w:num w:numId="27">
    <w:abstractNumId w:val="14"/>
  </w:num>
  <w:num w:numId="28">
    <w:abstractNumId w:val="15"/>
  </w:num>
  <w:num w:numId="29">
    <w:abstractNumId w:val="3"/>
  </w:num>
  <w:num w:numId="30">
    <w:abstractNumId w:val="24"/>
  </w:num>
  <w:num w:numId="31">
    <w:abstractNumId w:val="7"/>
  </w:num>
  <w:num w:numId="32">
    <w:abstractNumId w:val="5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17165"/>
    <w:rsid w:val="00017CAF"/>
    <w:rsid w:val="0002238F"/>
    <w:rsid w:val="000241EC"/>
    <w:rsid w:val="000366F5"/>
    <w:rsid w:val="00080C5D"/>
    <w:rsid w:val="00083971"/>
    <w:rsid w:val="000917B7"/>
    <w:rsid w:val="000942A1"/>
    <w:rsid w:val="000A201A"/>
    <w:rsid w:val="000A5CF7"/>
    <w:rsid w:val="000B588F"/>
    <w:rsid w:val="000B7D47"/>
    <w:rsid w:val="000C402E"/>
    <w:rsid w:val="000D0DD9"/>
    <w:rsid w:val="000E438E"/>
    <w:rsid w:val="000E7846"/>
    <w:rsid w:val="000F01A4"/>
    <w:rsid w:val="001069D0"/>
    <w:rsid w:val="00115102"/>
    <w:rsid w:val="00125744"/>
    <w:rsid w:val="001407F5"/>
    <w:rsid w:val="00141D58"/>
    <w:rsid w:val="00143401"/>
    <w:rsid w:val="001719FE"/>
    <w:rsid w:val="00181874"/>
    <w:rsid w:val="0018286F"/>
    <w:rsid w:val="00185B7C"/>
    <w:rsid w:val="001B0DBB"/>
    <w:rsid w:val="001B6A76"/>
    <w:rsid w:val="001D2D9B"/>
    <w:rsid w:val="001D4E72"/>
    <w:rsid w:val="001E3DCB"/>
    <w:rsid w:val="001F0FCC"/>
    <w:rsid w:val="001F1345"/>
    <w:rsid w:val="001F77D2"/>
    <w:rsid w:val="00227052"/>
    <w:rsid w:val="002344BB"/>
    <w:rsid w:val="00245762"/>
    <w:rsid w:val="00245CD1"/>
    <w:rsid w:val="00246749"/>
    <w:rsid w:val="00251558"/>
    <w:rsid w:val="00265D45"/>
    <w:rsid w:val="0027009E"/>
    <w:rsid w:val="002859DF"/>
    <w:rsid w:val="00286D96"/>
    <w:rsid w:val="00294802"/>
    <w:rsid w:val="002B234C"/>
    <w:rsid w:val="002B2D9D"/>
    <w:rsid w:val="002C393A"/>
    <w:rsid w:val="002C3F1A"/>
    <w:rsid w:val="002C40CB"/>
    <w:rsid w:val="002D5249"/>
    <w:rsid w:val="002E0452"/>
    <w:rsid w:val="002E684F"/>
    <w:rsid w:val="002F7345"/>
    <w:rsid w:val="00300F41"/>
    <w:rsid w:val="003170F7"/>
    <w:rsid w:val="00323CAC"/>
    <w:rsid w:val="00325BD6"/>
    <w:rsid w:val="0032657C"/>
    <w:rsid w:val="0035203D"/>
    <w:rsid w:val="00353D1B"/>
    <w:rsid w:val="003600CC"/>
    <w:rsid w:val="0036084E"/>
    <w:rsid w:val="00371A33"/>
    <w:rsid w:val="00372568"/>
    <w:rsid w:val="0039512C"/>
    <w:rsid w:val="003A1A42"/>
    <w:rsid w:val="003A2B25"/>
    <w:rsid w:val="003C53F1"/>
    <w:rsid w:val="003D09B5"/>
    <w:rsid w:val="003D1348"/>
    <w:rsid w:val="003E2BBC"/>
    <w:rsid w:val="003F1CC4"/>
    <w:rsid w:val="003F699C"/>
    <w:rsid w:val="0042754C"/>
    <w:rsid w:val="004345BD"/>
    <w:rsid w:val="00444D9D"/>
    <w:rsid w:val="004459A8"/>
    <w:rsid w:val="00456104"/>
    <w:rsid w:val="004561C9"/>
    <w:rsid w:val="0046383D"/>
    <w:rsid w:val="00477810"/>
    <w:rsid w:val="0048142A"/>
    <w:rsid w:val="00484537"/>
    <w:rsid w:val="004A0593"/>
    <w:rsid w:val="004A2989"/>
    <w:rsid w:val="004B04D0"/>
    <w:rsid w:val="004B1C33"/>
    <w:rsid w:val="004D1F9A"/>
    <w:rsid w:val="004E32A0"/>
    <w:rsid w:val="004E7092"/>
    <w:rsid w:val="004E786A"/>
    <w:rsid w:val="00526C08"/>
    <w:rsid w:val="005315CE"/>
    <w:rsid w:val="00537199"/>
    <w:rsid w:val="00563B32"/>
    <w:rsid w:val="0057526E"/>
    <w:rsid w:val="00581F5E"/>
    <w:rsid w:val="0059136B"/>
    <w:rsid w:val="00592F6A"/>
    <w:rsid w:val="0059678C"/>
    <w:rsid w:val="005A13B5"/>
    <w:rsid w:val="005A6A85"/>
    <w:rsid w:val="005B4A2A"/>
    <w:rsid w:val="005B7567"/>
    <w:rsid w:val="005E0998"/>
    <w:rsid w:val="005F1377"/>
    <w:rsid w:val="005F7437"/>
    <w:rsid w:val="00601EE3"/>
    <w:rsid w:val="0060686B"/>
    <w:rsid w:val="00617FB6"/>
    <w:rsid w:val="006224F4"/>
    <w:rsid w:val="00623FD1"/>
    <w:rsid w:val="00630782"/>
    <w:rsid w:val="0063467E"/>
    <w:rsid w:val="006535DA"/>
    <w:rsid w:val="00653E8A"/>
    <w:rsid w:val="00664ABB"/>
    <w:rsid w:val="0067299F"/>
    <w:rsid w:val="0068075E"/>
    <w:rsid w:val="00684AC4"/>
    <w:rsid w:val="0069691C"/>
    <w:rsid w:val="006B17C5"/>
    <w:rsid w:val="006B3DD8"/>
    <w:rsid w:val="006C6FE0"/>
    <w:rsid w:val="006D0203"/>
    <w:rsid w:val="006D2EC5"/>
    <w:rsid w:val="006D40C0"/>
    <w:rsid w:val="006D45A0"/>
    <w:rsid w:val="006F3CD4"/>
    <w:rsid w:val="006F4373"/>
    <w:rsid w:val="007079A3"/>
    <w:rsid w:val="00724026"/>
    <w:rsid w:val="00757CB3"/>
    <w:rsid w:val="00760332"/>
    <w:rsid w:val="00764D31"/>
    <w:rsid w:val="00781D2F"/>
    <w:rsid w:val="00786BA6"/>
    <w:rsid w:val="007964EE"/>
    <w:rsid w:val="007A2E7D"/>
    <w:rsid w:val="007A4B81"/>
    <w:rsid w:val="007A5405"/>
    <w:rsid w:val="007B523B"/>
    <w:rsid w:val="007C1D39"/>
    <w:rsid w:val="007C3C18"/>
    <w:rsid w:val="007D21CC"/>
    <w:rsid w:val="007D45F6"/>
    <w:rsid w:val="007E7AD4"/>
    <w:rsid w:val="007F128F"/>
    <w:rsid w:val="007F3FAE"/>
    <w:rsid w:val="007F44C0"/>
    <w:rsid w:val="008051B1"/>
    <w:rsid w:val="00806203"/>
    <w:rsid w:val="008069EA"/>
    <w:rsid w:val="0081207F"/>
    <w:rsid w:val="00815630"/>
    <w:rsid w:val="00820623"/>
    <w:rsid w:val="008231B8"/>
    <w:rsid w:val="008457F4"/>
    <w:rsid w:val="00846B49"/>
    <w:rsid w:val="0085575D"/>
    <w:rsid w:val="008602B3"/>
    <w:rsid w:val="00864369"/>
    <w:rsid w:val="00865D3A"/>
    <w:rsid w:val="0086759C"/>
    <w:rsid w:val="00870182"/>
    <w:rsid w:val="008704CD"/>
    <w:rsid w:val="00875D87"/>
    <w:rsid w:val="008861B1"/>
    <w:rsid w:val="008873E0"/>
    <w:rsid w:val="008930FB"/>
    <w:rsid w:val="008A024D"/>
    <w:rsid w:val="008A5CED"/>
    <w:rsid w:val="008B01E9"/>
    <w:rsid w:val="008B0DBB"/>
    <w:rsid w:val="008C33D1"/>
    <w:rsid w:val="008C7790"/>
    <w:rsid w:val="008E35E7"/>
    <w:rsid w:val="008F08DA"/>
    <w:rsid w:val="008F7AF0"/>
    <w:rsid w:val="00913D07"/>
    <w:rsid w:val="0091472B"/>
    <w:rsid w:val="009200F8"/>
    <w:rsid w:val="0092422F"/>
    <w:rsid w:val="00925984"/>
    <w:rsid w:val="00993696"/>
    <w:rsid w:val="00994236"/>
    <w:rsid w:val="0099528A"/>
    <w:rsid w:val="009A3ED8"/>
    <w:rsid w:val="009B2C25"/>
    <w:rsid w:val="009C0C2F"/>
    <w:rsid w:val="009C16B1"/>
    <w:rsid w:val="009C50B4"/>
    <w:rsid w:val="009D6058"/>
    <w:rsid w:val="009E72D4"/>
    <w:rsid w:val="00A01619"/>
    <w:rsid w:val="00A0248E"/>
    <w:rsid w:val="00A103B4"/>
    <w:rsid w:val="00A21443"/>
    <w:rsid w:val="00A27006"/>
    <w:rsid w:val="00A575D1"/>
    <w:rsid w:val="00A60EB9"/>
    <w:rsid w:val="00A63670"/>
    <w:rsid w:val="00A776E3"/>
    <w:rsid w:val="00A96D68"/>
    <w:rsid w:val="00A97419"/>
    <w:rsid w:val="00AA7329"/>
    <w:rsid w:val="00AB5C31"/>
    <w:rsid w:val="00AB70EB"/>
    <w:rsid w:val="00AB783C"/>
    <w:rsid w:val="00AC2303"/>
    <w:rsid w:val="00AC3207"/>
    <w:rsid w:val="00AC48C5"/>
    <w:rsid w:val="00AC7B2E"/>
    <w:rsid w:val="00AD7AE9"/>
    <w:rsid w:val="00AE1915"/>
    <w:rsid w:val="00B020BC"/>
    <w:rsid w:val="00B023E7"/>
    <w:rsid w:val="00B073BC"/>
    <w:rsid w:val="00B2368B"/>
    <w:rsid w:val="00B262D9"/>
    <w:rsid w:val="00B34177"/>
    <w:rsid w:val="00B54D56"/>
    <w:rsid w:val="00B601FC"/>
    <w:rsid w:val="00B63DE4"/>
    <w:rsid w:val="00B650F8"/>
    <w:rsid w:val="00B659BE"/>
    <w:rsid w:val="00B675C7"/>
    <w:rsid w:val="00B82530"/>
    <w:rsid w:val="00B84E44"/>
    <w:rsid w:val="00B9285A"/>
    <w:rsid w:val="00B97B27"/>
    <w:rsid w:val="00BA37B3"/>
    <w:rsid w:val="00BC1EBA"/>
    <w:rsid w:val="00BC3FD9"/>
    <w:rsid w:val="00BD5AD0"/>
    <w:rsid w:val="00C033B3"/>
    <w:rsid w:val="00C10A47"/>
    <w:rsid w:val="00C1113E"/>
    <w:rsid w:val="00C45BF8"/>
    <w:rsid w:val="00C529FF"/>
    <w:rsid w:val="00C679C0"/>
    <w:rsid w:val="00C67E85"/>
    <w:rsid w:val="00C7372F"/>
    <w:rsid w:val="00C84528"/>
    <w:rsid w:val="00C86DA8"/>
    <w:rsid w:val="00C8763A"/>
    <w:rsid w:val="00C91946"/>
    <w:rsid w:val="00C93457"/>
    <w:rsid w:val="00CA7741"/>
    <w:rsid w:val="00CB253A"/>
    <w:rsid w:val="00CC2823"/>
    <w:rsid w:val="00CD3A45"/>
    <w:rsid w:val="00CD63C9"/>
    <w:rsid w:val="00CE368B"/>
    <w:rsid w:val="00D0210F"/>
    <w:rsid w:val="00D169EE"/>
    <w:rsid w:val="00D207BB"/>
    <w:rsid w:val="00D30002"/>
    <w:rsid w:val="00D3123F"/>
    <w:rsid w:val="00D47772"/>
    <w:rsid w:val="00D514EC"/>
    <w:rsid w:val="00D545B5"/>
    <w:rsid w:val="00D57706"/>
    <w:rsid w:val="00D61C2C"/>
    <w:rsid w:val="00D731C2"/>
    <w:rsid w:val="00D77D48"/>
    <w:rsid w:val="00D8747D"/>
    <w:rsid w:val="00D93F35"/>
    <w:rsid w:val="00DB6F4E"/>
    <w:rsid w:val="00DC3896"/>
    <w:rsid w:val="00DE66EB"/>
    <w:rsid w:val="00DE7214"/>
    <w:rsid w:val="00DF24E3"/>
    <w:rsid w:val="00DF36A0"/>
    <w:rsid w:val="00DF74CA"/>
    <w:rsid w:val="00E02385"/>
    <w:rsid w:val="00E149BB"/>
    <w:rsid w:val="00E2337D"/>
    <w:rsid w:val="00E23868"/>
    <w:rsid w:val="00E31DB3"/>
    <w:rsid w:val="00E33A67"/>
    <w:rsid w:val="00E36EA7"/>
    <w:rsid w:val="00E42C7E"/>
    <w:rsid w:val="00E4300C"/>
    <w:rsid w:val="00E56540"/>
    <w:rsid w:val="00E72839"/>
    <w:rsid w:val="00E84502"/>
    <w:rsid w:val="00E96269"/>
    <w:rsid w:val="00EA1B32"/>
    <w:rsid w:val="00EA24EB"/>
    <w:rsid w:val="00EA7618"/>
    <w:rsid w:val="00EC71BE"/>
    <w:rsid w:val="00ED6C96"/>
    <w:rsid w:val="00ED7A97"/>
    <w:rsid w:val="00EE63CB"/>
    <w:rsid w:val="00F077DF"/>
    <w:rsid w:val="00F136C8"/>
    <w:rsid w:val="00F17930"/>
    <w:rsid w:val="00F22A30"/>
    <w:rsid w:val="00F4200F"/>
    <w:rsid w:val="00F5099D"/>
    <w:rsid w:val="00F65E3C"/>
    <w:rsid w:val="00F674FA"/>
    <w:rsid w:val="00F6753A"/>
    <w:rsid w:val="00F7321C"/>
    <w:rsid w:val="00F776D0"/>
    <w:rsid w:val="00F92E14"/>
    <w:rsid w:val="00FA685E"/>
    <w:rsid w:val="00FB0342"/>
    <w:rsid w:val="00FB380D"/>
    <w:rsid w:val="00FB3842"/>
    <w:rsid w:val="00FC1EFC"/>
    <w:rsid w:val="00FD4FCA"/>
    <w:rsid w:val="00FE78C1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73F82"/>
  <w15:docId w15:val="{4AEF0978-0E9F-427B-9ADA-1047964C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hd Знак,Header Titlos Prosforas Знак"/>
    <w:basedOn w:val="a0"/>
    <w:link w:val="a3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FollowedHyperlink"/>
    <w:basedOn w:val="a0"/>
    <w:uiPriority w:val="99"/>
    <w:semiHidden/>
    <w:unhideWhenUsed/>
    <w:rsid w:val="000241E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5D3A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rsid w:val="00DF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70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ig-lr.e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eumis2020.government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eumis2020.government.b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mis2020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User</cp:lastModifiedBy>
  <cp:revision>3</cp:revision>
  <cp:lastPrinted>2017-05-09T10:34:00Z</cp:lastPrinted>
  <dcterms:created xsi:type="dcterms:W3CDTF">2023-08-30T11:16:00Z</dcterms:created>
  <dcterms:modified xsi:type="dcterms:W3CDTF">2023-08-30T11:16:00Z</dcterms:modified>
</cp:coreProperties>
</file>