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0017F" w14:textId="12C4F2DA" w:rsidR="005A6A85" w:rsidRPr="00080C5D" w:rsidRDefault="009B2C25" w:rsidP="00017CAF">
      <w:pPr>
        <w:widowControl w:val="0"/>
        <w:pBdr>
          <w:top w:val="double" w:sz="4" w:space="1" w:color="auto"/>
          <w:left w:val="double" w:sz="4" w:space="4" w:color="auto"/>
          <w:bottom w:val="double" w:sz="4" w:space="1" w:color="auto"/>
          <w:right w:val="double" w:sz="4" w:space="4" w:color="auto"/>
        </w:pBdr>
        <w:tabs>
          <w:tab w:val="center" w:pos="4320"/>
          <w:tab w:val="right" w:pos="8640"/>
        </w:tabs>
        <w:autoSpaceDE w:val="0"/>
        <w:autoSpaceDN w:val="0"/>
        <w:adjustRightInd w:val="0"/>
        <w:spacing w:after="0" w:line="276" w:lineRule="auto"/>
        <w:rPr>
          <w:rFonts w:eastAsia="Times New Roman" w:cs="Times New Roman"/>
          <w:szCs w:val="24"/>
          <w:u w:val="single"/>
        </w:rPr>
      </w:pPr>
      <w:r w:rsidRPr="00080C5D">
        <w:rPr>
          <w:rFonts w:eastAsia="Times New Roman" w:cs="Times New Roman"/>
          <w:noProof/>
          <w:szCs w:val="24"/>
        </w:rPr>
        <w:t xml:space="preserve">      </w:t>
      </w:r>
      <w:r w:rsidR="00A0248E" w:rsidRPr="00080C5D">
        <w:rPr>
          <w:rFonts w:eastAsia="Times New Roman" w:cs="Times New Roman"/>
          <w:noProof/>
          <w:szCs w:val="24"/>
        </w:rPr>
        <w:t xml:space="preserve"> </w:t>
      </w:r>
      <w:r w:rsidRPr="00080C5D">
        <w:rPr>
          <w:rFonts w:eastAsia="Times New Roman" w:cs="Times New Roman"/>
          <w:noProof/>
          <w:szCs w:val="24"/>
        </w:rPr>
        <w:t xml:space="preserve">  </w:t>
      </w:r>
      <w:r w:rsidR="005A6A85" w:rsidRPr="00080C5D">
        <w:rPr>
          <w:rFonts w:eastAsia="Times New Roman" w:cs="Times New Roman"/>
          <w:noProof/>
          <w:szCs w:val="24"/>
        </w:rPr>
        <w:t xml:space="preserve">  </w:t>
      </w:r>
      <w:r w:rsidR="005A6A85" w:rsidRPr="00080C5D">
        <w:rPr>
          <w:rFonts w:eastAsia="Times New Roman" w:cs="Times New Roman"/>
          <w:noProof/>
          <w:szCs w:val="24"/>
          <w:u w:val="single"/>
          <w:lang w:eastAsia="bg-BG"/>
        </w:rPr>
        <w:drawing>
          <wp:inline distT="0" distB="0" distL="0" distR="0" wp14:anchorId="262A40C0" wp14:editId="3E02D639">
            <wp:extent cx="666750" cy="4823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868" cy="487479"/>
                    </a:xfrm>
                    <a:prstGeom prst="rect">
                      <a:avLst/>
                    </a:prstGeom>
                    <a:noFill/>
                    <a:ln>
                      <a:noFill/>
                    </a:ln>
                  </pic:spPr>
                </pic:pic>
              </a:graphicData>
            </a:graphic>
          </wp:inline>
        </w:drawing>
      </w:r>
      <w:r w:rsidR="005A6A85" w:rsidRPr="00080C5D">
        <w:rPr>
          <w:rFonts w:eastAsia="Times New Roman" w:cs="Times New Roman"/>
          <w:noProof/>
          <w:szCs w:val="24"/>
          <w:u w:val="single"/>
        </w:rPr>
        <w:t xml:space="preserve">     </w:t>
      </w:r>
      <w:r w:rsidR="008A5CED" w:rsidRPr="00080C5D">
        <w:rPr>
          <w:rFonts w:eastAsia="Times New Roman" w:cs="Times New Roman"/>
          <w:noProof/>
          <w:szCs w:val="24"/>
          <w:u w:val="single"/>
        </w:rPr>
        <w:t xml:space="preserve">      </w:t>
      </w:r>
      <w:r w:rsidR="005A6A85" w:rsidRPr="00080C5D">
        <w:rPr>
          <w:rFonts w:eastAsia="Times New Roman" w:cs="Times New Roman"/>
          <w:noProof/>
          <w:szCs w:val="24"/>
          <w:u w:val="single"/>
        </w:rPr>
        <w:t xml:space="preserve">      </w:t>
      </w:r>
      <w:r w:rsidR="005A6A85" w:rsidRPr="00080C5D">
        <w:rPr>
          <w:rFonts w:eastAsia="Times New Roman" w:cs="Times New Roman"/>
          <w:i/>
          <w:noProof/>
          <w:szCs w:val="24"/>
          <w:u w:val="single"/>
          <w:lang w:eastAsia="bg-BG"/>
        </w:rPr>
        <w:drawing>
          <wp:inline distT="0" distB="0" distL="0" distR="0" wp14:anchorId="0DE125B2" wp14:editId="116FE11A">
            <wp:extent cx="581025" cy="443974"/>
            <wp:effectExtent l="19050" t="19050" r="9525" b="1333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266" cy="444922"/>
                    </a:xfrm>
                    <a:prstGeom prst="rect">
                      <a:avLst/>
                    </a:prstGeom>
                    <a:noFill/>
                    <a:ln>
                      <a:solidFill>
                        <a:schemeClr val="tx1"/>
                      </a:solidFill>
                    </a:ln>
                  </pic:spPr>
                </pic:pic>
              </a:graphicData>
            </a:graphic>
          </wp:inline>
        </w:drawing>
      </w:r>
      <w:r w:rsidR="005A6A85" w:rsidRPr="00080C5D">
        <w:rPr>
          <w:rFonts w:eastAsia="Times New Roman" w:cs="Times New Roman"/>
          <w:i/>
          <w:noProof/>
          <w:szCs w:val="24"/>
          <w:u w:val="single"/>
        </w:rPr>
        <w:t xml:space="preserve">   </w:t>
      </w:r>
      <w:r w:rsidR="005A6A85"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lang w:val="en-US"/>
        </w:rPr>
        <w:t xml:space="preserve"> </w:t>
      </w:r>
      <w:r w:rsidR="008A5CED" w:rsidRPr="00080C5D">
        <w:rPr>
          <w:rFonts w:eastAsia="Times New Roman" w:cs="Times New Roman"/>
          <w:i/>
          <w:noProof/>
          <w:szCs w:val="24"/>
          <w:u w:val="single"/>
        </w:rPr>
        <w:t xml:space="preserve">       </w:t>
      </w:r>
      <w:r w:rsidR="005A6A85" w:rsidRPr="00080C5D">
        <w:rPr>
          <w:rFonts w:eastAsia="Times New Roman" w:cs="Times New Roman"/>
          <w:i/>
          <w:noProof/>
          <w:szCs w:val="24"/>
          <w:u w:val="single"/>
          <w:lang w:val="ru-RU"/>
        </w:rPr>
        <w:t xml:space="preserve">   </w:t>
      </w:r>
      <w:r w:rsidR="0081207F" w:rsidRPr="00080C5D">
        <w:rPr>
          <w:rFonts w:eastAsia="Times New Roman" w:cs="Times New Roman"/>
          <w:i/>
          <w:noProof/>
          <w:szCs w:val="24"/>
          <w:u w:val="single"/>
          <w:lang w:eastAsia="bg-BG"/>
        </w:rPr>
        <w:drawing>
          <wp:inline distT="0" distB="0" distL="0" distR="0" wp14:anchorId="67430330" wp14:editId="0036FF4C">
            <wp:extent cx="548249" cy="464820"/>
            <wp:effectExtent l="0" t="0" r="444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715" cy="468606"/>
                    </a:xfrm>
                    <a:prstGeom prst="rect">
                      <a:avLst/>
                    </a:prstGeom>
                    <a:noFill/>
                  </pic:spPr>
                </pic:pic>
              </a:graphicData>
            </a:graphic>
          </wp:inline>
        </w:drawing>
      </w:r>
      <w:r w:rsidR="005A6A85"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lang w:val="en-US"/>
        </w:rPr>
        <w:t xml:space="preserve">    </w:t>
      </w:r>
      <w:r w:rsidR="005A6A85" w:rsidRPr="00080C5D">
        <w:rPr>
          <w:rFonts w:eastAsia="Times New Roman" w:cs="Times New Roman"/>
          <w:i/>
          <w:noProof/>
          <w:szCs w:val="24"/>
          <w:u w:val="single"/>
          <w:lang w:val="ru-RU"/>
        </w:rPr>
        <w:t xml:space="preserve"> </w:t>
      </w:r>
      <w:r w:rsidR="008A5CED"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lang w:val="en-US"/>
        </w:rPr>
        <w:t xml:space="preserve">    </w:t>
      </w:r>
      <w:r w:rsidR="008A5CED" w:rsidRPr="00080C5D">
        <w:rPr>
          <w:rFonts w:eastAsia="Times New Roman" w:cs="Times New Roman"/>
          <w:i/>
          <w:noProof/>
          <w:szCs w:val="24"/>
          <w:u w:val="single"/>
        </w:rPr>
        <w:t xml:space="preserve"> </w:t>
      </w:r>
      <w:r w:rsidR="005A6A85" w:rsidRPr="00080C5D">
        <w:rPr>
          <w:rFonts w:eastAsia="Times New Roman" w:cs="Times New Roman"/>
          <w:i/>
          <w:noProof/>
          <w:szCs w:val="24"/>
          <w:u w:val="single"/>
          <w:lang w:val="en-US"/>
        </w:rPr>
        <w:t xml:space="preserve"> </w:t>
      </w:r>
      <w:r w:rsidR="005A6A85"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lang w:eastAsia="bg-BG"/>
        </w:rPr>
        <w:drawing>
          <wp:inline distT="0" distB="0" distL="0" distR="0" wp14:anchorId="57EB2C7E" wp14:editId="7416BAAF">
            <wp:extent cx="1147555" cy="485775"/>
            <wp:effectExtent l="19050" t="19050" r="14605"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6039" cy="485133"/>
                    </a:xfrm>
                    <a:prstGeom prst="rect">
                      <a:avLst/>
                    </a:prstGeom>
                    <a:noFill/>
                    <a:ln>
                      <a:solidFill>
                        <a:schemeClr val="tx1"/>
                      </a:solidFill>
                    </a:ln>
                  </pic:spPr>
                </pic:pic>
              </a:graphicData>
            </a:graphic>
          </wp:inline>
        </w:drawing>
      </w:r>
      <w:r w:rsidR="005A6A85"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rPr>
        <w:t xml:space="preserve">    </w:t>
      </w:r>
      <w:r w:rsidR="005A6A85" w:rsidRPr="00080C5D">
        <w:rPr>
          <w:rFonts w:eastAsia="Times New Roman" w:cs="Times New Roman"/>
          <w:i/>
          <w:noProof/>
          <w:szCs w:val="24"/>
          <w:u w:val="single"/>
          <w:lang w:val="ru-RU"/>
        </w:rPr>
        <w:t xml:space="preserve"> </w:t>
      </w:r>
      <w:r w:rsidR="008A5CED"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lang w:val="en-US"/>
        </w:rPr>
        <w:t xml:space="preserve"> </w:t>
      </w:r>
      <w:r w:rsidR="005A6A85" w:rsidRPr="00080C5D">
        <w:rPr>
          <w:rFonts w:eastAsia="Times New Roman" w:cs="Times New Roman"/>
          <w:i/>
          <w:noProof/>
          <w:szCs w:val="24"/>
          <w:u w:val="single"/>
          <w:lang w:val="ru-RU"/>
        </w:rPr>
        <w:t xml:space="preserve">  </w:t>
      </w:r>
      <w:r w:rsidR="005A6A85" w:rsidRPr="00080C5D">
        <w:rPr>
          <w:rFonts w:eastAsia="Times New Roman" w:cs="Times New Roman"/>
          <w:i/>
          <w:noProof/>
          <w:szCs w:val="24"/>
          <w:u w:val="single"/>
        </w:rPr>
        <w:t xml:space="preserve"> </w:t>
      </w:r>
      <w:r w:rsidR="005A6A85" w:rsidRPr="00080C5D">
        <w:rPr>
          <w:rFonts w:eastAsia="Times New Roman" w:cs="Times New Roman"/>
          <w:noProof/>
          <w:szCs w:val="24"/>
          <w:u w:val="single"/>
          <w:lang w:eastAsia="bg-BG"/>
        </w:rPr>
        <w:drawing>
          <wp:inline distT="0" distB="0" distL="0" distR="0" wp14:anchorId="2704AE68" wp14:editId="79A395BB">
            <wp:extent cx="628650" cy="462854"/>
            <wp:effectExtent l="19050" t="19050" r="19050" b="1397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408" cy="458994"/>
                    </a:xfrm>
                    <a:prstGeom prst="rect">
                      <a:avLst/>
                    </a:prstGeom>
                    <a:noFill/>
                    <a:ln w="9525" cmpd="sng">
                      <a:solidFill>
                        <a:srgbClr val="000000"/>
                      </a:solidFill>
                      <a:miter lim="800000"/>
                      <a:headEnd/>
                      <a:tailEnd/>
                    </a:ln>
                    <a:effectLst/>
                  </pic:spPr>
                </pic:pic>
              </a:graphicData>
            </a:graphic>
          </wp:inline>
        </w:drawing>
      </w:r>
    </w:p>
    <w:p w14:paraId="0C5614B8" w14:textId="77777777" w:rsidR="005A6A85" w:rsidRPr="00080C5D" w:rsidRDefault="005A6A85" w:rsidP="00017CAF">
      <w:pPr>
        <w:widowControl w:val="0"/>
        <w:pBdr>
          <w:top w:val="double" w:sz="4" w:space="1" w:color="auto"/>
          <w:left w:val="double" w:sz="4" w:space="4" w:color="auto"/>
          <w:bottom w:val="double" w:sz="4" w:space="1" w:color="auto"/>
          <w:right w:val="double" w:sz="4" w:space="4" w:color="auto"/>
        </w:pBdr>
        <w:tabs>
          <w:tab w:val="center" w:pos="4320"/>
          <w:tab w:val="right" w:pos="8640"/>
        </w:tabs>
        <w:autoSpaceDE w:val="0"/>
        <w:autoSpaceDN w:val="0"/>
        <w:adjustRightInd w:val="0"/>
        <w:spacing w:after="0" w:line="276" w:lineRule="auto"/>
        <w:jc w:val="center"/>
        <w:rPr>
          <w:rFonts w:eastAsia="Times New Roman" w:cs="Times New Roman"/>
          <w:szCs w:val="24"/>
        </w:rPr>
      </w:pPr>
      <w:r w:rsidRPr="00080C5D">
        <w:rPr>
          <w:rFonts w:eastAsia="Times New Roman" w:cs="Times New Roman"/>
          <w:szCs w:val="24"/>
        </w:rPr>
        <w:t>„Европейски земеделски фонд за развитие на селските райони – Европа инвестира в селските райони”</w:t>
      </w:r>
    </w:p>
    <w:p w14:paraId="5D65976E" w14:textId="77777777" w:rsidR="005A6A85" w:rsidRPr="00080C5D" w:rsidRDefault="005A6A85" w:rsidP="00017CAF">
      <w:pPr>
        <w:widowControl w:val="0"/>
        <w:pBdr>
          <w:top w:val="double" w:sz="4" w:space="1" w:color="auto"/>
          <w:left w:val="double" w:sz="4" w:space="4" w:color="auto"/>
          <w:bottom w:val="double" w:sz="4" w:space="1" w:color="auto"/>
          <w:right w:val="double" w:sz="4" w:space="4" w:color="auto"/>
        </w:pBdr>
        <w:tabs>
          <w:tab w:val="center" w:pos="4320"/>
          <w:tab w:val="right" w:pos="8640"/>
        </w:tabs>
        <w:autoSpaceDE w:val="0"/>
        <w:autoSpaceDN w:val="0"/>
        <w:adjustRightInd w:val="0"/>
        <w:spacing w:after="0" w:line="276" w:lineRule="auto"/>
        <w:jc w:val="center"/>
        <w:rPr>
          <w:rFonts w:eastAsia="Times New Roman" w:cs="Times New Roman"/>
          <w:b/>
          <w:szCs w:val="24"/>
        </w:rPr>
      </w:pPr>
      <w:r w:rsidRPr="00080C5D">
        <w:rPr>
          <w:rFonts w:eastAsia="Times New Roman" w:cs="Times New Roman"/>
          <w:b/>
          <w:szCs w:val="24"/>
        </w:rPr>
        <w:t>ПРОГРАМА ЗА РАЗВИТИЕ НА СЕЛСКИТЕ РАЙОНИ 2014 – 2020 г.</w:t>
      </w:r>
    </w:p>
    <w:p w14:paraId="1D6F46D5" w14:textId="0A7DEC32" w:rsidR="005A6A85" w:rsidRPr="00080C5D" w:rsidRDefault="005A6A85" w:rsidP="00017CAF">
      <w:pPr>
        <w:widowControl w:val="0"/>
        <w:autoSpaceDE w:val="0"/>
        <w:autoSpaceDN w:val="0"/>
        <w:adjustRightInd w:val="0"/>
        <w:spacing w:after="0" w:line="276" w:lineRule="auto"/>
        <w:jc w:val="center"/>
        <w:rPr>
          <w:rFonts w:eastAsia="Times New Roman" w:cs="Times New Roman"/>
          <w:b/>
          <w:iCs/>
          <w:color w:val="000000"/>
          <w:spacing w:val="3"/>
          <w:szCs w:val="24"/>
          <w:lang w:eastAsia="bg-BG"/>
        </w:rPr>
      </w:pPr>
      <w:r w:rsidRPr="00080C5D">
        <w:rPr>
          <w:rFonts w:eastAsia="Times New Roman" w:cs="Times New Roman"/>
          <w:b/>
          <w:iCs/>
          <w:color w:val="000000"/>
          <w:spacing w:val="3"/>
          <w:szCs w:val="24"/>
          <w:lang w:eastAsia="bg-BG"/>
        </w:rPr>
        <w:t xml:space="preserve">Сдружение „МИГ </w:t>
      </w:r>
      <w:r w:rsidR="0081207F" w:rsidRPr="00080C5D">
        <w:rPr>
          <w:rFonts w:eastAsia="Times New Roman" w:cs="Times New Roman"/>
          <w:b/>
          <w:iCs/>
          <w:color w:val="000000"/>
          <w:spacing w:val="3"/>
          <w:szCs w:val="24"/>
          <w:lang w:eastAsia="bg-BG"/>
        </w:rPr>
        <w:t>Луковит-Роман</w:t>
      </w:r>
      <w:r w:rsidRPr="00080C5D">
        <w:rPr>
          <w:rFonts w:eastAsia="Times New Roman" w:cs="Times New Roman"/>
          <w:b/>
          <w:iCs/>
          <w:color w:val="000000"/>
          <w:spacing w:val="3"/>
          <w:szCs w:val="24"/>
          <w:lang w:eastAsia="bg-BG"/>
        </w:rPr>
        <w:t xml:space="preserve">” </w:t>
      </w:r>
    </w:p>
    <w:p w14:paraId="50FD141F" w14:textId="74E57281" w:rsidR="00617FB6" w:rsidRPr="00080C5D" w:rsidRDefault="005A6A85" w:rsidP="00017CAF">
      <w:pPr>
        <w:widowControl w:val="0"/>
        <w:autoSpaceDE w:val="0"/>
        <w:autoSpaceDN w:val="0"/>
        <w:adjustRightInd w:val="0"/>
        <w:spacing w:after="0" w:line="276" w:lineRule="auto"/>
        <w:jc w:val="center"/>
        <w:rPr>
          <w:rFonts w:eastAsia="Times New Roman" w:cs="Times New Roman"/>
          <w:b/>
          <w:iCs/>
          <w:color w:val="000000"/>
          <w:spacing w:val="3"/>
          <w:szCs w:val="24"/>
          <w:lang w:eastAsia="bg-BG"/>
        </w:rPr>
      </w:pPr>
      <w:r w:rsidRPr="00080C5D">
        <w:rPr>
          <w:rFonts w:eastAsia="Times New Roman" w:cs="Times New Roman"/>
          <w:b/>
          <w:iCs/>
          <w:color w:val="000000"/>
          <w:spacing w:val="3"/>
          <w:szCs w:val="24"/>
          <w:lang w:eastAsia="bg-BG"/>
        </w:rPr>
        <w:t xml:space="preserve">Споразумение </w:t>
      </w:r>
      <w:r w:rsidR="0081207F" w:rsidRPr="00080C5D">
        <w:rPr>
          <w:rFonts w:eastAsia="Times New Roman" w:cs="Times New Roman"/>
          <w:b/>
          <w:iCs/>
          <w:color w:val="000000"/>
          <w:spacing w:val="3"/>
          <w:szCs w:val="24"/>
          <w:lang w:eastAsia="bg-BG"/>
        </w:rPr>
        <w:t>за изпълнение на СВОМР №РД50-22/25.03.2019 г</w:t>
      </w:r>
      <w:r w:rsidRPr="00080C5D">
        <w:rPr>
          <w:rFonts w:eastAsia="Times New Roman" w:cs="Times New Roman"/>
          <w:b/>
          <w:iCs/>
          <w:color w:val="000000"/>
          <w:spacing w:val="3"/>
          <w:szCs w:val="24"/>
          <w:lang w:eastAsia="bg-BG"/>
        </w:rPr>
        <w:t>.</w:t>
      </w:r>
    </w:p>
    <w:p w14:paraId="3994F78C" w14:textId="01DB4985" w:rsidR="00870182" w:rsidRPr="00155980" w:rsidRDefault="00870182" w:rsidP="00155980">
      <w:pPr>
        <w:widowControl w:val="0"/>
        <w:autoSpaceDE w:val="0"/>
        <w:autoSpaceDN w:val="0"/>
        <w:adjustRightInd w:val="0"/>
        <w:spacing w:after="0" w:line="276" w:lineRule="auto"/>
        <w:rPr>
          <w:rFonts w:eastAsia="Times New Roman" w:cs="Times New Roman"/>
          <w:b/>
          <w:i/>
          <w:iCs/>
          <w:color w:val="000000"/>
          <w:spacing w:val="3"/>
          <w:szCs w:val="24"/>
          <w:lang w:eastAsia="bg-BG"/>
        </w:rPr>
      </w:pPr>
      <w:bookmarkStart w:id="0" w:name="_Toc175379528"/>
      <w:bookmarkStart w:id="1" w:name="_Toc175470698"/>
      <w:bookmarkStart w:id="2" w:name="_Toc175573961"/>
    </w:p>
    <w:p w14:paraId="73AB09AC" w14:textId="6E490D8D" w:rsidR="008051B1" w:rsidRPr="00155980" w:rsidRDefault="00D3123F" w:rsidP="00155980">
      <w:pPr>
        <w:spacing w:after="0" w:line="276" w:lineRule="auto"/>
        <w:jc w:val="center"/>
        <w:outlineLvl w:val="0"/>
        <w:rPr>
          <w:rFonts w:cs="Times New Roman"/>
          <w:b/>
          <w:szCs w:val="24"/>
          <w:u w:val="single"/>
        </w:rPr>
      </w:pPr>
      <w:r w:rsidRPr="00080C5D">
        <w:rPr>
          <w:rFonts w:cs="Times New Roman"/>
          <w:b/>
          <w:szCs w:val="24"/>
          <w:u w:val="single"/>
        </w:rPr>
        <w:t>О Б Я В А</w:t>
      </w:r>
    </w:p>
    <w:p w14:paraId="039F089E" w14:textId="60CDDE6F" w:rsidR="008051B1" w:rsidRPr="00080C5D" w:rsidRDefault="00155980" w:rsidP="00017CAF">
      <w:pPr>
        <w:spacing w:after="0" w:line="276" w:lineRule="auto"/>
        <w:jc w:val="center"/>
        <w:outlineLvl w:val="0"/>
        <w:rPr>
          <w:rFonts w:cs="Times New Roman"/>
          <w:b/>
          <w:szCs w:val="24"/>
        </w:rPr>
      </w:pPr>
      <w:r>
        <w:rPr>
          <w:rFonts w:cs="Times New Roman"/>
          <w:b/>
          <w:szCs w:val="24"/>
        </w:rPr>
        <w:t>з</w:t>
      </w:r>
      <w:r w:rsidR="008051B1" w:rsidRPr="00080C5D">
        <w:rPr>
          <w:rFonts w:cs="Times New Roman"/>
          <w:b/>
          <w:szCs w:val="24"/>
        </w:rPr>
        <w:t xml:space="preserve">а прием на проектни предложения към Стратегията за водено от общностите местно развитие на Сдружение „Местна инициативна група </w:t>
      </w:r>
      <w:r w:rsidR="0081207F" w:rsidRPr="00080C5D">
        <w:rPr>
          <w:rFonts w:cs="Times New Roman"/>
          <w:b/>
          <w:szCs w:val="24"/>
        </w:rPr>
        <w:t>Луковит-Роман</w:t>
      </w:r>
      <w:r w:rsidR="008051B1" w:rsidRPr="00080C5D">
        <w:rPr>
          <w:rFonts w:cs="Times New Roman"/>
          <w:b/>
          <w:szCs w:val="24"/>
        </w:rPr>
        <w:t>“, финансирана чрез „Програма за развитие на селските райони 2014 – 2020 г.</w:t>
      </w:r>
    </w:p>
    <w:p w14:paraId="071A5611" w14:textId="77777777" w:rsidR="00D3123F" w:rsidRPr="00080C5D" w:rsidRDefault="00D3123F" w:rsidP="00017CAF">
      <w:pPr>
        <w:spacing w:after="0" w:line="276" w:lineRule="auto"/>
        <w:jc w:val="center"/>
        <w:outlineLvl w:val="0"/>
        <w:rPr>
          <w:rFonts w:cs="Times New Roman"/>
          <w:b/>
          <w:szCs w:val="24"/>
        </w:rPr>
      </w:pPr>
    </w:p>
    <w:p w14:paraId="1864744A" w14:textId="56169624" w:rsidR="00D3123F" w:rsidRPr="00080C5D" w:rsidRDefault="005A6A85" w:rsidP="00017CAF">
      <w:pPr>
        <w:spacing w:after="0" w:line="276" w:lineRule="auto"/>
        <w:jc w:val="center"/>
        <w:outlineLvl w:val="0"/>
        <w:rPr>
          <w:rFonts w:cs="Times New Roman"/>
          <w:b/>
          <w:szCs w:val="24"/>
        </w:rPr>
      </w:pPr>
      <w:r w:rsidRPr="00080C5D">
        <w:rPr>
          <w:rFonts w:cs="Times New Roman"/>
          <w:b/>
          <w:szCs w:val="24"/>
        </w:rPr>
        <w:t>СДРУЖЕНИЕ „</w:t>
      </w:r>
      <w:r w:rsidR="00D3123F" w:rsidRPr="00080C5D">
        <w:rPr>
          <w:rFonts w:cs="Times New Roman"/>
          <w:b/>
          <w:szCs w:val="24"/>
        </w:rPr>
        <w:t xml:space="preserve">МЕСТНА ИНИЦИАТИВНА ГРУПА </w:t>
      </w:r>
      <w:r w:rsidR="0081207F" w:rsidRPr="00080C5D">
        <w:rPr>
          <w:rFonts w:cs="Times New Roman"/>
          <w:b/>
          <w:szCs w:val="24"/>
        </w:rPr>
        <w:t>ЛУКОВИТ-РОМАН</w:t>
      </w:r>
      <w:r w:rsidRPr="00080C5D">
        <w:rPr>
          <w:rFonts w:cs="Times New Roman"/>
          <w:b/>
          <w:szCs w:val="24"/>
        </w:rPr>
        <w:t>“</w:t>
      </w:r>
    </w:p>
    <w:p w14:paraId="60CDF181" w14:textId="77777777" w:rsidR="00D3123F" w:rsidRPr="00080C5D" w:rsidRDefault="00D3123F" w:rsidP="00017CAF">
      <w:pPr>
        <w:spacing w:after="0" w:line="276" w:lineRule="auto"/>
        <w:jc w:val="center"/>
        <w:outlineLvl w:val="0"/>
        <w:rPr>
          <w:rFonts w:cs="Times New Roman"/>
          <w:b/>
          <w:szCs w:val="24"/>
        </w:rPr>
      </w:pPr>
      <w:r w:rsidRPr="00080C5D">
        <w:rPr>
          <w:rFonts w:cs="Times New Roman"/>
          <w:b/>
          <w:caps/>
          <w:szCs w:val="24"/>
        </w:rPr>
        <w:t>Открива процедура за подбор на проектни предложения</w:t>
      </w:r>
    </w:p>
    <w:p w14:paraId="57B6CBA9" w14:textId="77777777" w:rsidR="00D3123F" w:rsidRPr="00080C5D" w:rsidRDefault="00D3123F" w:rsidP="00017CAF">
      <w:pPr>
        <w:spacing w:after="0" w:line="276" w:lineRule="auto"/>
        <w:jc w:val="center"/>
        <w:outlineLvl w:val="0"/>
        <w:rPr>
          <w:rFonts w:cs="Times New Roman"/>
          <w:b/>
          <w:caps/>
          <w:szCs w:val="24"/>
        </w:rPr>
      </w:pPr>
      <w:r w:rsidRPr="00080C5D">
        <w:rPr>
          <w:rFonts w:cs="Times New Roman"/>
          <w:b/>
          <w:caps/>
          <w:szCs w:val="24"/>
        </w:rPr>
        <w:t>за предОставяне на безвъзмездна финансова помощ</w:t>
      </w:r>
    </w:p>
    <w:p w14:paraId="1AAFFE85" w14:textId="77777777" w:rsidR="00C10A47" w:rsidRPr="00080C5D" w:rsidRDefault="00C10A47" w:rsidP="00017CAF">
      <w:pPr>
        <w:spacing w:after="0" w:line="276" w:lineRule="auto"/>
        <w:jc w:val="center"/>
        <w:outlineLvl w:val="0"/>
        <w:rPr>
          <w:rFonts w:cs="Times New Roman"/>
          <w:b/>
          <w:caps/>
          <w:szCs w:val="24"/>
          <w:lang w:val="en-US"/>
        </w:rPr>
      </w:pPr>
    </w:p>
    <w:tbl>
      <w:tblPr>
        <w:tblStyle w:val="a8"/>
        <w:tblW w:w="0" w:type="auto"/>
        <w:shd w:val="clear" w:color="auto" w:fill="F2F2F2" w:themeFill="background1" w:themeFillShade="F2"/>
        <w:tblLook w:val="04A0" w:firstRow="1" w:lastRow="0" w:firstColumn="1" w:lastColumn="0" w:noHBand="0" w:noVBand="1"/>
      </w:tblPr>
      <w:tblGrid>
        <w:gridCol w:w="10763"/>
      </w:tblGrid>
      <w:tr w:rsidR="008051B1" w:rsidRPr="00080C5D" w14:paraId="003BE79E" w14:textId="77777777" w:rsidTr="008C33D1">
        <w:tc>
          <w:tcPr>
            <w:tcW w:w="10881" w:type="dxa"/>
            <w:shd w:val="clear" w:color="auto" w:fill="F2F2F2" w:themeFill="background1" w:themeFillShade="F2"/>
          </w:tcPr>
          <w:p w14:paraId="6CC3EBE9" w14:textId="7D7FA5A8" w:rsidR="00C10A47" w:rsidRPr="00080C5D" w:rsidRDefault="008051B1" w:rsidP="00017CAF">
            <w:pPr>
              <w:spacing w:line="276" w:lineRule="auto"/>
              <w:jc w:val="center"/>
              <w:outlineLvl w:val="0"/>
              <w:rPr>
                <w:rStyle w:val="indented"/>
                <w:rFonts w:cs="Times New Roman"/>
                <w:b/>
                <w:szCs w:val="24"/>
              </w:rPr>
            </w:pPr>
            <w:r w:rsidRPr="00080C5D">
              <w:rPr>
                <w:rStyle w:val="indented"/>
                <w:rFonts w:cs="Times New Roman"/>
                <w:b/>
                <w:szCs w:val="24"/>
              </w:rPr>
              <w:t>Процедура з</w:t>
            </w:r>
            <w:r w:rsidR="000942A1" w:rsidRPr="00080C5D">
              <w:rPr>
                <w:rStyle w:val="indented"/>
                <w:rFonts w:cs="Times New Roman"/>
                <w:b/>
                <w:szCs w:val="24"/>
              </w:rPr>
              <w:t>а подбор на проектни предложения</w:t>
            </w:r>
            <w:r w:rsidRPr="00080C5D">
              <w:rPr>
                <w:rStyle w:val="indented"/>
                <w:rFonts w:cs="Times New Roman"/>
                <w:b/>
                <w:szCs w:val="24"/>
              </w:rPr>
              <w:t xml:space="preserve">: </w:t>
            </w:r>
          </w:p>
          <w:p w14:paraId="48D07596" w14:textId="744CC7C5" w:rsidR="008051B1" w:rsidRPr="006E49B3" w:rsidRDefault="003F7A0D" w:rsidP="00CD3206">
            <w:pPr>
              <w:spacing w:line="276" w:lineRule="auto"/>
              <w:jc w:val="center"/>
              <w:outlineLvl w:val="0"/>
              <w:rPr>
                <w:b/>
              </w:rPr>
            </w:pPr>
            <w:r w:rsidRPr="003F7A0D">
              <w:rPr>
                <w:rStyle w:val="indented"/>
                <w:b/>
              </w:rPr>
              <w:t xml:space="preserve"> </w:t>
            </w:r>
            <w:r w:rsidR="006E49B3" w:rsidRPr="006E49B3">
              <w:rPr>
                <w:rStyle w:val="indented"/>
                <w:b/>
              </w:rPr>
              <w:t>BG06RDNP001-1</w:t>
            </w:r>
            <w:r w:rsidR="006E49B3" w:rsidRPr="00B00E3B">
              <w:rPr>
                <w:rStyle w:val="indented"/>
                <w:b/>
              </w:rPr>
              <w:t>9.</w:t>
            </w:r>
            <w:r w:rsidR="00CD3206">
              <w:rPr>
                <w:rStyle w:val="indented"/>
                <w:b/>
                <w:lang w:val="en-US"/>
              </w:rPr>
              <w:t>669</w:t>
            </w:r>
            <w:r w:rsidR="00B00E3B">
              <w:rPr>
                <w:rStyle w:val="indented"/>
                <w:b/>
              </w:rPr>
              <w:t xml:space="preserve"> </w:t>
            </w:r>
            <w:r w:rsidR="006E49B3" w:rsidRPr="006E49B3">
              <w:rPr>
                <w:rStyle w:val="indented"/>
                <w:b/>
              </w:rPr>
              <w:t>М</w:t>
            </w:r>
            <w:r w:rsidR="00B00E3B">
              <w:rPr>
                <w:rStyle w:val="indented"/>
                <w:b/>
              </w:rPr>
              <w:t>ИГ Луковит-Роман</w:t>
            </w:r>
            <w:r w:rsidR="002A4A9D">
              <w:rPr>
                <w:rStyle w:val="indented"/>
                <w:b/>
              </w:rPr>
              <w:t xml:space="preserve"> - мярка 19-8</w:t>
            </w:r>
            <w:r w:rsidR="000472E1">
              <w:rPr>
                <w:rStyle w:val="indented"/>
                <w:b/>
              </w:rPr>
              <w:t>.6</w:t>
            </w:r>
            <w:r w:rsidR="006E49B3" w:rsidRPr="006E49B3">
              <w:rPr>
                <w:rStyle w:val="indented"/>
                <w:b/>
              </w:rPr>
              <w:t xml:space="preserve"> </w:t>
            </w:r>
            <w:r w:rsidR="002A4A9D" w:rsidRPr="002A4A9D">
              <w:rPr>
                <w:rStyle w:val="indented"/>
                <w:b/>
              </w:rPr>
              <w:t>„И</w:t>
            </w:r>
            <w:r w:rsidR="002A4A9D">
              <w:rPr>
                <w:rStyle w:val="indented"/>
                <w:b/>
              </w:rPr>
              <w:t>нвестиции в технологии за лесовъдства и в преработката, мобилизирането и търговията на горски продукти</w:t>
            </w:r>
            <w:r w:rsidR="002A4A9D" w:rsidRPr="002A4A9D">
              <w:rPr>
                <w:rStyle w:val="indented"/>
                <w:b/>
              </w:rPr>
              <w:t>”</w:t>
            </w:r>
          </w:p>
        </w:tc>
      </w:tr>
    </w:tbl>
    <w:p w14:paraId="558AF8BD" w14:textId="77777777" w:rsidR="004F06E1" w:rsidRDefault="004F06E1" w:rsidP="00017CAF">
      <w:pPr>
        <w:shd w:val="clear" w:color="auto" w:fill="FEFEFE"/>
        <w:spacing w:after="0" w:line="276" w:lineRule="auto"/>
        <w:rPr>
          <w:rFonts w:cs="Times New Roman"/>
          <w:b/>
          <w:szCs w:val="24"/>
          <w:lang w:eastAsia="bg-BG"/>
        </w:rPr>
      </w:pPr>
    </w:p>
    <w:p w14:paraId="1FD6BAF0" w14:textId="722D7914" w:rsidR="00D3123F" w:rsidRPr="00080C5D" w:rsidRDefault="00D3123F" w:rsidP="00017CAF">
      <w:pPr>
        <w:shd w:val="clear" w:color="auto" w:fill="FEFEFE"/>
        <w:spacing w:after="0" w:line="276" w:lineRule="auto"/>
        <w:rPr>
          <w:rFonts w:cs="Times New Roman"/>
          <w:b/>
          <w:szCs w:val="24"/>
          <w:lang w:eastAsia="bg-BG"/>
        </w:rPr>
      </w:pPr>
      <w:r w:rsidRPr="00080C5D">
        <w:rPr>
          <w:rFonts w:cs="Times New Roman"/>
          <w:b/>
          <w:szCs w:val="24"/>
          <w:lang w:eastAsia="bg-BG"/>
        </w:rPr>
        <w:t>1. НАИМЕНОВАНИЕ НА МЯРКАТА ОТ СТРАТЕГИЯТА ЗА ВОМР</w:t>
      </w:r>
    </w:p>
    <w:tbl>
      <w:tblPr>
        <w:tblStyle w:val="a8"/>
        <w:tblW w:w="0" w:type="auto"/>
        <w:tblLook w:val="04A0" w:firstRow="1" w:lastRow="0" w:firstColumn="1" w:lastColumn="0" w:noHBand="0" w:noVBand="1"/>
      </w:tblPr>
      <w:tblGrid>
        <w:gridCol w:w="10763"/>
      </w:tblGrid>
      <w:tr w:rsidR="00C10A47" w:rsidRPr="00080C5D" w14:paraId="0497215A" w14:textId="77777777" w:rsidTr="008C33D1">
        <w:tc>
          <w:tcPr>
            <w:tcW w:w="10881" w:type="dxa"/>
          </w:tcPr>
          <w:p w14:paraId="0BCE4E1B" w14:textId="6FB81E6F" w:rsidR="00C10A47" w:rsidRPr="00080C5D" w:rsidRDefault="00B54ECE" w:rsidP="002A4A9D">
            <w:pPr>
              <w:shd w:val="clear" w:color="auto" w:fill="FEFEFE"/>
              <w:spacing w:line="276" w:lineRule="auto"/>
              <w:rPr>
                <w:rStyle w:val="indented"/>
                <w:rFonts w:cs="Times New Roman"/>
                <w:b/>
                <w:szCs w:val="24"/>
              </w:rPr>
            </w:pPr>
            <w:r>
              <w:rPr>
                <w:rStyle w:val="indented"/>
                <w:rFonts w:cs="Times New Roman"/>
                <w:b/>
                <w:szCs w:val="24"/>
              </w:rPr>
              <w:t>19-</w:t>
            </w:r>
            <w:r w:rsidR="003F7A0D">
              <w:t xml:space="preserve"> </w:t>
            </w:r>
            <w:r w:rsidR="002A4A9D">
              <w:rPr>
                <w:rStyle w:val="indented"/>
                <w:rFonts w:cs="Times New Roman"/>
                <w:b/>
                <w:szCs w:val="24"/>
              </w:rPr>
              <w:t>8</w:t>
            </w:r>
            <w:r w:rsidR="000472E1">
              <w:rPr>
                <w:rStyle w:val="indented"/>
                <w:rFonts w:cs="Times New Roman"/>
                <w:b/>
                <w:szCs w:val="24"/>
              </w:rPr>
              <w:t>.6</w:t>
            </w:r>
            <w:r w:rsidR="003F7A0D" w:rsidRPr="003F7A0D">
              <w:rPr>
                <w:rStyle w:val="indented"/>
                <w:rFonts w:cs="Times New Roman"/>
                <w:b/>
                <w:szCs w:val="24"/>
              </w:rPr>
              <w:t xml:space="preserve">. </w:t>
            </w:r>
            <w:r w:rsidR="002A4A9D" w:rsidRPr="002A4A9D">
              <w:rPr>
                <w:rStyle w:val="indented"/>
                <w:b/>
              </w:rPr>
              <w:t>„И</w:t>
            </w:r>
            <w:r w:rsidR="002A4A9D">
              <w:rPr>
                <w:rStyle w:val="indented"/>
                <w:b/>
              </w:rPr>
              <w:t>нвестиции в технологии за лесовъдства и в преработката, мобилизирането и търговията на горски продукти</w:t>
            </w:r>
            <w:r w:rsidR="002A4A9D" w:rsidRPr="002A4A9D">
              <w:rPr>
                <w:rStyle w:val="indented"/>
                <w:b/>
              </w:rPr>
              <w:t>”</w:t>
            </w:r>
            <w:r w:rsidR="002A4A9D" w:rsidRPr="003F7A0D">
              <w:rPr>
                <w:rStyle w:val="indented"/>
                <w:rFonts w:cs="Times New Roman"/>
                <w:b/>
                <w:szCs w:val="24"/>
              </w:rPr>
              <w:t xml:space="preserve"> </w:t>
            </w:r>
            <w:r w:rsidR="002A4A9D">
              <w:rPr>
                <w:rStyle w:val="indented"/>
                <w:rFonts w:cs="Times New Roman"/>
                <w:b/>
                <w:szCs w:val="24"/>
              </w:rPr>
              <w:t xml:space="preserve"> </w:t>
            </w:r>
          </w:p>
        </w:tc>
      </w:tr>
    </w:tbl>
    <w:p w14:paraId="34E72E5F" w14:textId="77777777" w:rsidR="00C10A47" w:rsidRPr="00080C5D" w:rsidRDefault="00C10A47" w:rsidP="00017CAF">
      <w:pPr>
        <w:shd w:val="clear" w:color="auto" w:fill="FEFEFE"/>
        <w:spacing w:after="0" w:line="276" w:lineRule="auto"/>
        <w:rPr>
          <w:rStyle w:val="indented"/>
          <w:rFonts w:cs="Times New Roman"/>
          <w:b/>
          <w:szCs w:val="24"/>
          <w:lang w:val="en-US" w:eastAsia="bg-BG"/>
        </w:rPr>
      </w:pPr>
    </w:p>
    <w:p w14:paraId="23EAC097" w14:textId="77777777" w:rsidR="00D3123F" w:rsidRPr="00080C5D" w:rsidRDefault="00D3123F" w:rsidP="00017CAF">
      <w:pPr>
        <w:shd w:val="clear" w:color="auto" w:fill="FEFEFE"/>
        <w:spacing w:after="0" w:line="276" w:lineRule="auto"/>
        <w:rPr>
          <w:rFonts w:cs="Times New Roman"/>
          <w:b/>
          <w:szCs w:val="24"/>
          <w:lang w:eastAsia="bg-BG"/>
        </w:rPr>
      </w:pPr>
      <w:r w:rsidRPr="00080C5D">
        <w:rPr>
          <w:rFonts w:cs="Times New Roman"/>
          <w:b/>
          <w:szCs w:val="24"/>
          <w:lang w:eastAsia="bg-BG"/>
        </w:rPr>
        <w:t>2. ДОПУСТИМИ КАНДИДАТИ</w:t>
      </w:r>
    </w:p>
    <w:tbl>
      <w:tblPr>
        <w:tblStyle w:val="a8"/>
        <w:tblW w:w="0" w:type="auto"/>
        <w:tblLook w:val="04A0" w:firstRow="1" w:lastRow="0" w:firstColumn="1" w:lastColumn="0" w:noHBand="0" w:noVBand="1"/>
      </w:tblPr>
      <w:tblGrid>
        <w:gridCol w:w="10763"/>
      </w:tblGrid>
      <w:tr w:rsidR="008A5CED" w:rsidRPr="00080C5D" w14:paraId="644513E2" w14:textId="77777777" w:rsidTr="008C33D1">
        <w:tc>
          <w:tcPr>
            <w:tcW w:w="10881" w:type="dxa"/>
          </w:tcPr>
          <w:p w14:paraId="2E04864C" w14:textId="77777777" w:rsidR="002A4A9D" w:rsidRPr="002A4A9D" w:rsidRDefault="002A4A9D" w:rsidP="002A4A9D">
            <w:pPr>
              <w:pBdr>
                <w:top w:val="single" w:sz="4" w:space="1" w:color="auto"/>
                <w:left w:val="single" w:sz="4" w:space="4" w:color="auto"/>
                <w:bottom w:val="single" w:sz="4" w:space="1" w:color="auto"/>
                <w:right w:val="single" w:sz="4" w:space="4" w:color="auto"/>
              </w:pBdr>
              <w:autoSpaceDE w:val="0"/>
              <w:autoSpaceDN w:val="0"/>
              <w:adjustRightInd w:val="0"/>
              <w:jc w:val="both"/>
              <w:rPr>
                <w:b/>
                <w:szCs w:val="24"/>
              </w:rPr>
            </w:pPr>
            <w:r w:rsidRPr="002A4A9D">
              <w:rPr>
                <w:b/>
                <w:szCs w:val="24"/>
              </w:rPr>
              <w:t>Допустими кандидати по настоящата процедура са:</w:t>
            </w:r>
          </w:p>
          <w:p w14:paraId="7EA0D45E" w14:textId="77777777" w:rsidR="002A4A9D" w:rsidRPr="002A4A9D" w:rsidRDefault="002A4A9D" w:rsidP="00A0575E">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
                <w:szCs w:val="24"/>
              </w:rPr>
            </w:pPr>
            <w:r w:rsidRPr="002A4A9D">
              <w:rPr>
                <w:b/>
                <w:szCs w:val="24"/>
              </w:rPr>
              <w:t>Физически и юридически лица и местни поделения на вероизповеданията, собственици на горски територии;</w:t>
            </w:r>
          </w:p>
          <w:p w14:paraId="7B001447" w14:textId="77777777" w:rsidR="002A4A9D" w:rsidRPr="002A4A9D" w:rsidRDefault="002A4A9D" w:rsidP="00A0575E">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
                <w:szCs w:val="24"/>
              </w:rPr>
            </w:pPr>
            <w:r w:rsidRPr="002A4A9D">
              <w:rPr>
                <w:b/>
                <w:szCs w:val="24"/>
              </w:rPr>
              <w:t>Общини, собственици на горски територии;</w:t>
            </w:r>
          </w:p>
          <w:p w14:paraId="4D16EAFE" w14:textId="77777777" w:rsidR="002A4A9D" w:rsidRPr="002A4A9D" w:rsidRDefault="002A4A9D" w:rsidP="00A0575E">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
                <w:szCs w:val="24"/>
              </w:rPr>
            </w:pPr>
            <w:r w:rsidRPr="002A4A9D">
              <w:rPr>
                <w:b/>
                <w:szCs w:val="24"/>
              </w:rPr>
              <w:t>Сдружения на частни собственици на горски територии или общини;</w:t>
            </w:r>
          </w:p>
          <w:p w14:paraId="0341EE37" w14:textId="77777777" w:rsidR="002A4A9D" w:rsidRPr="002A4A9D" w:rsidRDefault="002A4A9D" w:rsidP="00A0575E">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
                <w:szCs w:val="24"/>
              </w:rPr>
            </w:pPr>
            <w:r w:rsidRPr="002A4A9D">
              <w:rPr>
                <w:b/>
                <w:szCs w:val="24"/>
              </w:rPr>
              <w:t>МСП;</w:t>
            </w:r>
          </w:p>
          <w:p w14:paraId="02D94552" w14:textId="3E673438" w:rsidR="004E7092" w:rsidRPr="002A4A9D" w:rsidRDefault="002A4A9D" w:rsidP="00A0575E">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szCs w:val="24"/>
              </w:rPr>
            </w:pPr>
            <w:r w:rsidRPr="002A4A9D">
              <w:rPr>
                <w:b/>
                <w:szCs w:val="24"/>
              </w:rPr>
              <w:t>Горски стопани, доставчици на услуги.</w:t>
            </w:r>
          </w:p>
        </w:tc>
      </w:tr>
    </w:tbl>
    <w:p w14:paraId="4918AEAD" w14:textId="77777777" w:rsidR="008A5CED" w:rsidRPr="00080C5D" w:rsidRDefault="008A5CED" w:rsidP="00017CAF">
      <w:pPr>
        <w:shd w:val="clear" w:color="auto" w:fill="FEFEFE"/>
        <w:spacing w:after="0" w:line="276" w:lineRule="auto"/>
        <w:rPr>
          <w:rFonts w:cs="Times New Roman"/>
          <w:b/>
          <w:szCs w:val="24"/>
          <w:lang w:eastAsia="bg-BG"/>
        </w:rPr>
      </w:pPr>
    </w:p>
    <w:p w14:paraId="52F21111" w14:textId="77777777" w:rsidR="00D3123F" w:rsidRPr="00080C5D" w:rsidRDefault="00D3123F" w:rsidP="00017CAF">
      <w:pPr>
        <w:shd w:val="clear" w:color="auto" w:fill="FEFEFE"/>
        <w:spacing w:after="0" w:line="276" w:lineRule="auto"/>
        <w:rPr>
          <w:rFonts w:cs="Times New Roman"/>
          <w:b/>
          <w:szCs w:val="24"/>
          <w:lang w:eastAsia="bg-BG"/>
        </w:rPr>
      </w:pPr>
      <w:r w:rsidRPr="00080C5D">
        <w:rPr>
          <w:rFonts w:cs="Times New Roman"/>
          <w:b/>
          <w:szCs w:val="24"/>
          <w:lang w:eastAsia="bg-BG"/>
        </w:rPr>
        <w:t>3. ДОПУСТИМИ ДЕЙНОСТИ</w:t>
      </w:r>
    </w:p>
    <w:tbl>
      <w:tblPr>
        <w:tblStyle w:val="a8"/>
        <w:tblW w:w="0" w:type="auto"/>
        <w:tblLook w:val="04A0" w:firstRow="1" w:lastRow="0" w:firstColumn="1" w:lastColumn="0" w:noHBand="0" w:noVBand="1"/>
      </w:tblPr>
      <w:tblGrid>
        <w:gridCol w:w="10763"/>
      </w:tblGrid>
      <w:tr w:rsidR="008A5CED" w:rsidRPr="00080C5D" w14:paraId="5153581F" w14:textId="77777777" w:rsidTr="008C33D1">
        <w:tc>
          <w:tcPr>
            <w:tcW w:w="10881" w:type="dxa"/>
          </w:tcPr>
          <w:p w14:paraId="0E58A345" w14:textId="77777777" w:rsidR="002A4A9D" w:rsidRPr="002A4A9D" w:rsidRDefault="002A4A9D" w:rsidP="002A4A9D">
            <w:pPr>
              <w:pBdr>
                <w:top w:val="single" w:sz="4" w:space="1" w:color="auto"/>
                <w:left w:val="single" w:sz="4" w:space="4" w:color="auto"/>
                <w:bottom w:val="single" w:sz="4" w:space="1" w:color="auto"/>
                <w:right w:val="single" w:sz="4" w:space="4" w:color="auto"/>
              </w:pBdr>
              <w:jc w:val="both"/>
              <w:rPr>
                <w:b/>
                <w:szCs w:val="24"/>
              </w:rPr>
            </w:pPr>
            <w:r w:rsidRPr="002A4A9D">
              <w:rPr>
                <w:b/>
                <w:szCs w:val="24"/>
              </w:rPr>
              <w:t>Финансова подкрепа ще се предоставя за една или няколко от изброените дейности:</w:t>
            </w:r>
          </w:p>
          <w:p w14:paraId="797C4968" w14:textId="77777777" w:rsidR="002A4A9D" w:rsidRPr="002A4A9D" w:rsidRDefault="002A4A9D" w:rsidP="00A0575E">
            <w:pPr>
              <w:numPr>
                <w:ilvl w:val="0"/>
                <w:numId w:val="5"/>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Дейности за преработка и маркетинг на горски продукти:</w:t>
            </w:r>
          </w:p>
          <w:p w14:paraId="30191597" w14:textId="77777777" w:rsidR="002A4A9D" w:rsidRPr="002A4A9D" w:rsidRDefault="002A4A9D" w:rsidP="00A0575E">
            <w:pPr>
              <w:numPr>
                <w:ilvl w:val="0"/>
                <w:numId w:val="6"/>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 xml:space="preserve">Машинно обработване на дървен материал чрез бичене, </w:t>
            </w:r>
            <w:proofErr w:type="spellStart"/>
            <w:r w:rsidRPr="002A4A9D">
              <w:rPr>
                <w:b/>
                <w:szCs w:val="24"/>
                <w:lang w:eastAsia="bg-BG"/>
              </w:rPr>
              <w:t>фрезоване</w:t>
            </w:r>
            <w:proofErr w:type="spellEnd"/>
            <w:r w:rsidRPr="002A4A9D">
              <w:rPr>
                <w:b/>
                <w:szCs w:val="24"/>
                <w:lang w:eastAsia="bg-BG"/>
              </w:rPr>
              <w:t>, комбинирано или рязане или развиване;</w:t>
            </w:r>
          </w:p>
          <w:p w14:paraId="4D5E109B" w14:textId="77777777" w:rsidR="002A4A9D" w:rsidRPr="002A4A9D" w:rsidRDefault="002A4A9D" w:rsidP="00A0575E">
            <w:pPr>
              <w:numPr>
                <w:ilvl w:val="0"/>
                <w:numId w:val="6"/>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 xml:space="preserve">Нарязване, сортиране, рендосване, профилиране, </w:t>
            </w:r>
            <w:proofErr w:type="spellStart"/>
            <w:r w:rsidRPr="002A4A9D">
              <w:rPr>
                <w:b/>
                <w:szCs w:val="24"/>
                <w:lang w:eastAsia="bg-BG"/>
              </w:rPr>
              <w:t>окрайчване</w:t>
            </w:r>
            <w:proofErr w:type="spellEnd"/>
            <w:r w:rsidRPr="002A4A9D">
              <w:rPr>
                <w:b/>
                <w:szCs w:val="24"/>
                <w:lang w:eastAsia="bg-BG"/>
              </w:rPr>
              <w:t>, фасониране и шлайфане;</w:t>
            </w:r>
          </w:p>
          <w:p w14:paraId="2CAFE07A" w14:textId="77777777" w:rsidR="002A4A9D" w:rsidRPr="002A4A9D" w:rsidRDefault="002A4A9D" w:rsidP="00A0575E">
            <w:pPr>
              <w:numPr>
                <w:ilvl w:val="0"/>
                <w:numId w:val="6"/>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Сушене и импрегниране на дървен материал;</w:t>
            </w:r>
          </w:p>
          <w:p w14:paraId="72437DD0" w14:textId="77777777" w:rsidR="002A4A9D" w:rsidRPr="002A4A9D" w:rsidRDefault="002A4A9D" w:rsidP="00A0575E">
            <w:pPr>
              <w:numPr>
                <w:ilvl w:val="0"/>
                <w:numId w:val="6"/>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 xml:space="preserve">Производство на дървесен талаш, дървесно брашно, технологични трески, дървесни </w:t>
            </w:r>
            <w:proofErr w:type="spellStart"/>
            <w:r w:rsidRPr="002A4A9D">
              <w:rPr>
                <w:b/>
                <w:szCs w:val="24"/>
                <w:lang w:eastAsia="bg-BG"/>
              </w:rPr>
              <w:t>пелети</w:t>
            </w:r>
            <w:proofErr w:type="spellEnd"/>
            <w:r w:rsidRPr="002A4A9D">
              <w:rPr>
                <w:b/>
                <w:szCs w:val="24"/>
                <w:lang w:eastAsia="bg-BG"/>
              </w:rPr>
              <w:t xml:space="preserve"> и брикети от необработени дървени материали, вършина и други дървесни отпадъци;</w:t>
            </w:r>
          </w:p>
          <w:p w14:paraId="223E7812" w14:textId="77777777" w:rsidR="002A4A9D" w:rsidRPr="002A4A9D" w:rsidRDefault="002A4A9D" w:rsidP="00A0575E">
            <w:pPr>
              <w:numPr>
                <w:ilvl w:val="0"/>
                <w:numId w:val="6"/>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Производство на колове или колчета: белене, цепене, заостряне, пакетиране;</w:t>
            </w:r>
          </w:p>
          <w:p w14:paraId="51910668" w14:textId="77777777" w:rsidR="002A4A9D" w:rsidRPr="002A4A9D" w:rsidRDefault="002A4A9D" w:rsidP="00A0575E">
            <w:pPr>
              <w:numPr>
                <w:ilvl w:val="0"/>
                <w:numId w:val="6"/>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Производство на дърва за горене: рязане, цепене, пакетиране;</w:t>
            </w:r>
          </w:p>
          <w:p w14:paraId="43AFA2A4" w14:textId="77777777" w:rsidR="002A4A9D" w:rsidRPr="002A4A9D" w:rsidRDefault="002A4A9D" w:rsidP="00A0575E">
            <w:pPr>
              <w:numPr>
                <w:ilvl w:val="0"/>
                <w:numId w:val="5"/>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Дейности за подобряване на икономическата стойност на горите:</w:t>
            </w:r>
          </w:p>
          <w:p w14:paraId="43FF45C5" w14:textId="77777777" w:rsidR="002A4A9D" w:rsidRPr="002A4A9D" w:rsidRDefault="002A4A9D" w:rsidP="00A0575E">
            <w:pPr>
              <w:numPr>
                <w:ilvl w:val="0"/>
                <w:numId w:val="7"/>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 xml:space="preserve">Осветления и </w:t>
            </w:r>
            <w:proofErr w:type="spellStart"/>
            <w:r w:rsidRPr="002A4A9D">
              <w:rPr>
                <w:b/>
                <w:szCs w:val="24"/>
                <w:lang w:eastAsia="bg-BG"/>
              </w:rPr>
              <w:t>прочистки</w:t>
            </w:r>
            <w:proofErr w:type="spellEnd"/>
            <w:r w:rsidRPr="002A4A9D">
              <w:rPr>
                <w:b/>
                <w:szCs w:val="24"/>
                <w:lang w:eastAsia="bg-BG"/>
              </w:rPr>
              <w:t xml:space="preserve"> във </w:t>
            </w:r>
            <w:proofErr w:type="spellStart"/>
            <w:r w:rsidRPr="002A4A9D">
              <w:rPr>
                <w:b/>
                <w:szCs w:val="24"/>
                <w:lang w:eastAsia="bg-BG"/>
              </w:rPr>
              <w:t>високостъблени</w:t>
            </w:r>
            <w:proofErr w:type="spellEnd"/>
            <w:r w:rsidRPr="002A4A9D">
              <w:rPr>
                <w:b/>
                <w:szCs w:val="24"/>
                <w:lang w:eastAsia="bg-BG"/>
              </w:rPr>
              <w:t xml:space="preserve"> и семенно възобновени </w:t>
            </w:r>
            <w:proofErr w:type="spellStart"/>
            <w:r w:rsidRPr="002A4A9D">
              <w:rPr>
                <w:b/>
                <w:szCs w:val="24"/>
                <w:lang w:eastAsia="bg-BG"/>
              </w:rPr>
              <w:t>издънкови</w:t>
            </w:r>
            <w:proofErr w:type="spellEnd"/>
            <w:r w:rsidRPr="002A4A9D">
              <w:rPr>
                <w:b/>
                <w:szCs w:val="24"/>
                <w:lang w:eastAsia="bg-BG"/>
              </w:rPr>
              <w:t xml:space="preserve"> гори;</w:t>
            </w:r>
          </w:p>
          <w:p w14:paraId="33246864" w14:textId="77777777" w:rsidR="002A4A9D" w:rsidRPr="002A4A9D" w:rsidRDefault="002A4A9D" w:rsidP="00A0575E">
            <w:pPr>
              <w:numPr>
                <w:ilvl w:val="0"/>
                <w:numId w:val="7"/>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lastRenderedPageBreak/>
              <w:t>Обезпечаване с оборудване за сеч, извоз и товарене на дървесина за едно или повече стопанства;</w:t>
            </w:r>
          </w:p>
          <w:p w14:paraId="16C5854B" w14:textId="77777777" w:rsidR="002A4A9D" w:rsidRPr="002A4A9D" w:rsidRDefault="002A4A9D" w:rsidP="00A0575E">
            <w:pPr>
              <w:numPr>
                <w:ilvl w:val="0"/>
                <w:numId w:val="7"/>
              </w:numPr>
              <w:pBdr>
                <w:top w:val="single" w:sz="4" w:space="1" w:color="auto"/>
                <w:left w:val="single" w:sz="4" w:space="4" w:color="auto"/>
                <w:bottom w:val="single" w:sz="4" w:space="1" w:color="auto"/>
                <w:right w:val="single" w:sz="4" w:space="4" w:color="auto"/>
              </w:pBdr>
              <w:spacing w:line="276" w:lineRule="auto"/>
              <w:jc w:val="both"/>
              <w:rPr>
                <w:b/>
                <w:szCs w:val="24"/>
                <w:lang w:eastAsia="bg-BG"/>
              </w:rPr>
            </w:pPr>
            <w:r w:rsidRPr="002A4A9D">
              <w:rPr>
                <w:b/>
                <w:szCs w:val="24"/>
                <w:lang w:eastAsia="bg-BG"/>
              </w:rPr>
              <w:t>Изготвяне на планове или програми за управление на горите.</w:t>
            </w:r>
          </w:p>
          <w:p w14:paraId="3297543B" w14:textId="77777777" w:rsidR="002A4A9D" w:rsidRPr="002A4A9D" w:rsidRDefault="002A4A9D" w:rsidP="004F06E1">
            <w:pPr>
              <w:pBdr>
                <w:top w:val="single" w:sz="4" w:space="1" w:color="auto"/>
                <w:left w:val="single" w:sz="4" w:space="4" w:color="auto"/>
                <w:bottom w:val="single" w:sz="4" w:space="1" w:color="auto"/>
                <w:right w:val="single" w:sz="4" w:space="4" w:color="auto"/>
              </w:pBdr>
              <w:jc w:val="both"/>
              <w:rPr>
                <w:b/>
                <w:szCs w:val="24"/>
                <w:lang w:eastAsia="bg-BG"/>
              </w:rPr>
            </w:pPr>
          </w:p>
          <w:p w14:paraId="1D6BF2EE" w14:textId="7B017A25" w:rsidR="008A5CED" w:rsidRPr="00155980" w:rsidRDefault="002A4A9D" w:rsidP="00B00E3B">
            <w:pPr>
              <w:pBdr>
                <w:top w:val="single" w:sz="4" w:space="1" w:color="auto"/>
                <w:left w:val="single" w:sz="4" w:space="4" w:color="auto"/>
                <w:bottom w:val="single" w:sz="4" w:space="1" w:color="auto"/>
                <w:right w:val="single" w:sz="4" w:space="4" w:color="auto"/>
              </w:pBdr>
              <w:jc w:val="both"/>
              <w:rPr>
                <w:b/>
                <w:szCs w:val="24"/>
              </w:rPr>
            </w:pPr>
            <w:r w:rsidRPr="002A4A9D">
              <w:rPr>
                <w:b/>
                <w:szCs w:val="24"/>
              </w:rPr>
              <w:t>ВАЖНО: Предвидените дейности в проектното предложение трябва да са обосновани като необходими за постигане на целите на проекта и очакваните резултати. Кандидатите трябва да обосноват съответствието на дейностите и целите на проекта с целите и очакваните резултати по процедурата.</w:t>
            </w:r>
          </w:p>
        </w:tc>
      </w:tr>
    </w:tbl>
    <w:p w14:paraId="056877EE" w14:textId="77777777" w:rsidR="00B2368B" w:rsidRPr="00080C5D" w:rsidRDefault="00B2368B" w:rsidP="00017CAF">
      <w:pPr>
        <w:pStyle w:val="af0"/>
        <w:spacing w:line="276" w:lineRule="auto"/>
        <w:ind w:right="49"/>
        <w:jc w:val="both"/>
        <w:rPr>
          <w:rFonts w:ascii="Times New Roman" w:hAnsi="Times New Roman"/>
          <w:lang w:val="bg-BG"/>
        </w:rPr>
      </w:pPr>
    </w:p>
    <w:p w14:paraId="13CD90B3" w14:textId="77777777" w:rsidR="001B0DBB" w:rsidRPr="00080C5D" w:rsidRDefault="001B0DBB" w:rsidP="00017CAF">
      <w:pPr>
        <w:shd w:val="clear" w:color="auto" w:fill="FEFEFE"/>
        <w:spacing w:after="0" w:line="276" w:lineRule="auto"/>
        <w:rPr>
          <w:rFonts w:cs="Times New Roman"/>
          <w:b/>
          <w:szCs w:val="24"/>
          <w:lang w:eastAsia="bg-BG"/>
        </w:rPr>
      </w:pPr>
      <w:r w:rsidRPr="00080C5D">
        <w:rPr>
          <w:rFonts w:cs="Times New Roman"/>
          <w:b/>
          <w:szCs w:val="24"/>
          <w:lang w:eastAsia="bg-BG"/>
        </w:rPr>
        <w:t>4. ДОПУСТИМИ РАЗХОДИ</w:t>
      </w:r>
    </w:p>
    <w:tbl>
      <w:tblPr>
        <w:tblStyle w:val="a8"/>
        <w:tblW w:w="0" w:type="auto"/>
        <w:tblLook w:val="04A0" w:firstRow="1" w:lastRow="0" w:firstColumn="1" w:lastColumn="0" w:noHBand="0" w:noVBand="1"/>
      </w:tblPr>
      <w:tblGrid>
        <w:gridCol w:w="10763"/>
      </w:tblGrid>
      <w:tr w:rsidR="008C33D1" w:rsidRPr="00080C5D" w14:paraId="5E9574B5" w14:textId="77777777" w:rsidTr="008C33D1">
        <w:tc>
          <w:tcPr>
            <w:tcW w:w="10913" w:type="dxa"/>
          </w:tcPr>
          <w:p w14:paraId="5B46C5F4" w14:textId="3CF3D79C" w:rsidR="003F7A0D" w:rsidRPr="006E49B3" w:rsidRDefault="006E49B3" w:rsidP="006E49B3">
            <w:pPr>
              <w:pStyle w:val="Default"/>
              <w:widowControl w:val="0"/>
              <w:jc w:val="both"/>
              <w:rPr>
                <w:b/>
              </w:rPr>
            </w:pPr>
            <w:r>
              <w:rPr>
                <w:b/>
              </w:rPr>
              <w:t>Допустимите разх</w:t>
            </w:r>
            <w:r w:rsidR="002A4A9D">
              <w:rPr>
                <w:b/>
              </w:rPr>
              <w:t xml:space="preserve">оди за прилагане </w:t>
            </w:r>
            <w:r w:rsidR="002A4A9D" w:rsidRPr="001B644B">
              <w:rPr>
                <w:b/>
              </w:rPr>
              <w:t xml:space="preserve">на мярка </w:t>
            </w:r>
            <w:r w:rsidR="001B644B" w:rsidRPr="001B644B">
              <w:rPr>
                <w:b/>
              </w:rPr>
              <w:t xml:space="preserve">19-8.6 </w:t>
            </w:r>
            <w:r w:rsidR="002A4A9D" w:rsidRPr="001B644B">
              <w:rPr>
                <w:b/>
              </w:rPr>
              <w:t>„Инвестиции</w:t>
            </w:r>
            <w:r w:rsidR="002A4A9D" w:rsidRPr="002A4A9D">
              <w:rPr>
                <w:b/>
              </w:rPr>
              <w:t xml:space="preserve"> в технологии за лесовъдства и в преработката, мобилизирането и търговията на горски продукти”</w:t>
            </w:r>
            <w:r w:rsidR="002A4A9D">
              <w:rPr>
                <w:b/>
              </w:rPr>
              <w:t xml:space="preserve"> </w:t>
            </w:r>
            <w:r>
              <w:rPr>
                <w:b/>
              </w:rPr>
              <w:t>са:</w:t>
            </w:r>
          </w:p>
          <w:p w14:paraId="79A3D8F0" w14:textId="77777777" w:rsidR="002A4A9D" w:rsidRPr="002A4A9D" w:rsidRDefault="002A4A9D" w:rsidP="00A0575E">
            <w:pPr>
              <w:pStyle w:val="Default"/>
              <w:numPr>
                <w:ilvl w:val="0"/>
                <w:numId w:val="11"/>
              </w:numPr>
              <w:suppressAutoHyphens/>
              <w:rPr>
                <w:b/>
              </w:rPr>
            </w:pPr>
            <w:r w:rsidRPr="002A4A9D">
              <w:rPr>
                <w:b/>
              </w:rPr>
              <w:t>Разходи за материални инвестиции:</w:t>
            </w:r>
          </w:p>
          <w:p w14:paraId="1DC6570A" w14:textId="77777777" w:rsidR="002A4A9D" w:rsidRPr="002A4A9D" w:rsidRDefault="002A4A9D" w:rsidP="00A0575E">
            <w:pPr>
              <w:pStyle w:val="Default"/>
              <w:numPr>
                <w:ilvl w:val="0"/>
                <w:numId w:val="8"/>
              </w:numPr>
              <w:suppressAutoHyphens/>
            </w:pPr>
            <w:r w:rsidRPr="002A4A9D">
              <w:t>Инвестиции в преработка и маркетинг на горски продукти, в т.ч.:</w:t>
            </w:r>
          </w:p>
          <w:p w14:paraId="5D05EB2E" w14:textId="77777777" w:rsidR="002A4A9D" w:rsidRPr="002A4A9D" w:rsidRDefault="002A4A9D" w:rsidP="00A0575E">
            <w:pPr>
              <w:pStyle w:val="Default"/>
              <w:numPr>
                <w:ilvl w:val="0"/>
                <w:numId w:val="9"/>
              </w:numPr>
              <w:suppressAutoHyphens/>
            </w:pPr>
            <w:r w:rsidRPr="002A4A9D">
              <w:t>изграждане, придобиване или подобрение на сгради и други недвижими активи необходими за първичната преработка на дървесината, както и закупуването на земя, когато са пряко свързани с изпълнението на проекта;</w:t>
            </w:r>
          </w:p>
          <w:p w14:paraId="471C27AA" w14:textId="77777777" w:rsidR="002A4A9D" w:rsidRPr="002A4A9D" w:rsidRDefault="002A4A9D" w:rsidP="00A0575E">
            <w:pPr>
              <w:pStyle w:val="Default"/>
              <w:numPr>
                <w:ilvl w:val="0"/>
                <w:numId w:val="9"/>
              </w:numPr>
              <w:suppressAutoHyphens/>
            </w:pPr>
            <w:r w:rsidRPr="002A4A9D">
              <w:t>закупуването или вземането на лизинг на нови машини и оборудване за първична преработка на дървесината, както и други работни операции, предхождащи промишлената преработка, до пазарната цена на актива;</w:t>
            </w:r>
          </w:p>
          <w:p w14:paraId="1E2A8A70" w14:textId="77777777" w:rsidR="002A4A9D" w:rsidRPr="002A4A9D" w:rsidRDefault="002A4A9D" w:rsidP="00A0575E">
            <w:pPr>
              <w:pStyle w:val="Default"/>
              <w:numPr>
                <w:ilvl w:val="0"/>
                <w:numId w:val="9"/>
              </w:numPr>
              <w:suppressAutoHyphens/>
            </w:pPr>
            <w:r w:rsidRPr="002A4A9D">
              <w:t>закупуването или вземането на лизинг на нови машини и оборудване за преработка на недървесни горски продукти;</w:t>
            </w:r>
          </w:p>
          <w:p w14:paraId="610DB0D2" w14:textId="77777777" w:rsidR="002A4A9D" w:rsidRPr="002A4A9D" w:rsidRDefault="002A4A9D" w:rsidP="00A0575E">
            <w:pPr>
              <w:pStyle w:val="Default"/>
              <w:numPr>
                <w:ilvl w:val="0"/>
                <w:numId w:val="8"/>
              </w:numPr>
              <w:suppressAutoHyphens/>
            </w:pPr>
            <w:r w:rsidRPr="002A4A9D">
              <w:t>Разходи за инвестиции в подобряване на икономическата стойност на горите, в т.ч.:</w:t>
            </w:r>
          </w:p>
          <w:p w14:paraId="654542BA" w14:textId="77777777" w:rsidR="002A4A9D" w:rsidRPr="002A4A9D" w:rsidRDefault="002A4A9D" w:rsidP="00A0575E">
            <w:pPr>
              <w:pStyle w:val="Default"/>
              <w:numPr>
                <w:ilvl w:val="0"/>
                <w:numId w:val="9"/>
              </w:numPr>
              <w:suppressAutoHyphens/>
            </w:pPr>
            <w:proofErr w:type="spellStart"/>
            <w:r w:rsidRPr="002A4A9D">
              <w:t>отгледни</w:t>
            </w:r>
            <w:proofErr w:type="spellEnd"/>
            <w:r w:rsidRPr="002A4A9D">
              <w:t xml:space="preserve"> сечи във </w:t>
            </w:r>
            <w:proofErr w:type="spellStart"/>
            <w:r w:rsidRPr="002A4A9D">
              <w:t>високостъблени</w:t>
            </w:r>
            <w:proofErr w:type="spellEnd"/>
            <w:r w:rsidRPr="002A4A9D">
              <w:t xml:space="preserve"> и семенно възобновени </w:t>
            </w:r>
            <w:proofErr w:type="spellStart"/>
            <w:r w:rsidRPr="002A4A9D">
              <w:t>издънкови</w:t>
            </w:r>
            <w:proofErr w:type="spellEnd"/>
            <w:r w:rsidRPr="002A4A9D">
              <w:t xml:space="preserve"> гори до 40 годишна възраст;</w:t>
            </w:r>
          </w:p>
          <w:p w14:paraId="2D1DBCA1" w14:textId="77777777" w:rsidR="002A4A9D" w:rsidRPr="002A4A9D" w:rsidRDefault="002A4A9D" w:rsidP="00A0575E">
            <w:pPr>
              <w:pStyle w:val="Default"/>
              <w:numPr>
                <w:ilvl w:val="0"/>
                <w:numId w:val="9"/>
              </w:numPr>
              <w:suppressAutoHyphens/>
            </w:pPr>
            <w:r w:rsidRPr="002A4A9D">
              <w:t xml:space="preserve">закупуване или вземането на лизинг на щадящи почвата и ресурсите специализирана горска техника и оборудване за сеч, извоз, товарене и </w:t>
            </w:r>
            <w:proofErr w:type="spellStart"/>
            <w:r w:rsidRPr="002A4A9D">
              <w:t>траспорт</w:t>
            </w:r>
            <w:proofErr w:type="spellEnd"/>
            <w:r w:rsidRPr="002A4A9D">
              <w:t xml:space="preserve"> на дървесина за едно или повече стопанства;</w:t>
            </w:r>
          </w:p>
          <w:p w14:paraId="13C6CFDF" w14:textId="1EC106FA" w:rsidR="002A4A9D" w:rsidRPr="00155980" w:rsidRDefault="002A4A9D" w:rsidP="002A4A9D">
            <w:pPr>
              <w:pStyle w:val="Default"/>
              <w:numPr>
                <w:ilvl w:val="0"/>
                <w:numId w:val="8"/>
              </w:numPr>
              <w:suppressAutoHyphens/>
            </w:pPr>
            <w:r w:rsidRPr="002A4A9D">
              <w:t xml:space="preserve">Разходи за закупуване на земя, когато са пряко свързани с изпълнението на проекта и </w:t>
            </w:r>
            <w:proofErr w:type="spellStart"/>
            <w:r w:rsidRPr="002A4A9D">
              <w:t>ненадхвърлят</w:t>
            </w:r>
            <w:proofErr w:type="spellEnd"/>
            <w:r w:rsidRPr="002A4A9D">
              <w:t xml:space="preserve"> 10 % от общите допустими разходи по проекта.</w:t>
            </w:r>
          </w:p>
          <w:p w14:paraId="4D214D97" w14:textId="77777777" w:rsidR="002A4A9D" w:rsidRPr="002A4A9D" w:rsidRDefault="002A4A9D" w:rsidP="00A0575E">
            <w:pPr>
              <w:pStyle w:val="Default"/>
              <w:numPr>
                <w:ilvl w:val="0"/>
                <w:numId w:val="11"/>
              </w:numPr>
              <w:suppressAutoHyphens/>
              <w:rPr>
                <w:b/>
              </w:rPr>
            </w:pPr>
            <w:r w:rsidRPr="002A4A9D">
              <w:rPr>
                <w:b/>
              </w:rPr>
              <w:t>Разходи за нематериални инвестиции:</w:t>
            </w:r>
          </w:p>
          <w:p w14:paraId="11AA80CF" w14:textId="04B7F278" w:rsidR="002A4A9D" w:rsidRPr="002A4A9D" w:rsidRDefault="002A4A9D" w:rsidP="00B6046E">
            <w:pPr>
              <w:pStyle w:val="Default"/>
              <w:numPr>
                <w:ilvl w:val="0"/>
                <w:numId w:val="10"/>
              </w:numPr>
              <w:suppressAutoHyphens/>
            </w:pPr>
            <w:r w:rsidRPr="002A4A9D">
              <w:t xml:space="preserve">Общи разходи свързани със съответния проект за </w:t>
            </w:r>
            <w:proofErr w:type="spellStart"/>
            <w:r w:rsidRPr="002A4A9D">
              <w:t>предпроектни</w:t>
            </w:r>
            <w:proofErr w:type="spellEnd"/>
            <w:r w:rsidRPr="002A4A9D">
              <w:t xml:space="preserve">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 от общия размер на допустимите инвестиции по проекта.</w:t>
            </w:r>
            <w:r w:rsidR="00B6046E">
              <w:t xml:space="preserve"> </w:t>
            </w:r>
            <w:r w:rsidR="00B6046E" w:rsidRPr="00B6046E">
              <w:t>Разходите за консултантски услуги, свързани с подготовката и управлението на проекта, като част от разходите по т. ІІ, подточка 1, не могат да превишават 5 на сто от стойността на допустимите разходи.</w:t>
            </w:r>
            <w:r w:rsidRPr="002A4A9D">
              <w:t>;</w:t>
            </w:r>
          </w:p>
          <w:p w14:paraId="551C4EB4" w14:textId="77777777" w:rsidR="002A4A9D" w:rsidRPr="002A4A9D" w:rsidRDefault="002A4A9D" w:rsidP="00A0575E">
            <w:pPr>
              <w:pStyle w:val="Default"/>
              <w:numPr>
                <w:ilvl w:val="0"/>
                <w:numId w:val="10"/>
              </w:numPr>
              <w:suppressAutoHyphens/>
            </w:pPr>
            <w:r w:rsidRPr="002A4A9D">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14:paraId="3A043080" w14:textId="77777777" w:rsidR="002A4A9D" w:rsidRPr="002A4A9D" w:rsidRDefault="002A4A9D" w:rsidP="00A0575E">
            <w:pPr>
              <w:pStyle w:val="Default"/>
              <w:numPr>
                <w:ilvl w:val="0"/>
                <w:numId w:val="10"/>
              </w:numPr>
              <w:suppressAutoHyphens/>
            </w:pPr>
            <w:r w:rsidRPr="002A4A9D">
              <w:t>Закупуване на софтуер;</w:t>
            </w:r>
          </w:p>
          <w:p w14:paraId="396E6204" w14:textId="182021BC" w:rsidR="00E31440" w:rsidRDefault="002A4A9D" w:rsidP="00155980">
            <w:pPr>
              <w:pStyle w:val="Default"/>
              <w:numPr>
                <w:ilvl w:val="0"/>
                <w:numId w:val="10"/>
              </w:numPr>
              <w:suppressAutoHyphens/>
            </w:pPr>
            <w:r w:rsidRPr="002A4A9D">
              <w:t>Разходите за въвеждане на добри производствени практики, системи за управление на качеството и подготовка за сертификация.</w:t>
            </w:r>
          </w:p>
          <w:p w14:paraId="1C1E43FB" w14:textId="6B42478F" w:rsidR="002A4A9D" w:rsidRPr="00D75E3A" w:rsidRDefault="002A4A9D" w:rsidP="002A4A9D">
            <w:pPr>
              <w:pStyle w:val="Default"/>
              <w:suppressAutoHyphens/>
              <w:rPr>
                <w:b/>
              </w:rPr>
            </w:pPr>
            <w:r w:rsidRPr="002A4A9D">
              <w:rPr>
                <w:b/>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14:paraId="4707A5E6" w14:textId="62AA95C1" w:rsidR="006E49B3" w:rsidRDefault="006E49B3" w:rsidP="00B00E3B">
            <w:pPr>
              <w:pStyle w:val="Default"/>
              <w:widowControl w:val="0"/>
              <w:ind w:left="142"/>
              <w:jc w:val="both"/>
              <w:rPr>
                <w:b/>
              </w:rPr>
            </w:pPr>
            <w:r>
              <w:rPr>
                <w:b/>
              </w:rPr>
              <w:t>Условия за допустимост и обоснованост на разходите:</w:t>
            </w:r>
          </w:p>
          <w:p w14:paraId="284064AB" w14:textId="77777777" w:rsidR="00F609B6" w:rsidRDefault="00F609B6" w:rsidP="00F609B6">
            <w:pPr>
              <w:pStyle w:val="Default"/>
              <w:jc w:val="both"/>
            </w:pPr>
            <w:r>
              <w:t>1.</w:t>
            </w:r>
            <w:r>
              <w:tab/>
              <w:t>Безвъзмездната финансова помощ по реда на настоящите Условия за кандидатстване се предоставя в рамките на наличните средства по процедурата под формата на възстановяване на действително направени и платени допустими разходи.</w:t>
            </w:r>
          </w:p>
          <w:p w14:paraId="4962BA68" w14:textId="77777777" w:rsidR="00F609B6" w:rsidRDefault="00F609B6" w:rsidP="00F609B6">
            <w:pPr>
              <w:pStyle w:val="Default"/>
              <w:jc w:val="both"/>
            </w:pPr>
            <w:r>
              <w:t>2.</w:t>
            </w:r>
            <w:r>
              <w:tab/>
              <w:t>Дейностите и разходите по проекта, с изключение на разходите по т. ІІ, подточка 1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6B95F54B" w14:textId="77777777" w:rsidR="00F609B6" w:rsidRDefault="00F609B6" w:rsidP="00F609B6">
            <w:pPr>
              <w:pStyle w:val="Default"/>
              <w:jc w:val="both"/>
            </w:pPr>
            <w:r>
              <w:t>3.</w:t>
            </w:r>
            <w:r>
              <w:tab/>
              <w:t>Общите разходи по т. ІІ, подточка 1 от Раздел 14.1. „Допустими разходи”:</w:t>
            </w:r>
          </w:p>
          <w:p w14:paraId="72F027BE" w14:textId="77777777" w:rsidR="00F609B6" w:rsidRDefault="00F609B6" w:rsidP="00F609B6">
            <w:pPr>
              <w:pStyle w:val="Default"/>
              <w:jc w:val="both"/>
            </w:pPr>
            <w:r>
              <w:t>•</w:t>
            </w:r>
            <w:r>
              <w:tab/>
              <w:t>са допустими, ако са извършени не по-рано от 1 януари 2014 г., независимо дали всички свързани с тях плащания са направени;</w:t>
            </w:r>
          </w:p>
          <w:p w14:paraId="02319AA4" w14:textId="77777777" w:rsidR="00F609B6" w:rsidRDefault="00F609B6" w:rsidP="00F609B6">
            <w:pPr>
              <w:pStyle w:val="Default"/>
              <w:jc w:val="both"/>
            </w:pPr>
            <w:r>
              <w:lastRenderedPageBreak/>
              <w:t>•</w:t>
            </w:r>
            <w:r>
              <w:tab/>
              <w:t>общите разходи по проекта по т. ІІ, подточка 1 от Раздел 14.1. „Допустими разходи” не могат да надхвърлят 12 % от общия размер на допустимите инвестиции по проекта;</w:t>
            </w:r>
          </w:p>
          <w:p w14:paraId="4406275F" w14:textId="77777777" w:rsidR="00F609B6" w:rsidRDefault="00F609B6" w:rsidP="00F609B6">
            <w:pPr>
              <w:pStyle w:val="Default"/>
              <w:jc w:val="both"/>
            </w:pPr>
            <w:r>
              <w:t>•</w:t>
            </w:r>
            <w:r>
              <w:tab/>
              <w:t>разходите за консултантски услуги, свързани с подготовката и управлението на проекта, като част от разходите по т. ІІ, подточка 1, не могат да превишават 5 на сто от стойността на допустимите разходи.</w:t>
            </w:r>
          </w:p>
          <w:p w14:paraId="3B213E48" w14:textId="77777777" w:rsidR="00F609B6" w:rsidRDefault="00F609B6" w:rsidP="00F609B6">
            <w:pPr>
              <w:pStyle w:val="Default"/>
              <w:jc w:val="both"/>
            </w:pPr>
            <w:r>
              <w:t>4.</w:t>
            </w:r>
            <w:r>
              <w:tab/>
              <w:t>Закупуването чрез финансов лизинг на активите е допустимо, при условие че бенефициента стане собственик на съответния актив не по-късно от датата на подаване на искането за междинно или окончателно плащане за същия актив.</w:t>
            </w:r>
          </w:p>
          <w:p w14:paraId="78463CD8" w14:textId="4B5B6541" w:rsidR="00744794" w:rsidRDefault="00F609B6" w:rsidP="00F609B6">
            <w:pPr>
              <w:pStyle w:val="Default"/>
              <w:suppressAutoHyphens/>
              <w:autoSpaceDE/>
              <w:adjustRightInd/>
            </w:pPr>
            <w:r>
              <w:t>5.</w:t>
            </w:r>
            <w:r>
              <w:tab/>
              <w:t>Разходите за закупуване на земя са допустими за финансиране, когато са пряко свързани с изпълнението на проекта и не надхвърлят 10 % от общите допустими разходи по проекта.</w:t>
            </w:r>
          </w:p>
          <w:p w14:paraId="4699DF04" w14:textId="32E4C6C7" w:rsidR="00744794" w:rsidRPr="00744794" w:rsidRDefault="00744794" w:rsidP="00744794">
            <w:pPr>
              <w:pStyle w:val="Default"/>
              <w:suppressAutoHyphens/>
              <w:rPr>
                <w:b/>
              </w:rPr>
            </w:pPr>
            <w:r w:rsidRPr="00744794">
              <w:rPr>
                <w:b/>
              </w:rPr>
              <w:t>Допълнителни условия за допустимост:</w:t>
            </w:r>
          </w:p>
          <w:p w14:paraId="180D66D2" w14:textId="77777777" w:rsidR="00744794" w:rsidRDefault="00744794" w:rsidP="00744794">
            <w:pPr>
              <w:pStyle w:val="Default"/>
              <w:suppressAutoHyphens/>
            </w:pPr>
            <w:r>
              <w:t>•</w:t>
            </w:r>
            <w:r>
              <w:tab/>
              <w:t>Закупуването на оборудване за сеч е допустимо за подпомагане, само ако предвиденото устойчиво ползване на дървесина позволява подходящото му ефикасно използване;</w:t>
            </w:r>
          </w:p>
          <w:p w14:paraId="552E57A9" w14:textId="77777777" w:rsidR="00744794" w:rsidRDefault="00744794" w:rsidP="00744794">
            <w:pPr>
              <w:pStyle w:val="Default"/>
              <w:suppressAutoHyphens/>
            </w:pPr>
            <w:r>
              <w:t>•</w:t>
            </w:r>
            <w:r>
              <w:tab/>
              <w:t>Частните собственици трябва да притежават минимум 0.5 ха горски територии;</w:t>
            </w:r>
          </w:p>
          <w:p w14:paraId="6DE5D245" w14:textId="77777777" w:rsidR="00744794" w:rsidRDefault="00744794" w:rsidP="00744794">
            <w:pPr>
              <w:pStyle w:val="Default"/>
              <w:suppressAutoHyphens/>
            </w:pPr>
            <w:r>
              <w:t>•</w:t>
            </w:r>
            <w:r>
              <w:tab/>
              <w:t>Сдруженията на частните собственици трябва да притежават горски територии с площ минимум 1.0 ха;</w:t>
            </w:r>
          </w:p>
          <w:p w14:paraId="24C0A624" w14:textId="77777777" w:rsidR="00744794" w:rsidRDefault="00744794" w:rsidP="00744794">
            <w:pPr>
              <w:pStyle w:val="Default"/>
              <w:suppressAutoHyphens/>
            </w:pPr>
            <w:r>
              <w:t>•</w:t>
            </w:r>
            <w:r>
              <w:tab/>
              <w:t>Юридическите лица - частни собственици, са допустими за подпомагане, само ако са регистрирани съгласно българското законодателство и максималното участие на държавата в тях не превишава 25%;</w:t>
            </w:r>
          </w:p>
          <w:p w14:paraId="0DB27D56" w14:textId="77777777" w:rsidR="00744794" w:rsidRDefault="00744794" w:rsidP="00744794">
            <w:pPr>
              <w:pStyle w:val="Default"/>
              <w:suppressAutoHyphens/>
            </w:pPr>
            <w:r>
              <w:t>•</w:t>
            </w:r>
            <w:r>
              <w:tab/>
              <w:t>Общините и техните сдружения трябва да притежават минимум 10 ха гори;</w:t>
            </w:r>
          </w:p>
          <w:p w14:paraId="1C2550B2" w14:textId="10D97E27" w:rsidR="00744794" w:rsidRPr="006E49B3" w:rsidRDefault="00744794" w:rsidP="00155980">
            <w:pPr>
              <w:pStyle w:val="Default"/>
              <w:suppressAutoHyphens/>
            </w:pPr>
            <w:r>
              <w:t>•</w:t>
            </w:r>
            <w:r>
              <w:tab/>
              <w:t xml:space="preserve">За първична преработка на дървесина са допустими само </w:t>
            </w:r>
            <w:proofErr w:type="spellStart"/>
            <w:r>
              <w:t>микро</w:t>
            </w:r>
            <w:proofErr w:type="spellEnd"/>
            <w:r>
              <w:t>, малки и средни предприятия.</w:t>
            </w:r>
          </w:p>
        </w:tc>
      </w:tr>
    </w:tbl>
    <w:p w14:paraId="26AB3EDD" w14:textId="77777777" w:rsidR="008C33D1" w:rsidRPr="00080C5D" w:rsidRDefault="008C33D1" w:rsidP="00017CAF">
      <w:pPr>
        <w:shd w:val="clear" w:color="auto" w:fill="FEFEFE"/>
        <w:spacing w:after="0" w:line="276" w:lineRule="auto"/>
        <w:rPr>
          <w:rFonts w:cs="Times New Roman"/>
          <w:b/>
          <w:szCs w:val="24"/>
          <w:lang w:eastAsia="bg-BG"/>
        </w:rPr>
      </w:pPr>
    </w:p>
    <w:p w14:paraId="35B54754" w14:textId="067E22C8" w:rsidR="009C16B1" w:rsidRPr="00080C5D" w:rsidRDefault="001B0DBB" w:rsidP="00017CAF">
      <w:pPr>
        <w:shd w:val="clear" w:color="auto" w:fill="FEFEFE"/>
        <w:spacing w:after="0" w:line="276" w:lineRule="auto"/>
        <w:rPr>
          <w:rFonts w:cs="Times New Roman"/>
          <w:b/>
          <w:szCs w:val="24"/>
          <w:lang w:val="en-US" w:eastAsia="bg-BG"/>
        </w:rPr>
      </w:pPr>
      <w:r w:rsidRPr="00080C5D">
        <w:rPr>
          <w:rFonts w:cs="Times New Roman"/>
          <w:b/>
          <w:szCs w:val="24"/>
          <w:lang w:eastAsia="bg-BG"/>
        </w:rPr>
        <w:t>5</w:t>
      </w:r>
      <w:r w:rsidR="00D3123F" w:rsidRPr="00080C5D">
        <w:rPr>
          <w:rFonts w:cs="Times New Roman"/>
          <w:b/>
          <w:szCs w:val="24"/>
          <w:lang w:eastAsia="bg-BG"/>
        </w:rPr>
        <w:t>. ПЕРИОД ЗА ПРИЕМ И МЯСТО ЗА ПОДАВАНЕ НА ПРОЕКТНИ ПРЕДЛОЖЕНИЯ</w:t>
      </w:r>
    </w:p>
    <w:tbl>
      <w:tblPr>
        <w:tblStyle w:val="a8"/>
        <w:tblW w:w="0" w:type="auto"/>
        <w:tblLook w:val="04A0" w:firstRow="1" w:lastRow="0" w:firstColumn="1" w:lastColumn="0" w:noHBand="0" w:noVBand="1"/>
      </w:tblPr>
      <w:tblGrid>
        <w:gridCol w:w="10763"/>
      </w:tblGrid>
      <w:tr w:rsidR="008C33D1" w:rsidRPr="00080C5D" w14:paraId="217577AB" w14:textId="77777777" w:rsidTr="008C33D1">
        <w:tc>
          <w:tcPr>
            <w:tcW w:w="10913" w:type="dxa"/>
          </w:tcPr>
          <w:p w14:paraId="7E131E4D" w14:textId="77777777" w:rsidR="005E399E" w:rsidRDefault="009A5C23" w:rsidP="00E80E77">
            <w:pPr>
              <w:shd w:val="clear" w:color="auto" w:fill="FEFEFE"/>
              <w:spacing w:line="276" w:lineRule="auto"/>
              <w:rPr>
                <w:rFonts w:cs="Times New Roman"/>
                <w:b/>
                <w:color w:val="000000"/>
                <w:szCs w:val="24"/>
                <w:lang w:eastAsia="bg-BG"/>
              </w:rPr>
            </w:pPr>
            <w:r>
              <w:rPr>
                <w:rFonts w:cs="Times New Roman"/>
                <w:b/>
                <w:color w:val="000000"/>
                <w:szCs w:val="24"/>
                <w:lang w:eastAsia="bg-BG"/>
              </w:rPr>
              <w:t xml:space="preserve"> </w:t>
            </w:r>
          </w:p>
          <w:p w14:paraId="712C3E75" w14:textId="5A99BDC2" w:rsidR="005E399E" w:rsidRDefault="005E399E" w:rsidP="00E80E77">
            <w:pPr>
              <w:shd w:val="clear" w:color="auto" w:fill="FEFEFE"/>
              <w:spacing w:line="276" w:lineRule="auto"/>
              <w:rPr>
                <w:rFonts w:cs="Times New Roman"/>
                <w:b/>
                <w:color w:val="000000"/>
                <w:szCs w:val="24"/>
                <w:lang w:eastAsia="bg-BG"/>
              </w:rPr>
            </w:pPr>
            <w:r>
              <w:rPr>
                <w:rFonts w:cs="Times New Roman"/>
                <w:b/>
                <w:color w:val="000000"/>
                <w:szCs w:val="24"/>
                <w:lang w:eastAsia="bg-BG"/>
              </w:rPr>
              <w:t xml:space="preserve">   Начална дата за прием: </w:t>
            </w:r>
            <w:r w:rsidR="00E80E77" w:rsidRPr="00E80E77">
              <w:rPr>
                <w:rFonts w:cs="Times New Roman"/>
                <w:b/>
                <w:color w:val="000000"/>
                <w:szCs w:val="24"/>
                <w:lang w:eastAsia="bg-BG"/>
              </w:rPr>
              <w:t xml:space="preserve"> 15.12.2022 г. </w:t>
            </w:r>
          </w:p>
          <w:p w14:paraId="1CF88FFA" w14:textId="31FAB201" w:rsidR="00E80E77" w:rsidRPr="00E80E77" w:rsidRDefault="005E399E" w:rsidP="00E80E77">
            <w:pPr>
              <w:shd w:val="clear" w:color="auto" w:fill="FEFEFE"/>
              <w:spacing w:line="276" w:lineRule="auto"/>
              <w:rPr>
                <w:rFonts w:cs="Times New Roman"/>
                <w:b/>
                <w:color w:val="000000"/>
                <w:szCs w:val="24"/>
                <w:lang w:eastAsia="bg-BG"/>
              </w:rPr>
            </w:pPr>
            <w:r>
              <w:rPr>
                <w:rFonts w:cs="Times New Roman"/>
                <w:b/>
                <w:color w:val="000000"/>
                <w:szCs w:val="24"/>
                <w:lang w:eastAsia="bg-BG"/>
              </w:rPr>
              <w:t xml:space="preserve"> </w:t>
            </w:r>
          </w:p>
          <w:p w14:paraId="224B42A2" w14:textId="2B02E1DA" w:rsidR="00E80E77" w:rsidRDefault="005E399E" w:rsidP="00E80E77">
            <w:pPr>
              <w:shd w:val="clear" w:color="auto" w:fill="FEFEFE"/>
              <w:spacing w:line="276" w:lineRule="auto"/>
              <w:rPr>
                <w:rFonts w:cs="Times New Roman"/>
                <w:b/>
                <w:color w:val="000000"/>
                <w:szCs w:val="24"/>
                <w:lang w:eastAsia="bg-BG"/>
              </w:rPr>
            </w:pPr>
            <w:r>
              <w:rPr>
                <w:rFonts w:cs="Times New Roman"/>
                <w:b/>
                <w:color w:val="000000"/>
                <w:szCs w:val="24"/>
                <w:lang w:eastAsia="bg-BG"/>
              </w:rPr>
              <w:t xml:space="preserve">   Крайна дата на прием:</w:t>
            </w:r>
            <w:r>
              <w:t xml:space="preserve"> </w:t>
            </w:r>
            <w:r w:rsidR="00395FD0">
              <w:rPr>
                <w:rFonts w:cs="Times New Roman"/>
                <w:b/>
                <w:color w:val="000000"/>
                <w:szCs w:val="24"/>
                <w:lang w:val="en-US" w:eastAsia="bg-BG"/>
              </w:rPr>
              <w:t>13</w:t>
            </w:r>
            <w:r w:rsidR="00C81A7C">
              <w:rPr>
                <w:rFonts w:cs="Times New Roman"/>
                <w:b/>
                <w:color w:val="000000"/>
                <w:szCs w:val="24"/>
                <w:lang w:val="en-US" w:eastAsia="bg-BG"/>
              </w:rPr>
              <w:t>.</w:t>
            </w:r>
            <w:r w:rsidR="00395FD0">
              <w:rPr>
                <w:rFonts w:cs="Times New Roman"/>
                <w:b/>
                <w:color w:val="000000"/>
                <w:szCs w:val="24"/>
                <w:lang w:eastAsia="bg-BG"/>
              </w:rPr>
              <w:t>11</w:t>
            </w:r>
            <w:bookmarkStart w:id="3" w:name="_GoBack"/>
            <w:bookmarkEnd w:id="3"/>
            <w:r w:rsidRPr="005E399E">
              <w:rPr>
                <w:rFonts w:cs="Times New Roman"/>
                <w:b/>
                <w:color w:val="000000"/>
                <w:szCs w:val="24"/>
                <w:lang w:eastAsia="bg-BG"/>
              </w:rPr>
              <w:t>.2023 г., 17:00 часа</w:t>
            </w:r>
          </w:p>
          <w:p w14:paraId="587B4D4C" w14:textId="49CB684F" w:rsidR="007C1D39" w:rsidRPr="00942F74" w:rsidRDefault="00E80E77" w:rsidP="004F06E1">
            <w:pPr>
              <w:shd w:val="clear" w:color="auto" w:fill="FEFEFE"/>
              <w:rPr>
                <w:rFonts w:cs="Times New Roman"/>
                <w:b/>
                <w:color w:val="000000"/>
                <w:szCs w:val="24"/>
                <w:lang w:eastAsia="bg-BG"/>
              </w:rPr>
            </w:pPr>
            <w:r>
              <w:rPr>
                <w:rFonts w:cs="Times New Roman"/>
                <w:b/>
                <w:color w:val="000000"/>
                <w:szCs w:val="24"/>
                <w:lang w:eastAsia="bg-BG"/>
              </w:rPr>
              <w:t xml:space="preserve"> </w:t>
            </w:r>
          </w:p>
          <w:p w14:paraId="37B98664" w14:textId="3E760346" w:rsidR="00865D3A" w:rsidRPr="00080C5D" w:rsidRDefault="00865D3A" w:rsidP="00017CAF">
            <w:pPr>
              <w:spacing w:line="276" w:lineRule="auto"/>
              <w:jc w:val="both"/>
              <w:rPr>
                <w:rFonts w:cs="Times New Roman"/>
                <w:b/>
                <w:szCs w:val="24"/>
              </w:rPr>
            </w:pPr>
            <w:r w:rsidRPr="00080C5D">
              <w:rPr>
                <w:rFonts w:cs="Times New Roman"/>
                <w:b/>
                <w:szCs w:val="24"/>
              </w:rPr>
              <w:t>Място на подаване на проектни предложения:</w:t>
            </w:r>
          </w:p>
          <w:p w14:paraId="3E60C514" w14:textId="536E0300" w:rsidR="00865D3A" w:rsidRPr="00080C5D" w:rsidRDefault="00865D3A" w:rsidP="00017CAF">
            <w:pPr>
              <w:spacing w:line="276" w:lineRule="auto"/>
              <w:jc w:val="both"/>
              <w:rPr>
                <w:rFonts w:cs="Times New Roman"/>
                <w:szCs w:val="24"/>
              </w:rPr>
            </w:pPr>
            <w:r w:rsidRPr="00080C5D">
              <w:rPr>
                <w:rFonts w:cs="Times New Roman"/>
                <w:szCs w:val="24"/>
              </w:rPr>
              <w:t xml:space="preserve">Информационна система за управление и наблюдение на средствата от ЕС в периода 2014-2020 г. в България (ИСУН 2020), чрез модула „Е-кандидатстване“ на следния интернет адрес: </w:t>
            </w:r>
            <w:hyperlink r:id="rId12" w:history="1">
              <w:r w:rsidRPr="00080C5D">
                <w:rPr>
                  <w:rStyle w:val="a7"/>
                  <w:rFonts w:cs="Times New Roman"/>
                  <w:szCs w:val="24"/>
                </w:rPr>
                <w:t>https://eumis2020.government.bg</w:t>
              </w:r>
            </w:hyperlink>
            <w:r w:rsidRPr="00080C5D">
              <w:rPr>
                <w:rFonts w:cs="Times New Roman"/>
                <w:szCs w:val="24"/>
              </w:rPr>
              <w:t xml:space="preserve">. </w:t>
            </w:r>
          </w:p>
        </w:tc>
      </w:tr>
    </w:tbl>
    <w:p w14:paraId="2225AEAB" w14:textId="3D150B34" w:rsidR="00017CAF" w:rsidRPr="00080C5D" w:rsidRDefault="00017CAF" w:rsidP="00017CAF">
      <w:pPr>
        <w:shd w:val="clear" w:color="auto" w:fill="FEFEFE"/>
        <w:spacing w:after="0" w:line="276" w:lineRule="auto"/>
        <w:rPr>
          <w:rFonts w:cs="Times New Roman"/>
          <w:b/>
          <w:szCs w:val="24"/>
          <w:lang w:val="en-US" w:eastAsia="bg-BG"/>
        </w:rPr>
      </w:pPr>
    </w:p>
    <w:p w14:paraId="7348A948" w14:textId="77777777" w:rsidR="00D3123F" w:rsidRPr="00080C5D" w:rsidRDefault="001B0DBB" w:rsidP="00017CAF">
      <w:pPr>
        <w:shd w:val="clear" w:color="auto" w:fill="FEFEFE"/>
        <w:spacing w:after="0" w:line="276" w:lineRule="auto"/>
        <w:rPr>
          <w:rFonts w:cs="Times New Roman"/>
          <w:b/>
          <w:szCs w:val="24"/>
          <w:lang w:eastAsia="bg-BG"/>
        </w:rPr>
      </w:pPr>
      <w:r w:rsidRPr="00080C5D">
        <w:rPr>
          <w:rFonts w:cs="Times New Roman"/>
          <w:b/>
          <w:szCs w:val="24"/>
          <w:lang w:eastAsia="bg-BG"/>
        </w:rPr>
        <w:t>6</w:t>
      </w:r>
      <w:r w:rsidR="00D3123F" w:rsidRPr="00080C5D">
        <w:rPr>
          <w:rFonts w:cs="Times New Roman"/>
          <w:b/>
          <w:szCs w:val="24"/>
          <w:lang w:eastAsia="bg-BG"/>
        </w:rPr>
        <w:t>. БЮДЖЕТ НА ПРИЕМА</w:t>
      </w:r>
    </w:p>
    <w:tbl>
      <w:tblPr>
        <w:tblStyle w:val="a8"/>
        <w:tblW w:w="0" w:type="auto"/>
        <w:tblLook w:val="04A0" w:firstRow="1" w:lastRow="0" w:firstColumn="1" w:lastColumn="0" w:noHBand="0" w:noVBand="1"/>
      </w:tblPr>
      <w:tblGrid>
        <w:gridCol w:w="10763"/>
      </w:tblGrid>
      <w:tr w:rsidR="00E56540" w:rsidRPr="00080C5D" w14:paraId="6E799ABA" w14:textId="77777777" w:rsidTr="00D75E3A">
        <w:trPr>
          <w:trHeight w:val="1414"/>
        </w:trPr>
        <w:tc>
          <w:tcPr>
            <w:tcW w:w="10793" w:type="dxa"/>
          </w:tcPr>
          <w:tbl>
            <w:tblPr>
              <w:tblW w:w="1050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461"/>
              <w:gridCol w:w="3580"/>
            </w:tblGrid>
            <w:tr w:rsidR="00017CAF" w:rsidRPr="00080C5D" w14:paraId="2B6DF84B" w14:textId="77777777" w:rsidTr="00155980">
              <w:trPr>
                <w:trHeight w:val="850"/>
              </w:trPr>
              <w:tc>
                <w:tcPr>
                  <w:tcW w:w="3461" w:type="dxa"/>
                  <w:shd w:val="clear" w:color="auto" w:fill="DEEAF6" w:themeFill="accent1" w:themeFillTint="33"/>
                </w:tcPr>
                <w:p w14:paraId="6A889945" w14:textId="77777777" w:rsidR="00017CAF" w:rsidRPr="00080C5D" w:rsidRDefault="00017CAF" w:rsidP="00155980">
                  <w:pPr>
                    <w:pStyle w:val="Default"/>
                    <w:spacing w:after="0"/>
                    <w:jc w:val="both"/>
                    <w:rPr>
                      <w:b/>
                      <w:color w:val="auto"/>
                    </w:rPr>
                  </w:pPr>
                  <w:r w:rsidRPr="00080C5D">
                    <w:rPr>
                      <w:b/>
                      <w:bCs/>
                      <w:color w:val="auto"/>
                    </w:rPr>
                    <w:t xml:space="preserve">Общ размер на безвъзмездната финансова помощ </w:t>
                  </w:r>
                </w:p>
              </w:tc>
              <w:tc>
                <w:tcPr>
                  <w:tcW w:w="3461" w:type="dxa"/>
                  <w:shd w:val="clear" w:color="auto" w:fill="DEEAF6" w:themeFill="accent1" w:themeFillTint="33"/>
                </w:tcPr>
                <w:p w14:paraId="156CC9CE" w14:textId="77777777" w:rsidR="00017CAF" w:rsidRPr="00080C5D" w:rsidRDefault="00017CAF" w:rsidP="00155980">
                  <w:pPr>
                    <w:pStyle w:val="a3"/>
                    <w:tabs>
                      <w:tab w:val="clear" w:pos="4536"/>
                      <w:tab w:val="clear" w:pos="9072"/>
                    </w:tabs>
                    <w:spacing w:line="276" w:lineRule="auto"/>
                    <w:jc w:val="both"/>
                    <w:rPr>
                      <w:rFonts w:cs="Times New Roman"/>
                      <w:b/>
                      <w:szCs w:val="24"/>
                    </w:rPr>
                  </w:pPr>
                  <w:r w:rsidRPr="00080C5D">
                    <w:rPr>
                      <w:rFonts w:cs="Times New Roman"/>
                      <w:b/>
                      <w:szCs w:val="24"/>
                    </w:rPr>
                    <w:t>Средства от ЕЗФРСР</w:t>
                  </w:r>
                </w:p>
                <w:p w14:paraId="0986A03B" w14:textId="77777777" w:rsidR="00017CAF" w:rsidRPr="00080C5D" w:rsidRDefault="00017CAF" w:rsidP="00155980">
                  <w:pPr>
                    <w:pStyle w:val="a3"/>
                    <w:tabs>
                      <w:tab w:val="clear" w:pos="4536"/>
                      <w:tab w:val="clear" w:pos="9072"/>
                    </w:tabs>
                    <w:spacing w:line="276" w:lineRule="auto"/>
                    <w:jc w:val="both"/>
                    <w:rPr>
                      <w:rFonts w:cs="Times New Roman"/>
                      <w:b/>
                      <w:szCs w:val="24"/>
                    </w:rPr>
                  </w:pPr>
                  <w:r w:rsidRPr="00080C5D">
                    <w:rPr>
                      <w:rFonts w:cs="Times New Roman"/>
                      <w:b/>
                      <w:szCs w:val="24"/>
                    </w:rPr>
                    <w:t>(сума/процент)</w:t>
                  </w:r>
                </w:p>
              </w:tc>
              <w:tc>
                <w:tcPr>
                  <w:tcW w:w="3580" w:type="dxa"/>
                  <w:shd w:val="clear" w:color="auto" w:fill="DEEAF6" w:themeFill="accent1" w:themeFillTint="33"/>
                </w:tcPr>
                <w:p w14:paraId="0CBDBA59" w14:textId="77777777" w:rsidR="00017CAF" w:rsidRPr="00080C5D" w:rsidRDefault="00017CAF" w:rsidP="00155980">
                  <w:pPr>
                    <w:pStyle w:val="a3"/>
                    <w:tabs>
                      <w:tab w:val="clear" w:pos="4536"/>
                      <w:tab w:val="clear" w:pos="9072"/>
                    </w:tabs>
                    <w:spacing w:line="276" w:lineRule="auto"/>
                    <w:jc w:val="both"/>
                    <w:rPr>
                      <w:rFonts w:cs="Times New Roman"/>
                      <w:b/>
                      <w:szCs w:val="24"/>
                    </w:rPr>
                  </w:pPr>
                  <w:r w:rsidRPr="00080C5D">
                    <w:rPr>
                      <w:rFonts w:cs="Times New Roman"/>
                      <w:b/>
                      <w:szCs w:val="24"/>
                    </w:rPr>
                    <w:t>Национално съфинансиране</w:t>
                  </w:r>
                </w:p>
                <w:p w14:paraId="65A2A3AC" w14:textId="77777777" w:rsidR="00017CAF" w:rsidRPr="00080C5D" w:rsidRDefault="00017CAF" w:rsidP="00155980">
                  <w:pPr>
                    <w:pStyle w:val="a3"/>
                    <w:tabs>
                      <w:tab w:val="clear" w:pos="4536"/>
                      <w:tab w:val="clear" w:pos="9072"/>
                    </w:tabs>
                    <w:spacing w:line="276" w:lineRule="auto"/>
                    <w:jc w:val="both"/>
                    <w:rPr>
                      <w:rFonts w:cs="Times New Roman"/>
                      <w:b/>
                      <w:szCs w:val="24"/>
                    </w:rPr>
                  </w:pPr>
                  <w:r w:rsidRPr="00080C5D">
                    <w:rPr>
                      <w:rFonts w:cs="Times New Roman"/>
                      <w:b/>
                      <w:szCs w:val="24"/>
                    </w:rPr>
                    <w:t>(сума/процент)</w:t>
                  </w:r>
                </w:p>
              </w:tc>
            </w:tr>
            <w:tr w:rsidR="00017CAF" w:rsidRPr="00080C5D" w14:paraId="06F5A8D2" w14:textId="77777777" w:rsidTr="00760332">
              <w:trPr>
                <w:trHeight w:val="565"/>
              </w:trPr>
              <w:tc>
                <w:tcPr>
                  <w:tcW w:w="3461" w:type="dxa"/>
                  <w:shd w:val="clear" w:color="auto" w:fill="auto"/>
                  <w:vAlign w:val="center"/>
                </w:tcPr>
                <w:p w14:paraId="34DB23EC" w14:textId="2E81D152" w:rsidR="00017CAF" w:rsidRPr="00080C5D" w:rsidRDefault="00F609B6" w:rsidP="004833F7">
                  <w:pPr>
                    <w:pStyle w:val="a3"/>
                    <w:tabs>
                      <w:tab w:val="clear" w:pos="4536"/>
                      <w:tab w:val="clear" w:pos="9072"/>
                    </w:tabs>
                    <w:spacing w:before="120" w:after="120" w:line="276" w:lineRule="auto"/>
                    <w:jc w:val="center"/>
                    <w:rPr>
                      <w:rFonts w:cs="Times New Roman"/>
                      <w:b/>
                      <w:szCs w:val="24"/>
                    </w:rPr>
                  </w:pPr>
                  <w:r>
                    <w:rPr>
                      <w:rFonts w:cs="Times New Roman"/>
                      <w:b/>
                      <w:szCs w:val="24"/>
                    </w:rPr>
                    <w:t>1</w:t>
                  </w:r>
                  <w:r w:rsidR="00843EF4">
                    <w:rPr>
                      <w:rFonts w:cs="Times New Roman"/>
                      <w:b/>
                      <w:szCs w:val="24"/>
                    </w:rPr>
                    <w:t>5</w:t>
                  </w:r>
                  <w:r w:rsidR="003F7A0D">
                    <w:rPr>
                      <w:rFonts w:cs="Times New Roman"/>
                      <w:b/>
                      <w:szCs w:val="24"/>
                    </w:rPr>
                    <w:t>0 0</w:t>
                  </w:r>
                  <w:r w:rsidR="00852911" w:rsidRPr="00852911">
                    <w:rPr>
                      <w:rFonts w:cs="Times New Roman"/>
                      <w:b/>
                      <w:szCs w:val="24"/>
                    </w:rPr>
                    <w:t xml:space="preserve">00,00 </w:t>
                  </w:r>
                  <w:r w:rsidR="00017CAF" w:rsidRPr="00080C5D">
                    <w:rPr>
                      <w:rFonts w:cs="Times New Roman"/>
                      <w:b/>
                      <w:szCs w:val="24"/>
                    </w:rPr>
                    <w:t>лева</w:t>
                  </w:r>
                </w:p>
              </w:tc>
              <w:tc>
                <w:tcPr>
                  <w:tcW w:w="3461" w:type="dxa"/>
                  <w:shd w:val="clear" w:color="auto" w:fill="auto"/>
                  <w:vAlign w:val="center"/>
                </w:tcPr>
                <w:p w14:paraId="55FDE3EF" w14:textId="3F3CFFFB" w:rsidR="00017CAF" w:rsidRPr="00080C5D" w:rsidRDefault="00017CAF" w:rsidP="003F7A0D">
                  <w:pPr>
                    <w:pStyle w:val="a3"/>
                    <w:tabs>
                      <w:tab w:val="clear" w:pos="4536"/>
                      <w:tab w:val="clear" w:pos="9072"/>
                    </w:tabs>
                    <w:spacing w:before="120" w:after="120" w:line="276" w:lineRule="auto"/>
                    <w:jc w:val="center"/>
                    <w:rPr>
                      <w:rFonts w:cs="Times New Roman"/>
                      <w:b/>
                      <w:szCs w:val="24"/>
                    </w:rPr>
                  </w:pPr>
                  <w:r w:rsidRPr="00080C5D">
                    <w:rPr>
                      <w:rFonts w:cs="Times New Roman"/>
                      <w:b/>
                      <w:szCs w:val="24"/>
                    </w:rPr>
                    <w:t xml:space="preserve">(90%) - </w:t>
                  </w:r>
                  <w:r w:rsidR="00F609B6">
                    <w:rPr>
                      <w:rFonts w:cs="Times New Roman"/>
                      <w:b/>
                      <w:szCs w:val="24"/>
                    </w:rPr>
                    <w:t>13</w:t>
                  </w:r>
                  <w:r w:rsidR="00843EF4">
                    <w:rPr>
                      <w:rFonts w:cs="Times New Roman"/>
                      <w:b/>
                      <w:szCs w:val="24"/>
                    </w:rPr>
                    <w:t>5</w:t>
                  </w:r>
                  <w:r w:rsidR="003F7A0D">
                    <w:rPr>
                      <w:rFonts w:cs="Times New Roman"/>
                      <w:b/>
                      <w:szCs w:val="24"/>
                    </w:rPr>
                    <w:t xml:space="preserve"> 00</w:t>
                  </w:r>
                  <w:r w:rsidR="00FF2876" w:rsidRPr="00FF2876">
                    <w:rPr>
                      <w:rFonts w:cs="Times New Roman"/>
                      <w:b/>
                      <w:szCs w:val="24"/>
                    </w:rPr>
                    <w:t xml:space="preserve">0,00 </w:t>
                  </w:r>
                  <w:r w:rsidRPr="00080C5D">
                    <w:rPr>
                      <w:rFonts w:cs="Times New Roman"/>
                      <w:b/>
                      <w:szCs w:val="24"/>
                    </w:rPr>
                    <w:t>лева</w:t>
                  </w:r>
                </w:p>
              </w:tc>
              <w:tc>
                <w:tcPr>
                  <w:tcW w:w="3580" w:type="dxa"/>
                  <w:shd w:val="clear" w:color="auto" w:fill="auto"/>
                  <w:vAlign w:val="center"/>
                </w:tcPr>
                <w:p w14:paraId="081E2171" w14:textId="22350D5D" w:rsidR="00017CAF" w:rsidRPr="00080C5D" w:rsidRDefault="00017CAF" w:rsidP="003F7A0D">
                  <w:pPr>
                    <w:pStyle w:val="a3"/>
                    <w:tabs>
                      <w:tab w:val="clear" w:pos="4536"/>
                      <w:tab w:val="clear" w:pos="9072"/>
                    </w:tabs>
                    <w:spacing w:before="120" w:after="120" w:line="276" w:lineRule="auto"/>
                    <w:jc w:val="center"/>
                    <w:rPr>
                      <w:rFonts w:cs="Times New Roman"/>
                      <w:b/>
                      <w:szCs w:val="24"/>
                    </w:rPr>
                  </w:pPr>
                  <w:r w:rsidRPr="00080C5D">
                    <w:rPr>
                      <w:rFonts w:cs="Times New Roman"/>
                      <w:b/>
                      <w:szCs w:val="24"/>
                    </w:rPr>
                    <w:t xml:space="preserve">(10 %) - </w:t>
                  </w:r>
                  <w:r w:rsidR="00F609B6">
                    <w:rPr>
                      <w:rFonts w:cs="Times New Roman"/>
                      <w:b/>
                      <w:szCs w:val="24"/>
                    </w:rPr>
                    <w:t>1</w:t>
                  </w:r>
                  <w:r w:rsidR="00843EF4">
                    <w:rPr>
                      <w:rFonts w:cs="Times New Roman"/>
                      <w:b/>
                      <w:szCs w:val="24"/>
                    </w:rPr>
                    <w:t>5</w:t>
                  </w:r>
                  <w:r w:rsidR="003F7A0D">
                    <w:rPr>
                      <w:rFonts w:cs="Times New Roman"/>
                      <w:b/>
                      <w:szCs w:val="24"/>
                    </w:rPr>
                    <w:t xml:space="preserve"> 00</w:t>
                  </w:r>
                  <w:r w:rsidR="00FF2876" w:rsidRPr="00FF2876">
                    <w:rPr>
                      <w:rFonts w:cs="Times New Roman"/>
                      <w:b/>
                      <w:szCs w:val="24"/>
                    </w:rPr>
                    <w:t xml:space="preserve">0,00 </w:t>
                  </w:r>
                  <w:r w:rsidRPr="00080C5D">
                    <w:rPr>
                      <w:rFonts w:cs="Times New Roman"/>
                      <w:b/>
                      <w:szCs w:val="24"/>
                    </w:rPr>
                    <w:t>лева</w:t>
                  </w:r>
                </w:p>
              </w:tc>
            </w:tr>
          </w:tbl>
          <w:p w14:paraId="3AA531F0" w14:textId="328DF1DA" w:rsidR="00017CAF" w:rsidRPr="00080C5D" w:rsidRDefault="00017CAF" w:rsidP="00017CAF">
            <w:pPr>
              <w:spacing w:line="276" w:lineRule="auto"/>
              <w:jc w:val="both"/>
              <w:rPr>
                <w:rFonts w:cs="Times New Roman"/>
                <w:b/>
                <w:szCs w:val="24"/>
                <w:lang w:val="en-US"/>
              </w:rPr>
            </w:pPr>
          </w:p>
        </w:tc>
      </w:tr>
    </w:tbl>
    <w:p w14:paraId="4A31C9E8" w14:textId="77777777" w:rsidR="00E56540" w:rsidRPr="00080C5D" w:rsidRDefault="00E56540" w:rsidP="00017CAF">
      <w:pPr>
        <w:shd w:val="clear" w:color="auto" w:fill="FEFEFE"/>
        <w:spacing w:after="0" w:line="276" w:lineRule="auto"/>
        <w:rPr>
          <w:rFonts w:cs="Times New Roman"/>
          <w:b/>
          <w:szCs w:val="24"/>
          <w:lang w:eastAsia="bg-BG"/>
        </w:rPr>
      </w:pPr>
    </w:p>
    <w:p w14:paraId="731B9854" w14:textId="77777777" w:rsidR="00D3123F" w:rsidRPr="00080C5D" w:rsidRDefault="001B0DBB" w:rsidP="00017CAF">
      <w:pPr>
        <w:shd w:val="clear" w:color="auto" w:fill="FEFEFE"/>
        <w:spacing w:after="0" w:line="276" w:lineRule="auto"/>
        <w:rPr>
          <w:rFonts w:cs="Times New Roman"/>
          <w:b/>
          <w:szCs w:val="24"/>
          <w:lang w:eastAsia="bg-BG"/>
        </w:rPr>
      </w:pPr>
      <w:r w:rsidRPr="00080C5D">
        <w:rPr>
          <w:rFonts w:cs="Times New Roman"/>
          <w:b/>
          <w:szCs w:val="24"/>
          <w:lang w:eastAsia="bg-BG"/>
        </w:rPr>
        <w:t>7</w:t>
      </w:r>
      <w:r w:rsidR="00D3123F" w:rsidRPr="00080C5D">
        <w:rPr>
          <w:rFonts w:cs="Times New Roman"/>
          <w:b/>
          <w:szCs w:val="24"/>
          <w:lang w:eastAsia="bg-BG"/>
        </w:rPr>
        <w:t>. МИНИМАЛЕН И МАКСИМАЛЕН РАЗМЕР НА ФИНАНСОВАТА ПОМОЩ, ПРЕДОСТАВЯНА ЗА ПРОЕКТ</w:t>
      </w:r>
    </w:p>
    <w:tbl>
      <w:tblPr>
        <w:tblW w:w="10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5314"/>
      </w:tblGrid>
      <w:tr w:rsidR="001069D0" w:rsidRPr="00080C5D" w14:paraId="62F75CD1" w14:textId="77777777" w:rsidTr="00155980">
        <w:trPr>
          <w:trHeight w:val="504"/>
        </w:trPr>
        <w:tc>
          <w:tcPr>
            <w:tcW w:w="5308" w:type="dxa"/>
            <w:shd w:val="clear" w:color="auto" w:fill="DEEAF6" w:themeFill="accent1" w:themeFillTint="33"/>
            <w:vAlign w:val="center"/>
          </w:tcPr>
          <w:p w14:paraId="6490EFBE" w14:textId="77777777" w:rsidR="001069D0" w:rsidRPr="00080C5D" w:rsidRDefault="001069D0" w:rsidP="00155980">
            <w:pPr>
              <w:autoSpaceDE w:val="0"/>
              <w:autoSpaceDN w:val="0"/>
              <w:adjustRightInd w:val="0"/>
              <w:spacing w:after="0" w:line="276" w:lineRule="auto"/>
              <w:jc w:val="center"/>
              <w:rPr>
                <w:rFonts w:eastAsia="Times New Roman" w:cs="Times New Roman"/>
                <w:b/>
                <w:bCs/>
                <w:szCs w:val="24"/>
                <w:lang w:eastAsia="bg-BG"/>
              </w:rPr>
            </w:pPr>
            <w:r w:rsidRPr="00080C5D">
              <w:rPr>
                <w:rFonts w:eastAsia="Times New Roman" w:cs="Times New Roman"/>
                <w:b/>
                <w:bCs/>
                <w:szCs w:val="24"/>
                <w:lang w:eastAsia="bg-BG"/>
              </w:rPr>
              <w:t>Минимален размер на безвъзмездната финансова помощ</w:t>
            </w:r>
          </w:p>
        </w:tc>
        <w:tc>
          <w:tcPr>
            <w:tcW w:w="5314" w:type="dxa"/>
            <w:shd w:val="clear" w:color="auto" w:fill="DEEAF6" w:themeFill="accent1" w:themeFillTint="33"/>
            <w:vAlign w:val="center"/>
          </w:tcPr>
          <w:p w14:paraId="274A2843" w14:textId="77777777" w:rsidR="001069D0" w:rsidRPr="00080C5D" w:rsidRDefault="001069D0" w:rsidP="00155980">
            <w:pPr>
              <w:autoSpaceDE w:val="0"/>
              <w:autoSpaceDN w:val="0"/>
              <w:adjustRightInd w:val="0"/>
              <w:spacing w:after="0" w:line="276" w:lineRule="auto"/>
              <w:jc w:val="center"/>
              <w:rPr>
                <w:rFonts w:eastAsia="Times New Roman" w:cs="Times New Roman"/>
                <w:b/>
                <w:bCs/>
                <w:szCs w:val="24"/>
                <w:lang w:eastAsia="bg-BG"/>
              </w:rPr>
            </w:pPr>
            <w:r w:rsidRPr="00080C5D">
              <w:rPr>
                <w:rFonts w:eastAsia="Times New Roman" w:cs="Times New Roman"/>
                <w:b/>
                <w:bCs/>
                <w:szCs w:val="24"/>
                <w:lang w:eastAsia="bg-BG"/>
              </w:rPr>
              <w:t>Максимален размер на безвъзмездната финансова помощ</w:t>
            </w:r>
          </w:p>
        </w:tc>
      </w:tr>
      <w:tr w:rsidR="001069D0" w:rsidRPr="00080C5D" w14:paraId="3F540EEF" w14:textId="77777777" w:rsidTr="004F06E1">
        <w:trPr>
          <w:trHeight w:val="272"/>
        </w:trPr>
        <w:tc>
          <w:tcPr>
            <w:tcW w:w="5308" w:type="dxa"/>
            <w:shd w:val="clear" w:color="auto" w:fill="auto"/>
            <w:vAlign w:val="center"/>
          </w:tcPr>
          <w:p w14:paraId="46B0ACE5" w14:textId="5548E6F3" w:rsidR="001069D0" w:rsidRPr="00EE6B7C" w:rsidRDefault="00843EF4" w:rsidP="00EE6B7C">
            <w:pPr>
              <w:autoSpaceDE w:val="0"/>
              <w:autoSpaceDN w:val="0"/>
              <w:adjustRightInd w:val="0"/>
              <w:spacing w:line="276" w:lineRule="auto"/>
              <w:jc w:val="center"/>
              <w:rPr>
                <w:rFonts w:eastAsia="Times New Roman" w:cs="Times New Roman"/>
                <w:b/>
                <w:bCs/>
                <w:szCs w:val="24"/>
                <w:lang w:eastAsia="bg-BG"/>
              </w:rPr>
            </w:pPr>
            <w:r>
              <w:rPr>
                <w:rFonts w:eastAsia="Times New Roman" w:cs="Times New Roman"/>
                <w:b/>
                <w:bCs/>
                <w:szCs w:val="24"/>
                <w:lang w:eastAsia="bg-BG"/>
              </w:rPr>
              <w:t>5</w:t>
            </w:r>
            <w:r w:rsidR="00EE6B7C">
              <w:rPr>
                <w:rFonts w:eastAsia="Times New Roman" w:cs="Times New Roman"/>
                <w:b/>
                <w:bCs/>
                <w:szCs w:val="24"/>
                <w:lang w:eastAsia="bg-BG"/>
              </w:rPr>
              <w:t xml:space="preserve"> 0</w:t>
            </w:r>
            <w:r w:rsidR="00FF2876" w:rsidRPr="00FF2876">
              <w:rPr>
                <w:rFonts w:eastAsia="Times New Roman" w:cs="Times New Roman"/>
                <w:b/>
                <w:bCs/>
                <w:szCs w:val="24"/>
                <w:lang w:eastAsia="bg-BG"/>
              </w:rPr>
              <w:t>00,00 лева</w:t>
            </w:r>
          </w:p>
        </w:tc>
        <w:tc>
          <w:tcPr>
            <w:tcW w:w="5314" w:type="dxa"/>
            <w:shd w:val="clear" w:color="auto" w:fill="auto"/>
            <w:vAlign w:val="center"/>
          </w:tcPr>
          <w:p w14:paraId="02E5A769" w14:textId="5EB8CA3C" w:rsidR="001069D0" w:rsidRPr="00EE6B7C" w:rsidRDefault="00F609B6" w:rsidP="00EE6B7C">
            <w:pPr>
              <w:autoSpaceDE w:val="0"/>
              <w:autoSpaceDN w:val="0"/>
              <w:adjustRightInd w:val="0"/>
              <w:spacing w:line="276" w:lineRule="auto"/>
              <w:jc w:val="center"/>
              <w:rPr>
                <w:rFonts w:eastAsia="Times New Roman" w:cs="Times New Roman"/>
                <w:b/>
                <w:bCs/>
                <w:szCs w:val="24"/>
                <w:lang w:eastAsia="bg-BG"/>
              </w:rPr>
            </w:pPr>
            <w:r>
              <w:rPr>
                <w:rFonts w:eastAsia="Times New Roman" w:cs="Times New Roman"/>
                <w:b/>
                <w:bCs/>
                <w:szCs w:val="24"/>
                <w:lang w:eastAsia="bg-BG"/>
              </w:rPr>
              <w:t>10</w:t>
            </w:r>
            <w:r w:rsidR="00EE6B7C">
              <w:rPr>
                <w:rFonts w:eastAsia="Times New Roman" w:cs="Times New Roman"/>
                <w:b/>
                <w:bCs/>
                <w:szCs w:val="24"/>
                <w:lang w:eastAsia="bg-BG"/>
              </w:rPr>
              <w:t>0</w:t>
            </w:r>
            <w:r w:rsidR="00FF2876" w:rsidRPr="00FF2876">
              <w:rPr>
                <w:rFonts w:eastAsia="Times New Roman" w:cs="Times New Roman"/>
                <w:b/>
                <w:bCs/>
                <w:szCs w:val="24"/>
                <w:lang w:eastAsia="bg-BG"/>
              </w:rPr>
              <w:t xml:space="preserve"> 000,00 лева</w:t>
            </w:r>
            <w:r w:rsidR="00EE6B7C">
              <w:rPr>
                <w:rFonts w:eastAsia="Times New Roman" w:cs="Times New Roman"/>
                <w:b/>
                <w:bCs/>
                <w:szCs w:val="24"/>
                <w:lang w:eastAsia="bg-BG"/>
              </w:rPr>
              <w:t xml:space="preserve"> </w:t>
            </w:r>
          </w:p>
        </w:tc>
      </w:tr>
    </w:tbl>
    <w:p w14:paraId="5EDA5F89" w14:textId="77777777" w:rsidR="00F609B6" w:rsidRPr="0062413A" w:rsidRDefault="00F609B6" w:rsidP="00F609B6">
      <w:pPr>
        <w:widowControl w:val="0"/>
        <w:autoSpaceDE w:val="0"/>
        <w:autoSpaceDN w:val="0"/>
        <w:adjustRightInd w:val="0"/>
        <w:spacing w:after="0"/>
        <w:jc w:val="both"/>
        <w:rPr>
          <w:b/>
          <w:szCs w:val="24"/>
          <w:lang w:eastAsia="bg-BG"/>
        </w:rPr>
      </w:pPr>
      <w:r w:rsidRPr="0062413A">
        <w:rPr>
          <w:b/>
          <w:szCs w:val="24"/>
          <w:lang w:eastAsia="bg-BG"/>
        </w:rPr>
        <w:t>Финансови параметри на проектите:</w:t>
      </w:r>
    </w:p>
    <w:p w14:paraId="7A8FEFD8" w14:textId="58C60E37" w:rsidR="00F609B6" w:rsidRDefault="00F609B6" w:rsidP="00A0575E">
      <w:pPr>
        <w:widowControl w:val="0"/>
        <w:numPr>
          <w:ilvl w:val="0"/>
          <w:numId w:val="12"/>
        </w:numPr>
        <w:autoSpaceDE w:val="0"/>
        <w:autoSpaceDN w:val="0"/>
        <w:adjustRightInd w:val="0"/>
        <w:spacing w:after="0" w:line="240" w:lineRule="auto"/>
        <w:contextualSpacing/>
        <w:jc w:val="both"/>
        <w:rPr>
          <w:szCs w:val="24"/>
          <w:lang w:eastAsia="bg-BG"/>
        </w:rPr>
      </w:pPr>
      <w:r w:rsidRPr="0062413A">
        <w:rPr>
          <w:szCs w:val="24"/>
          <w:lang w:eastAsia="bg-BG"/>
        </w:rPr>
        <w:t xml:space="preserve">Минималният размер на общите допустими разходи за един проект е </w:t>
      </w:r>
      <w:r>
        <w:rPr>
          <w:szCs w:val="24"/>
          <w:lang w:eastAsia="bg-BG"/>
        </w:rPr>
        <w:t>10 000,00 лева</w:t>
      </w:r>
    </w:p>
    <w:p w14:paraId="43981CB9" w14:textId="3D72ECB5" w:rsidR="00E56540" w:rsidRPr="001B644B" w:rsidRDefault="00F609B6" w:rsidP="001B644B">
      <w:pPr>
        <w:widowControl w:val="0"/>
        <w:numPr>
          <w:ilvl w:val="0"/>
          <w:numId w:val="12"/>
        </w:numPr>
        <w:autoSpaceDE w:val="0"/>
        <w:autoSpaceDN w:val="0"/>
        <w:adjustRightInd w:val="0"/>
        <w:spacing w:after="0" w:line="240" w:lineRule="auto"/>
        <w:contextualSpacing/>
        <w:jc w:val="both"/>
        <w:rPr>
          <w:szCs w:val="24"/>
          <w:lang w:eastAsia="bg-BG"/>
        </w:rPr>
      </w:pPr>
      <w:r w:rsidRPr="001B644B">
        <w:rPr>
          <w:szCs w:val="24"/>
          <w:lang w:eastAsia="bg-BG"/>
        </w:rPr>
        <w:t>Максималния размер на общите допустими разходи за един проект е 200 000,00 лева</w:t>
      </w:r>
    </w:p>
    <w:p w14:paraId="50E19123" w14:textId="77777777" w:rsidR="00F609B6" w:rsidRDefault="00F609B6" w:rsidP="00F609B6">
      <w:pPr>
        <w:shd w:val="clear" w:color="auto" w:fill="FEFEFE"/>
        <w:spacing w:after="0" w:line="276" w:lineRule="auto"/>
        <w:rPr>
          <w:rFonts w:cs="Times New Roman"/>
          <w:b/>
          <w:szCs w:val="24"/>
          <w:lang w:val="en-US" w:eastAsia="bg-BG"/>
        </w:rPr>
      </w:pPr>
    </w:p>
    <w:p w14:paraId="1083A495" w14:textId="2EF4918B" w:rsidR="00EE6B7C" w:rsidRPr="00EE6B7C" w:rsidRDefault="00EE6B7C" w:rsidP="00017CAF">
      <w:pPr>
        <w:shd w:val="clear" w:color="auto" w:fill="FEFEFE"/>
        <w:spacing w:after="0" w:line="276" w:lineRule="auto"/>
        <w:rPr>
          <w:rFonts w:cs="Times New Roman"/>
          <w:b/>
          <w:szCs w:val="24"/>
          <w:lang w:eastAsia="bg-BG"/>
        </w:rPr>
      </w:pPr>
      <w:r>
        <w:rPr>
          <w:rFonts w:cs="Times New Roman"/>
          <w:b/>
          <w:szCs w:val="24"/>
          <w:lang w:eastAsia="bg-BG"/>
        </w:rPr>
        <w:t>8. ПРОЦЕНТ НА СЪФИНАНСИРАНЕ</w:t>
      </w:r>
    </w:p>
    <w:tbl>
      <w:tblPr>
        <w:tblStyle w:val="a8"/>
        <w:tblW w:w="0" w:type="auto"/>
        <w:tblLook w:val="04A0" w:firstRow="1" w:lastRow="0" w:firstColumn="1" w:lastColumn="0" w:noHBand="0" w:noVBand="1"/>
      </w:tblPr>
      <w:tblGrid>
        <w:gridCol w:w="10763"/>
      </w:tblGrid>
      <w:tr w:rsidR="00EE6B7C" w14:paraId="5B1918B8" w14:textId="77777777" w:rsidTr="00EE6B7C">
        <w:tc>
          <w:tcPr>
            <w:tcW w:w="10913" w:type="dxa"/>
          </w:tcPr>
          <w:p w14:paraId="3FC6CF56" w14:textId="77777777" w:rsidR="00F609B6" w:rsidRPr="00F609B6" w:rsidRDefault="00F609B6" w:rsidP="00F609B6">
            <w:pPr>
              <w:spacing w:line="276" w:lineRule="auto"/>
              <w:rPr>
                <w:rFonts w:cs="Times New Roman"/>
                <w:szCs w:val="24"/>
                <w:lang w:val="en-US" w:eastAsia="bg-BG"/>
              </w:rPr>
            </w:pPr>
            <w:proofErr w:type="spellStart"/>
            <w:r w:rsidRPr="00F609B6">
              <w:rPr>
                <w:rFonts w:cs="Times New Roman"/>
                <w:szCs w:val="24"/>
                <w:lang w:val="en-US" w:eastAsia="bg-BG"/>
              </w:rPr>
              <w:t>Интензитетът</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на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безвъзмездната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финансова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помощ</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съгласно</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Стратегията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за</w:t>
            </w:r>
            <w:proofErr w:type="spellEnd"/>
            <w:r w:rsidRPr="00F609B6">
              <w:rPr>
                <w:rFonts w:cs="Times New Roman"/>
                <w:szCs w:val="24"/>
                <w:lang w:val="en-US" w:eastAsia="bg-BG"/>
              </w:rPr>
              <w:t xml:space="preserve"> ВОМР </w:t>
            </w:r>
            <w:proofErr w:type="spellStart"/>
            <w:r w:rsidRPr="00F609B6">
              <w:rPr>
                <w:rFonts w:cs="Times New Roman"/>
                <w:szCs w:val="24"/>
                <w:lang w:val="en-US" w:eastAsia="bg-BG"/>
              </w:rPr>
              <w:t>на</w:t>
            </w:r>
            <w:proofErr w:type="spellEnd"/>
            <w:r w:rsidRPr="00F609B6">
              <w:rPr>
                <w:rFonts w:cs="Times New Roman"/>
                <w:szCs w:val="24"/>
                <w:lang w:val="en-US" w:eastAsia="bg-BG"/>
              </w:rPr>
              <w:t xml:space="preserve"> „МИГ </w:t>
            </w:r>
            <w:proofErr w:type="spellStart"/>
            <w:r w:rsidRPr="00F609B6">
              <w:rPr>
                <w:rFonts w:cs="Times New Roman"/>
                <w:szCs w:val="24"/>
                <w:lang w:val="en-US" w:eastAsia="bg-BG"/>
              </w:rPr>
              <w:t>Луковит-</w:t>
            </w:r>
            <w:proofErr w:type="gramStart"/>
            <w:r w:rsidRPr="00F609B6">
              <w:rPr>
                <w:rFonts w:cs="Times New Roman"/>
                <w:szCs w:val="24"/>
                <w:lang w:val="en-US" w:eastAsia="bg-BG"/>
              </w:rPr>
              <w:t>Роман</w:t>
            </w:r>
            <w:proofErr w:type="spellEnd"/>
            <w:r w:rsidRPr="00F609B6">
              <w:rPr>
                <w:rFonts w:cs="Times New Roman"/>
                <w:szCs w:val="24"/>
                <w:lang w:val="en-US" w:eastAsia="bg-BG"/>
              </w:rPr>
              <w:t>“ е</w:t>
            </w:r>
            <w:proofErr w:type="gramEnd"/>
            <w:r w:rsidRPr="00F609B6">
              <w:rPr>
                <w:rFonts w:cs="Times New Roman"/>
                <w:szCs w:val="24"/>
                <w:lang w:val="en-US" w:eastAsia="bg-BG"/>
              </w:rPr>
              <w:t xml:space="preserve"> 50% </w:t>
            </w:r>
            <w:proofErr w:type="spellStart"/>
            <w:r w:rsidRPr="00F609B6">
              <w:rPr>
                <w:rFonts w:cs="Times New Roman"/>
                <w:szCs w:val="24"/>
                <w:lang w:val="en-US" w:eastAsia="bg-BG"/>
              </w:rPr>
              <w:t>от</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общия</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размер</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на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допустимите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разходи</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по</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всеки</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проект</w:t>
            </w:r>
            <w:proofErr w:type="spellEnd"/>
            <w:r w:rsidRPr="00F609B6">
              <w:rPr>
                <w:rFonts w:cs="Times New Roman"/>
                <w:szCs w:val="24"/>
                <w:lang w:val="en-US" w:eastAsia="bg-BG"/>
              </w:rPr>
              <w:t>.</w:t>
            </w:r>
          </w:p>
          <w:p w14:paraId="1FDF785C" w14:textId="490CE1B2" w:rsidR="00EE6B7C" w:rsidRPr="00EE6B7C" w:rsidRDefault="00F609B6" w:rsidP="00F609B6">
            <w:pPr>
              <w:spacing w:line="276" w:lineRule="auto"/>
              <w:rPr>
                <w:rFonts w:cs="Times New Roman"/>
                <w:b/>
                <w:szCs w:val="24"/>
                <w:lang w:eastAsia="bg-BG"/>
              </w:rPr>
            </w:pPr>
            <w:proofErr w:type="spellStart"/>
            <w:r w:rsidRPr="00F609B6">
              <w:rPr>
                <w:rFonts w:cs="Times New Roman"/>
                <w:szCs w:val="24"/>
                <w:lang w:val="en-US" w:eastAsia="bg-BG"/>
              </w:rPr>
              <w:lastRenderedPageBreak/>
              <w:t>Съфинансиране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от</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бенефициента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Разликата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между</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пълния</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размер</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на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допустимите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за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финансово</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подпомагане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разходи</w:t>
            </w:r>
            <w:proofErr w:type="spellEnd"/>
            <w:r w:rsidRPr="00F609B6">
              <w:rPr>
                <w:rFonts w:cs="Times New Roman"/>
                <w:szCs w:val="24"/>
                <w:lang w:val="en-US" w:eastAsia="bg-BG"/>
              </w:rPr>
              <w:t xml:space="preserve"> и </w:t>
            </w:r>
            <w:proofErr w:type="spellStart"/>
            <w:r w:rsidRPr="00F609B6">
              <w:rPr>
                <w:rFonts w:cs="Times New Roman"/>
                <w:szCs w:val="24"/>
                <w:lang w:val="en-US" w:eastAsia="bg-BG"/>
              </w:rPr>
              <w:t>размера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на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безвъзмездната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финансова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помощ</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се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осигурява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от</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кандидата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Участието</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на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кандидата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може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да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бъде</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само</w:t>
            </w:r>
            <w:proofErr w:type="spellEnd"/>
            <w:r w:rsidRPr="00F609B6">
              <w:rPr>
                <w:rFonts w:cs="Times New Roman"/>
                <w:szCs w:val="24"/>
                <w:lang w:val="en-US" w:eastAsia="bg-BG"/>
              </w:rPr>
              <w:t xml:space="preserve"> в </w:t>
            </w:r>
            <w:proofErr w:type="spellStart"/>
            <w:r w:rsidRPr="00F609B6">
              <w:rPr>
                <w:rFonts w:cs="Times New Roman"/>
                <w:szCs w:val="24"/>
                <w:lang w:val="en-US" w:eastAsia="bg-BG"/>
              </w:rPr>
              <w:t>парична</w:t>
            </w:r>
            <w:proofErr w:type="spellEnd"/>
            <w:r w:rsidRPr="00F609B6">
              <w:rPr>
                <w:rFonts w:cs="Times New Roman"/>
                <w:szCs w:val="24"/>
                <w:lang w:val="en-US" w:eastAsia="bg-BG"/>
              </w:rPr>
              <w:t xml:space="preserve"> </w:t>
            </w:r>
            <w:proofErr w:type="spellStart"/>
            <w:r w:rsidRPr="00F609B6">
              <w:rPr>
                <w:rFonts w:cs="Times New Roman"/>
                <w:szCs w:val="24"/>
                <w:lang w:val="en-US" w:eastAsia="bg-BG"/>
              </w:rPr>
              <w:t>форма</w:t>
            </w:r>
            <w:proofErr w:type="spellEnd"/>
            <w:r w:rsidRPr="00F609B6">
              <w:rPr>
                <w:rFonts w:cs="Times New Roman"/>
                <w:szCs w:val="24"/>
                <w:lang w:val="en-US" w:eastAsia="bg-BG"/>
              </w:rPr>
              <w:t>.</w:t>
            </w:r>
          </w:p>
        </w:tc>
      </w:tr>
    </w:tbl>
    <w:p w14:paraId="16ED4CA6" w14:textId="00D15B67" w:rsidR="00017CAF" w:rsidRPr="00080C5D" w:rsidRDefault="00017CAF" w:rsidP="00017CAF">
      <w:pPr>
        <w:shd w:val="clear" w:color="auto" w:fill="FEFEFE"/>
        <w:spacing w:after="0" w:line="276" w:lineRule="auto"/>
        <w:rPr>
          <w:rFonts w:cs="Times New Roman"/>
          <w:b/>
          <w:szCs w:val="24"/>
          <w:lang w:val="en-US" w:eastAsia="bg-BG"/>
        </w:rPr>
      </w:pPr>
    </w:p>
    <w:p w14:paraId="3D92B0BC" w14:textId="4F41D02A" w:rsidR="00D3123F" w:rsidRPr="00080C5D" w:rsidRDefault="00942F74" w:rsidP="00017CAF">
      <w:pPr>
        <w:shd w:val="clear" w:color="auto" w:fill="FEFEFE"/>
        <w:spacing w:after="0" w:line="276" w:lineRule="auto"/>
        <w:rPr>
          <w:rFonts w:cs="Times New Roman"/>
          <w:b/>
          <w:szCs w:val="24"/>
          <w:lang w:val="en-US" w:eastAsia="bg-BG"/>
        </w:rPr>
      </w:pPr>
      <w:r>
        <w:rPr>
          <w:rFonts w:cs="Times New Roman"/>
          <w:b/>
          <w:szCs w:val="24"/>
          <w:lang w:eastAsia="bg-BG"/>
        </w:rPr>
        <w:t>9</w:t>
      </w:r>
      <w:r w:rsidR="00D3123F" w:rsidRPr="00080C5D">
        <w:rPr>
          <w:rFonts w:cs="Times New Roman"/>
          <w:b/>
          <w:szCs w:val="24"/>
          <w:lang w:eastAsia="bg-BG"/>
        </w:rPr>
        <w:t>. КРИТЕРИИ ЗА ИЗБОР НА ПРОЕКТНИ ПРЕДЛОЖЕНИЯ И ТЯХНАТА ТЕЖЕСТ</w:t>
      </w:r>
    </w:p>
    <w:p w14:paraId="10165F34" w14:textId="77777777" w:rsidR="00C1113E" w:rsidRPr="00080C5D" w:rsidRDefault="00C1113E" w:rsidP="00017CAF">
      <w:pPr>
        <w:shd w:val="clear" w:color="auto" w:fill="FEFEFE"/>
        <w:spacing w:after="0" w:line="276" w:lineRule="auto"/>
        <w:rPr>
          <w:rFonts w:cs="Times New Roman"/>
          <w:b/>
          <w:szCs w:val="24"/>
          <w:lang w:val="en-US" w:eastAsia="bg-BG"/>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4"/>
        <w:gridCol w:w="1147"/>
      </w:tblGrid>
      <w:tr w:rsidR="006D2EC5" w:rsidRPr="006D2EC5" w14:paraId="28F28AB2" w14:textId="77777777" w:rsidTr="006D2EC5">
        <w:trPr>
          <w:jc w:val="center"/>
        </w:trPr>
        <w:tc>
          <w:tcPr>
            <w:tcW w:w="10441" w:type="dxa"/>
            <w:gridSpan w:val="2"/>
            <w:tcBorders>
              <w:top w:val="single" w:sz="4" w:space="0" w:color="auto"/>
            </w:tcBorders>
          </w:tcPr>
          <w:p w14:paraId="2E2051E5" w14:textId="0BB89033" w:rsidR="006D2EC5" w:rsidRPr="006D2EC5" w:rsidRDefault="00FF2876" w:rsidP="006D2EC5">
            <w:pPr>
              <w:shd w:val="clear" w:color="auto" w:fill="FEFEFE"/>
              <w:spacing w:after="0" w:line="276" w:lineRule="auto"/>
              <w:rPr>
                <w:rFonts w:cs="Times New Roman"/>
                <w:b/>
                <w:color w:val="000000" w:themeColor="text1"/>
                <w:szCs w:val="24"/>
                <w:lang w:eastAsia="bg-BG"/>
              </w:rPr>
            </w:pPr>
            <w:r w:rsidRPr="00FF2876">
              <w:rPr>
                <w:rFonts w:cs="Times New Roman"/>
                <w:b/>
                <w:color w:val="000000" w:themeColor="text1"/>
                <w:szCs w:val="24"/>
                <w:lang w:eastAsia="bg-BG"/>
              </w:rPr>
              <w:t>Постъпилите проектни предложения се оценяват в съответствие със следните критерии за подбор от одобрената СВОМР:</w:t>
            </w:r>
          </w:p>
        </w:tc>
      </w:tr>
      <w:tr w:rsidR="006D2EC5" w:rsidRPr="006D2EC5" w14:paraId="0D38AFBE" w14:textId="77777777" w:rsidTr="006D2EC5">
        <w:trPr>
          <w:jc w:val="center"/>
        </w:trPr>
        <w:tc>
          <w:tcPr>
            <w:tcW w:w="9294" w:type="dxa"/>
            <w:tcBorders>
              <w:top w:val="single" w:sz="4" w:space="0" w:color="auto"/>
            </w:tcBorders>
          </w:tcPr>
          <w:p w14:paraId="7BBF9398" w14:textId="77777777" w:rsidR="006D2EC5" w:rsidRPr="006D2EC5" w:rsidRDefault="006D2EC5" w:rsidP="006D2EC5">
            <w:pPr>
              <w:shd w:val="clear" w:color="auto" w:fill="FEFEFE"/>
              <w:spacing w:after="0" w:line="276" w:lineRule="auto"/>
              <w:rPr>
                <w:rFonts w:cs="Times New Roman"/>
                <w:b/>
                <w:color w:val="000000" w:themeColor="text1"/>
                <w:szCs w:val="24"/>
                <w:lang w:eastAsia="bg-BG"/>
              </w:rPr>
            </w:pPr>
            <w:r w:rsidRPr="006D2EC5">
              <w:rPr>
                <w:rFonts w:cs="Times New Roman"/>
                <w:b/>
                <w:color w:val="000000" w:themeColor="text1"/>
                <w:szCs w:val="24"/>
                <w:lang w:eastAsia="bg-BG"/>
              </w:rPr>
              <w:t>Критерии за ОЦЕНКА</w:t>
            </w:r>
          </w:p>
        </w:tc>
        <w:tc>
          <w:tcPr>
            <w:tcW w:w="1147" w:type="dxa"/>
            <w:tcBorders>
              <w:top w:val="single" w:sz="4" w:space="0" w:color="auto"/>
            </w:tcBorders>
          </w:tcPr>
          <w:p w14:paraId="7F8E329D" w14:textId="77777777" w:rsidR="006D2EC5" w:rsidRPr="006D2EC5" w:rsidRDefault="006D2EC5" w:rsidP="006D2EC5">
            <w:pPr>
              <w:shd w:val="clear" w:color="auto" w:fill="FEFEFE"/>
              <w:spacing w:after="0" w:line="276" w:lineRule="auto"/>
              <w:rPr>
                <w:rFonts w:cs="Times New Roman"/>
                <w:b/>
                <w:color w:val="000000" w:themeColor="text1"/>
                <w:szCs w:val="24"/>
                <w:lang w:eastAsia="bg-BG"/>
              </w:rPr>
            </w:pPr>
            <w:r w:rsidRPr="006D2EC5">
              <w:rPr>
                <w:rFonts w:cs="Times New Roman"/>
                <w:b/>
                <w:color w:val="000000" w:themeColor="text1"/>
                <w:szCs w:val="24"/>
                <w:lang w:eastAsia="bg-BG"/>
              </w:rPr>
              <w:t>Точки</w:t>
            </w:r>
          </w:p>
        </w:tc>
      </w:tr>
      <w:tr w:rsidR="00F609B6" w:rsidRPr="006D2EC5" w14:paraId="00577FA2" w14:textId="77777777" w:rsidTr="00941EF2">
        <w:trPr>
          <w:jc w:val="center"/>
        </w:trPr>
        <w:tc>
          <w:tcPr>
            <w:tcW w:w="9294" w:type="dxa"/>
            <w:tcBorders>
              <w:top w:val="single" w:sz="4" w:space="0" w:color="auto"/>
              <w:left w:val="single" w:sz="4" w:space="0" w:color="auto"/>
              <w:bottom w:val="single" w:sz="4" w:space="0" w:color="auto"/>
              <w:right w:val="single" w:sz="4" w:space="0" w:color="auto"/>
            </w:tcBorders>
          </w:tcPr>
          <w:p w14:paraId="52BAC57E" w14:textId="40B9C7A0" w:rsidR="00F609B6" w:rsidRPr="006D2EC5" w:rsidRDefault="00F609B6" w:rsidP="00F609B6">
            <w:pPr>
              <w:shd w:val="clear" w:color="auto" w:fill="FEFEFE"/>
              <w:spacing w:after="0" w:line="276" w:lineRule="auto"/>
              <w:rPr>
                <w:rFonts w:cs="Times New Roman"/>
                <w:b/>
                <w:color w:val="000000" w:themeColor="text1"/>
                <w:szCs w:val="24"/>
                <w:lang w:eastAsia="bg-BG"/>
              </w:rPr>
            </w:pPr>
            <w:r w:rsidRPr="007A28FF">
              <w:rPr>
                <w:szCs w:val="24"/>
                <w:shd w:val="clear" w:color="auto" w:fill="FEFEFE"/>
              </w:rPr>
              <w:t>Проектът включва инвестиция за закупуване на техника, която притежава валиден сертификат за съответствие с одобрения тип (сертификат за одобрение на типа на Европейската общност)</w:t>
            </w:r>
          </w:p>
        </w:tc>
        <w:tc>
          <w:tcPr>
            <w:tcW w:w="1147" w:type="dxa"/>
            <w:tcBorders>
              <w:top w:val="single" w:sz="4" w:space="0" w:color="auto"/>
              <w:left w:val="single" w:sz="4" w:space="0" w:color="auto"/>
              <w:bottom w:val="single" w:sz="4" w:space="0" w:color="auto"/>
              <w:right w:val="single" w:sz="4" w:space="0" w:color="auto"/>
            </w:tcBorders>
          </w:tcPr>
          <w:p w14:paraId="623758D3" w14:textId="4D66CCFF" w:rsidR="00F609B6" w:rsidRPr="006D2EC5" w:rsidRDefault="00E31440" w:rsidP="00F609B6">
            <w:pPr>
              <w:shd w:val="clear" w:color="auto" w:fill="FEFEFE"/>
              <w:spacing w:after="0" w:line="276" w:lineRule="auto"/>
              <w:rPr>
                <w:rFonts w:cs="Times New Roman"/>
                <w:b/>
                <w:color w:val="000000" w:themeColor="text1"/>
                <w:szCs w:val="24"/>
                <w:lang w:eastAsia="bg-BG"/>
              </w:rPr>
            </w:pPr>
            <w:r>
              <w:rPr>
                <w:rFonts w:eastAsia="Calibri"/>
                <w:szCs w:val="24"/>
                <w:lang w:eastAsia="sr-Cyrl-CS"/>
              </w:rPr>
              <w:t>1</w:t>
            </w:r>
            <w:r w:rsidR="00F609B6">
              <w:rPr>
                <w:rFonts w:eastAsia="Calibri"/>
                <w:szCs w:val="24"/>
                <w:lang w:eastAsia="sr-Cyrl-CS"/>
              </w:rPr>
              <w:t>0</w:t>
            </w:r>
          </w:p>
        </w:tc>
      </w:tr>
      <w:tr w:rsidR="00F609B6" w:rsidRPr="006D2EC5" w14:paraId="61D63568" w14:textId="77777777" w:rsidTr="00941EF2">
        <w:trPr>
          <w:jc w:val="center"/>
        </w:trPr>
        <w:tc>
          <w:tcPr>
            <w:tcW w:w="9294" w:type="dxa"/>
            <w:tcBorders>
              <w:top w:val="single" w:sz="4" w:space="0" w:color="auto"/>
              <w:left w:val="single" w:sz="4" w:space="0" w:color="auto"/>
              <w:bottom w:val="single" w:sz="4" w:space="0" w:color="auto"/>
              <w:right w:val="single" w:sz="4" w:space="0" w:color="auto"/>
            </w:tcBorders>
          </w:tcPr>
          <w:p w14:paraId="5C0BF55B" w14:textId="77777777" w:rsidR="00F609B6" w:rsidRPr="00A04B77" w:rsidRDefault="00F609B6" w:rsidP="00F609B6">
            <w:pPr>
              <w:spacing w:after="0"/>
              <w:rPr>
                <w:szCs w:val="24"/>
                <w:shd w:val="clear" w:color="auto" w:fill="FEFEFE"/>
              </w:rPr>
            </w:pPr>
            <w:r w:rsidRPr="00A04B77">
              <w:rPr>
                <w:szCs w:val="24"/>
                <w:shd w:val="clear" w:color="auto" w:fill="FEFEFE"/>
              </w:rPr>
              <w:t>Проектът създава нови работни места</w:t>
            </w:r>
            <w:r w:rsidRPr="00A04B77">
              <w:rPr>
                <w:szCs w:val="24"/>
                <w:shd w:val="clear" w:color="auto" w:fill="FEFEFE"/>
              </w:rPr>
              <w:tab/>
            </w:r>
          </w:p>
          <w:p w14:paraId="51D07E32" w14:textId="77777777" w:rsidR="00F609B6" w:rsidRPr="00A04B77" w:rsidRDefault="00F609B6" w:rsidP="00F609B6">
            <w:pPr>
              <w:spacing w:after="0"/>
              <w:rPr>
                <w:szCs w:val="24"/>
                <w:shd w:val="clear" w:color="auto" w:fill="FEFEFE"/>
              </w:rPr>
            </w:pPr>
            <w:r>
              <w:rPr>
                <w:szCs w:val="24"/>
                <w:shd w:val="clear" w:color="auto" w:fill="FEFEFE"/>
              </w:rPr>
              <w:t xml:space="preserve">- От 1 до 2 вкл. - </w:t>
            </w:r>
            <w:r w:rsidRPr="00A04B77">
              <w:rPr>
                <w:szCs w:val="24"/>
                <w:shd w:val="clear" w:color="auto" w:fill="FEFEFE"/>
              </w:rPr>
              <w:t>20</w:t>
            </w:r>
            <w:r>
              <w:rPr>
                <w:szCs w:val="24"/>
                <w:shd w:val="clear" w:color="auto" w:fill="FEFEFE"/>
              </w:rPr>
              <w:t xml:space="preserve"> точки</w:t>
            </w:r>
          </w:p>
          <w:p w14:paraId="37C80953" w14:textId="468631B6" w:rsidR="00F609B6" w:rsidRPr="006D2EC5" w:rsidRDefault="00F609B6" w:rsidP="00F609B6">
            <w:pPr>
              <w:shd w:val="clear" w:color="auto" w:fill="FEFEFE"/>
              <w:spacing w:after="0" w:line="276" w:lineRule="auto"/>
              <w:rPr>
                <w:rFonts w:cs="Times New Roman"/>
                <w:b/>
                <w:color w:val="000000" w:themeColor="text1"/>
                <w:szCs w:val="24"/>
                <w:lang w:eastAsia="bg-BG"/>
              </w:rPr>
            </w:pPr>
            <w:r>
              <w:rPr>
                <w:szCs w:val="24"/>
                <w:shd w:val="clear" w:color="auto" w:fill="FEFEFE"/>
              </w:rPr>
              <w:t xml:space="preserve">- </w:t>
            </w:r>
            <w:r w:rsidRPr="00A04B77">
              <w:rPr>
                <w:szCs w:val="24"/>
                <w:shd w:val="clear" w:color="auto" w:fill="FEFEFE"/>
              </w:rPr>
              <w:t>От 3 до 5 вкл.</w:t>
            </w:r>
            <w:r>
              <w:rPr>
                <w:szCs w:val="24"/>
                <w:shd w:val="clear" w:color="auto" w:fill="FEFEFE"/>
              </w:rPr>
              <w:t xml:space="preserve"> – </w:t>
            </w:r>
            <w:r w:rsidRPr="00A04B77">
              <w:rPr>
                <w:szCs w:val="24"/>
                <w:shd w:val="clear" w:color="auto" w:fill="FEFEFE"/>
              </w:rPr>
              <w:t>30</w:t>
            </w:r>
            <w:r>
              <w:rPr>
                <w:szCs w:val="24"/>
                <w:shd w:val="clear" w:color="auto" w:fill="FEFEFE"/>
              </w:rPr>
              <w:t xml:space="preserve"> точки</w:t>
            </w:r>
          </w:p>
        </w:tc>
        <w:tc>
          <w:tcPr>
            <w:tcW w:w="1147" w:type="dxa"/>
            <w:tcBorders>
              <w:top w:val="single" w:sz="4" w:space="0" w:color="auto"/>
              <w:left w:val="single" w:sz="4" w:space="0" w:color="auto"/>
              <w:bottom w:val="single" w:sz="4" w:space="0" w:color="auto"/>
              <w:right w:val="single" w:sz="4" w:space="0" w:color="auto"/>
            </w:tcBorders>
          </w:tcPr>
          <w:p w14:paraId="101A73B9" w14:textId="6B5EA1E7" w:rsidR="00F609B6" w:rsidRPr="006D2EC5" w:rsidRDefault="00F609B6" w:rsidP="00F609B6">
            <w:pPr>
              <w:shd w:val="clear" w:color="auto" w:fill="FEFEFE"/>
              <w:spacing w:after="0" w:line="276" w:lineRule="auto"/>
              <w:rPr>
                <w:rFonts w:cs="Times New Roman"/>
                <w:b/>
                <w:color w:val="000000" w:themeColor="text1"/>
                <w:szCs w:val="24"/>
                <w:lang w:eastAsia="bg-BG"/>
              </w:rPr>
            </w:pPr>
            <w:r>
              <w:rPr>
                <w:rFonts w:eastAsia="Calibri"/>
                <w:szCs w:val="24"/>
                <w:lang w:eastAsia="sr-Cyrl-CS"/>
              </w:rPr>
              <w:t>30</w:t>
            </w:r>
          </w:p>
        </w:tc>
      </w:tr>
      <w:tr w:rsidR="00F609B6" w:rsidRPr="006D2EC5" w14:paraId="208487F7" w14:textId="77777777" w:rsidTr="008C5EFC">
        <w:trPr>
          <w:trHeight w:val="331"/>
          <w:jc w:val="center"/>
        </w:trPr>
        <w:tc>
          <w:tcPr>
            <w:tcW w:w="9294" w:type="dxa"/>
            <w:tcBorders>
              <w:top w:val="single" w:sz="4" w:space="0" w:color="auto"/>
              <w:left w:val="single" w:sz="4" w:space="0" w:color="auto"/>
              <w:bottom w:val="single" w:sz="4" w:space="0" w:color="auto"/>
              <w:right w:val="single" w:sz="4" w:space="0" w:color="auto"/>
            </w:tcBorders>
          </w:tcPr>
          <w:p w14:paraId="7CD3430D" w14:textId="51C276A2" w:rsidR="00F609B6" w:rsidRPr="006D2EC5" w:rsidRDefault="00F609B6" w:rsidP="00F609B6">
            <w:pPr>
              <w:shd w:val="clear" w:color="auto" w:fill="FEFEFE"/>
              <w:spacing w:after="0" w:line="276" w:lineRule="auto"/>
              <w:rPr>
                <w:rFonts w:cs="Times New Roman"/>
                <w:b/>
                <w:color w:val="000000" w:themeColor="text1"/>
                <w:szCs w:val="24"/>
                <w:lang w:eastAsia="bg-BG"/>
              </w:rPr>
            </w:pPr>
            <w:r w:rsidRPr="00A04B77">
              <w:rPr>
                <w:szCs w:val="24"/>
                <w:shd w:val="clear" w:color="auto" w:fill="FEFEFE"/>
              </w:rPr>
              <w:t>Кандидатът запазва не по-малко от 4 съществуващи работни места</w:t>
            </w:r>
          </w:p>
        </w:tc>
        <w:tc>
          <w:tcPr>
            <w:tcW w:w="1147" w:type="dxa"/>
            <w:tcBorders>
              <w:top w:val="single" w:sz="4" w:space="0" w:color="auto"/>
              <w:left w:val="single" w:sz="4" w:space="0" w:color="auto"/>
              <w:bottom w:val="single" w:sz="4" w:space="0" w:color="auto"/>
              <w:right w:val="single" w:sz="4" w:space="0" w:color="auto"/>
            </w:tcBorders>
          </w:tcPr>
          <w:p w14:paraId="4FC054DD" w14:textId="4A6998DB" w:rsidR="00F609B6" w:rsidRPr="006D2EC5" w:rsidRDefault="00F609B6" w:rsidP="00F609B6">
            <w:pPr>
              <w:shd w:val="clear" w:color="auto" w:fill="FEFEFE"/>
              <w:spacing w:after="0" w:line="276" w:lineRule="auto"/>
              <w:rPr>
                <w:rFonts w:cs="Times New Roman"/>
                <w:b/>
                <w:color w:val="000000" w:themeColor="text1"/>
                <w:szCs w:val="24"/>
                <w:lang w:eastAsia="bg-BG"/>
              </w:rPr>
            </w:pPr>
            <w:r>
              <w:rPr>
                <w:rFonts w:eastAsia="Calibri"/>
                <w:szCs w:val="24"/>
                <w:lang w:eastAsia="sr-Cyrl-CS"/>
              </w:rPr>
              <w:t>20</w:t>
            </w:r>
          </w:p>
        </w:tc>
      </w:tr>
      <w:tr w:rsidR="00F609B6" w:rsidRPr="006D2EC5" w14:paraId="51362843" w14:textId="77777777" w:rsidTr="00941EF2">
        <w:trPr>
          <w:jc w:val="center"/>
        </w:trPr>
        <w:tc>
          <w:tcPr>
            <w:tcW w:w="9294" w:type="dxa"/>
            <w:tcBorders>
              <w:top w:val="single" w:sz="4" w:space="0" w:color="auto"/>
              <w:left w:val="single" w:sz="4" w:space="0" w:color="auto"/>
              <w:bottom w:val="single" w:sz="4" w:space="0" w:color="auto"/>
              <w:right w:val="single" w:sz="4" w:space="0" w:color="auto"/>
            </w:tcBorders>
          </w:tcPr>
          <w:p w14:paraId="1760D4DE" w14:textId="0D1E6741" w:rsidR="00F609B6" w:rsidRPr="006D2EC5" w:rsidRDefault="00F609B6" w:rsidP="00F609B6">
            <w:pPr>
              <w:shd w:val="clear" w:color="auto" w:fill="FEFEFE"/>
              <w:spacing w:after="0" w:line="276" w:lineRule="auto"/>
              <w:rPr>
                <w:rFonts w:cs="Times New Roman"/>
                <w:b/>
                <w:color w:val="000000" w:themeColor="text1"/>
                <w:szCs w:val="24"/>
                <w:lang w:eastAsia="bg-BG"/>
              </w:rPr>
            </w:pPr>
            <w:r w:rsidRPr="00A04B77">
              <w:rPr>
                <w:szCs w:val="24"/>
                <w:shd w:val="clear" w:color="auto" w:fill="FEFEFE"/>
              </w:rPr>
              <w:t>Проектът е иновативен по смисъла на ЛИДЕР</w:t>
            </w:r>
            <w:r>
              <w:rPr>
                <w:szCs w:val="24"/>
                <w:shd w:val="clear" w:color="auto" w:fill="FEFEFE"/>
              </w:rPr>
              <w:t xml:space="preserve"> </w:t>
            </w:r>
          </w:p>
        </w:tc>
        <w:tc>
          <w:tcPr>
            <w:tcW w:w="1147" w:type="dxa"/>
            <w:tcBorders>
              <w:top w:val="single" w:sz="4" w:space="0" w:color="auto"/>
              <w:left w:val="single" w:sz="4" w:space="0" w:color="auto"/>
              <w:bottom w:val="single" w:sz="4" w:space="0" w:color="auto"/>
              <w:right w:val="single" w:sz="4" w:space="0" w:color="auto"/>
            </w:tcBorders>
          </w:tcPr>
          <w:p w14:paraId="78D2FCB8" w14:textId="608DBD04" w:rsidR="00F609B6" w:rsidRPr="006D2EC5" w:rsidRDefault="00F609B6" w:rsidP="00F609B6">
            <w:pPr>
              <w:shd w:val="clear" w:color="auto" w:fill="FEFEFE"/>
              <w:spacing w:after="0" w:line="276" w:lineRule="auto"/>
              <w:rPr>
                <w:rFonts w:cs="Times New Roman"/>
                <w:b/>
                <w:color w:val="000000" w:themeColor="text1"/>
                <w:szCs w:val="24"/>
                <w:lang w:eastAsia="bg-BG"/>
              </w:rPr>
            </w:pPr>
            <w:r>
              <w:rPr>
                <w:rFonts w:eastAsia="Calibri"/>
                <w:szCs w:val="24"/>
                <w:lang w:eastAsia="sr-Cyrl-CS"/>
              </w:rPr>
              <w:t>20</w:t>
            </w:r>
          </w:p>
        </w:tc>
      </w:tr>
      <w:tr w:rsidR="00CD3206" w:rsidRPr="00EE6B7C" w14:paraId="13DB77CC" w14:textId="77777777" w:rsidTr="001E1891">
        <w:trPr>
          <w:jc w:val="center"/>
        </w:trPr>
        <w:tc>
          <w:tcPr>
            <w:tcW w:w="9294" w:type="dxa"/>
            <w:tcBorders>
              <w:top w:val="single" w:sz="4" w:space="0" w:color="auto"/>
              <w:left w:val="single" w:sz="4" w:space="0" w:color="auto"/>
              <w:bottom w:val="single" w:sz="4" w:space="0" w:color="auto"/>
              <w:right w:val="single" w:sz="4" w:space="0" w:color="auto"/>
            </w:tcBorders>
            <w:shd w:val="clear" w:color="auto" w:fill="auto"/>
          </w:tcPr>
          <w:p w14:paraId="6DA5E366" w14:textId="01DE5951" w:rsidR="00CD3206" w:rsidRPr="00CD3206" w:rsidRDefault="00CD3206" w:rsidP="00CD3206">
            <w:pPr>
              <w:shd w:val="clear" w:color="auto" w:fill="FEFEFE"/>
              <w:spacing w:after="0" w:line="276" w:lineRule="auto"/>
              <w:rPr>
                <w:rFonts w:cs="Times New Roman"/>
                <w:b/>
                <w:szCs w:val="24"/>
                <w:lang w:val="ru-RU" w:eastAsia="bg-BG"/>
              </w:rPr>
            </w:pPr>
            <w:r w:rsidRPr="00CD3206">
              <w:rPr>
                <w:rFonts w:eastAsia="Calibri"/>
                <w:b/>
                <w:szCs w:val="24"/>
                <w:lang w:eastAsia="sr-Cyrl-CS"/>
              </w:rPr>
              <w:t>ОБЩО</w:t>
            </w:r>
          </w:p>
        </w:tc>
        <w:tc>
          <w:tcPr>
            <w:tcW w:w="1147" w:type="dxa"/>
            <w:tcBorders>
              <w:top w:val="single" w:sz="4" w:space="0" w:color="auto"/>
              <w:left w:val="single" w:sz="4" w:space="0" w:color="auto"/>
              <w:bottom w:val="single" w:sz="4" w:space="0" w:color="auto"/>
              <w:right w:val="single" w:sz="4" w:space="0" w:color="auto"/>
            </w:tcBorders>
          </w:tcPr>
          <w:p w14:paraId="1011BF10" w14:textId="575AB240" w:rsidR="00CD3206" w:rsidRPr="00CD3206" w:rsidRDefault="00CD3206" w:rsidP="00CD3206">
            <w:pPr>
              <w:shd w:val="clear" w:color="auto" w:fill="FEFEFE"/>
              <w:spacing w:after="0" w:line="276" w:lineRule="auto"/>
              <w:rPr>
                <w:rFonts w:cs="Times New Roman"/>
                <w:b/>
                <w:szCs w:val="24"/>
                <w:lang w:eastAsia="bg-BG"/>
              </w:rPr>
            </w:pPr>
            <w:r w:rsidRPr="00CD3206">
              <w:rPr>
                <w:rFonts w:eastAsia="Calibri"/>
                <w:b/>
                <w:szCs w:val="24"/>
                <w:lang w:eastAsia="sr-Cyrl-CS"/>
              </w:rPr>
              <w:t>80</w:t>
            </w:r>
          </w:p>
        </w:tc>
      </w:tr>
    </w:tbl>
    <w:p w14:paraId="0989CD2E" w14:textId="1CBD455A" w:rsidR="00EE6B7C" w:rsidRPr="00EE6B7C" w:rsidRDefault="00EE6B7C" w:rsidP="004F06E1">
      <w:pPr>
        <w:shd w:val="clear" w:color="auto" w:fill="FEFEFE"/>
        <w:spacing w:after="0" w:line="240" w:lineRule="auto"/>
        <w:ind w:firstLine="708"/>
        <w:rPr>
          <w:rFonts w:cs="Times New Roman"/>
          <w:color w:val="000000" w:themeColor="text1"/>
          <w:szCs w:val="24"/>
          <w:lang w:eastAsia="bg-BG"/>
        </w:rPr>
      </w:pPr>
      <w:r w:rsidRPr="00EE6B7C">
        <w:rPr>
          <w:rFonts w:cs="Times New Roman"/>
          <w:color w:val="000000" w:themeColor="text1"/>
          <w:szCs w:val="24"/>
          <w:lang w:eastAsia="bg-BG"/>
        </w:rPr>
        <w:t xml:space="preserve">Максималният брой на точки по настоящата процедура е </w:t>
      </w:r>
      <w:r w:rsidR="00E31440">
        <w:rPr>
          <w:rFonts w:cs="Times New Roman"/>
          <w:color w:val="000000" w:themeColor="text1"/>
          <w:szCs w:val="24"/>
          <w:lang w:eastAsia="bg-BG"/>
        </w:rPr>
        <w:t>8</w:t>
      </w:r>
      <w:r w:rsidRPr="00EE6B7C">
        <w:rPr>
          <w:rFonts w:cs="Times New Roman"/>
          <w:color w:val="000000" w:themeColor="text1"/>
          <w:szCs w:val="24"/>
          <w:lang w:eastAsia="bg-BG"/>
        </w:rPr>
        <w:t>0.</w:t>
      </w:r>
    </w:p>
    <w:p w14:paraId="6FE1F6E7" w14:textId="38007A4B" w:rsidR="00EE6B7C" w:rsidRPr="00EE6B7C" w:rsidRDefault="00EE6B7C" w:rsidP="004F06E1">
      <w:pPr>
        <w:shd w:val="clear" w:color="auto" w:fill="FEFEFE"/>
        <w:spacing w:after="0" w:line="240" w:lineRule="auto"/>
        <w:ind w:firstLine="708"/>
        <w:rPr>
          <w:rFonts w:cs="Times New Roman"/>
          <w:color w:val="000000" w:themeColor="text1"/>
          <w:szCs w:val="24"/>
          <w:lang w:eastAsia="bg-BG"/>
        </w:rPr>
      </w:pPr>
      <w:r w:rsidRPr="00EE6B7C">
        <w:rPr>
          <w:rFonts w:cs="Times New Roman"/>
          <w:color w:val="000000" w:themeColor="text1"/>
          <w:szCs w:val="24"/>
          <w:lang w:eastAsia="bg-BG"/>
        </w:rPr>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30 точки.</w:t>
      </w:r>
    </w:p>
    <w:p w14:paraId="455CE639" w14:textId="77777777" w:rsidR="00F609B6" w:rsidRPr="00F609B6" w:rsidRDefault="00F609B6" w:rsidP="004F06E1">
      <w:pPr>
        <w:shd w:val="clear" w:color="auto" w:fill="FEFEFE"/>
        <w:spacing w:after="0" w:line="240" w:lineRule="auto"/>
        <w:ind w:firstLine="708"/>
        <w:rPr>
          <w:rFonts w:cs="Times New Roman"/>
          <w:color w:val="000000" w:themeColor="text1"/>
          <w:szCs w:val="24"/>
          <w:lang w:eastAsia="bg-BG"/>
        </w:rPr>
      </w:pPr>
      <w:r w:rsidRPr="00F609B6">
        <w:rPr>
          <w:rFonts w:cs="Times New Roman"/>
          <w:color w:val="000000" w:themeColor="text1"/>
          <w:szCs w:val="24"/>
          <w:lang w:eastAsia="bg-BG"/>
        </w:rPr>
        <w:t xml:space="preserve">За проектни предложения, които са получили еднакъв брой точки на етап „Техническа и финансова оценка“ и има недостиг на средства за финансирането им, класирането ще се извърши по следния начин: Приоритет ще имат проектните предложения получили по-голям брой точки по критерий „Проектът създава нови работни места“. В случай, че проектните предложения имат равен брой точки по посочения критерий, те ще бъдат класирани, съобразно получените точки по критерий „Проектът включва инвестиция за закупуване на техника, която притежава валиден сертификат за съответствие с одобрения тип (сертификат за одобрение на типа на Европейската общност)  </w:t>
      </w:r>
    </w:p>
    <w:p w14:paraId="67F6205A" w14:textId="4638629D" w:rsidR="008C565C" w:rsidRDefault="00F609B6" w:rsidP="00F609B6">
      <w:pPr>
        <w:shd w:val="clear" w:color="auto" w:fill="FEFEFE"/>
        <w:spacing w:after="0" w:line="276" w:lineRule="auto"/>
        <w:rPr>
          <w:rFonts w:cs="Times New Roman"/>
          <w:color w:val="000000" w:themeColor="text1"/>
          <w:szCs w:val="24"/>
          <w:lang w:eastAsia="bg-BG"/>
        </w:rPr>
      </w:pPr>
      <w:r w:rsidRPr="00F609B6">
        <w:rPr>
          <w:rFonts w:cs="Times New Roman"/>
          <w:color w:val="000000" w:themeColor="text1"/>
          <w:szCs w:val="24"/>
          <w:lang w:eastAsia="bg-BG"/>
        </w:rPr>
        <w:t>При недостиг на средства за финансиране на всички одобрени проекти КППП изготвя списък с резервни проекти в низходящ ред на получените оценки, отговарящи на условията за финансиране.</w:t>
      </w:r>
    </w:p>
    <w:p w14:paraId="7C2C0BF4" w14:textId="77777777" w:rsidR="00F609B6" w:rsidRPr="00622A86" w:rsidRDefault="00F609B6" w:rsidP="00F609B6">
      <w:pPr>
        <w:shd w:val="clear" w:color="auto" w:fill="FEFEFE"/>
        <w:spacing w:after="0" w:line="276" w:lineRule="auto"/>
        <w:rPr>
          <w:rFonts w:cs="Times New Roman"/>
          <w:color w:val="000000" w:themeColor="text1"/>
          <w:szCs w:val="24"/>
          <w:lang w:eastAsia="bg-BG"/>
        </w:rPr>
      </w:pPr>
    </w:p>
    <w:p w14:paraId="216EA2D7" w14:textId="154291FA" w:rsidR="00D3123F" w:rsidRPr="00080C5D" w:rsidRDefault="00942F74" w:rsidP="00017CAF">
      <w:pPr>
        <w:shd w:val="clear" w:color="auto" w:fill="FEFEFE"/>
        <w:spacing w:after="0" w:line="276" w:lineRule="auto"/>
        <w:rPr>
          <w:rFonts w:cs="Times New Roman"/>
          <w:b/>
          <w:color w:val="385623" w:themeColor="accent6" w:themeShade="80"/>
          <w:szCs w:val="24"/>
          <w:lang w:eastAsia="bg-BG"/>
        </w:rPr>
      </w:pPr>
      <w:r>
        <w:rPr>
          <w:rFonts w:cs="Times New Roman"/>
          <w:b/>
          <w:szCs w:val="24"/>
          <w:lang w:eastAsia="bg-BG"/>
        </w:rPr>
        <w:t>10</w:t>
      </w:r>
      <w:r w:rsidR="00D3123F" w:rsidRPr="00080C5D">
        <w:rPr>
          <w:rFonts w:cs="Times New Roman"/>
          <w:b/>
          <w:szCs w:val="24"/>
          <w:lang w:eastAsia="bg-BG"/>
        </w:rPr>
        <w:t>. ЛИЦЕ/А ЗА КОНТАКТ И МЯСТО ЗА ДОСТЪП ДО ПОДРОБНА ИНФОРМАЦИЯ</w:t>
      </w:r>
    </w:p>
    <w:tbl>
      <w:tblPr>
        <w:tblStyle w:val="a8"/>
        <w:tblW w:w="0" w:type="auto"/>
        <w:tblLook w:val="04A0" w:firstRow="1" w:lastRow="0" w:firstColumn="1" w:lastColumn="0" w:noHBand="0" w:noVBand="1"/>
      </w:tblPr>
      <w:tblGrid>
        <w:gridCol w:w="10763"/>
      </w:tblGrid>
      <w:tr w:rsidR="000241EC" w:rsidRPr="00080C5D" w14:paraId="00FAA2A9" w14:textId="77777777" w:rsidTr="000241EC">
        <w:tc>
          <w:tcPr>
            <w:tcW w:w="10913" w:type="dxa"/>
          </w:tcPr>
          <w:p w14:paraId="195E0393" w14:textId="77777777" w:rsidR="000E7846" w:rsidRPr="00080C5D" w:rsidRDefault="000E7846" w:rsidP="00017CAF">
            <w:pPr>
              <w:spacing w:line="276" w:lineRule="auto"/>
              <w:jc w:val="both"/>
              <w:rPr>
                <w:rFonts w:cs="Times New Roman"/>
                <w:szCs w:val="24"/>
              </w:rPr>
            </w:pPr>
            <w:r w:rsidRPr="00080C5D">
              <w:rPr>
                <w:rFonts w:cs="Times New Roman"/>
                <w:szCs w:val="24"/>
              </w:rPr>
              <w:t xml:space="preserve">При условията на чл. 26, ал. 8 от ЗУСЕСИФ,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 office@mig-lr.eu.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w:t>
            </w:r>
          </w:p>
          <w:p w14:paraId="291C5800" w14:textId="46BBDB9E" w:rsidR="000E7846" w:rsidRPr="00080C5D" w:rsidRDefault="000E7846" w:rsidP="00017CAF">
            <w:pPr>
              <w:spacing w:line="276" w:lineRule="auto"/>
              <w:jc w:val="both"/>
              <w:rPr>
                <w:rFonts w:cs="Times New Roman"/>
                <w:szCs w:val="24"/>
              </w:rPr>
            </w:pPr>
            <w:r w:rsidRPr="00080C5D">
              <w:rPr>
                <w:rFonts w:cs="Times New Roman"/>
                <w:szCs w:val="24"/>
              </w:rPr>
              <w:t>Разясненията се публикуват на електронната страница на МИГ Луковит-Роман и на страницата на ИСУН в срок до две седмици преди изтичането на срока за кандидатстване.</w:t>
            </w:r>
          </w:p>
          <w:p w14:paraId="2C69DD09" w14:textId="72248B03" w:rsidR="000241EC" w:rsidRPr="00080C5D" w:rsidRDefault="000241EC" w:rsidP="00017CAF">
            <w:pPr>
              <w:spacing w:line="276" w:lineRule="auto"/>
              <w:jc w:val="both"/>
              <w:rPr>
                <w:rFonts w:cs="Times New Roman"/>
                <w:szCs w:val="24"/>
              </w:rPr>
            </w:pPr>
            <w:r w:rsidRPr="00080C5D">
              <w:rPr>
                <w:rFonts w:cs="Times New Roman"/>
                <w:szCs w:val="24"/>
              </w:rPr>
              <w:t xml:space="preserve">Лица за контакт: </w:t>
            </w:r>
            <w:r w:rsidR="000E7846" w:rsidRPr="00080C5D">
              <w:rPr>
                <w:rFonts w:cs="Times New Roman"/>
                <w:szCs w:val="24"/>
              </w:rPr>
              <w:t>Надя Иванова</w:t>
            </w:r>
            <w:r w:rsidRPr="00080C5D">
              <w:rPr>
                <w:rFonts w:cs="Times New Roman"/>
                <w:szCs w:val="24"/>
              </w:rPr>
              <w:t xml:space="preserve">; </w:t>
            </w:r>
            <w:r w:rsidR="00245762" w:rsidRPr="00080C5D">
              <w:rPr>
                <w:rFonts w:cs="Times New Roman"/>
                <w:szCs w:val="24"/>
              </w:rPr>
              <w:t xml:space="preserve"> </w:t>
            </w:r>
            <w:r w:rsidR="000E7846" w:rsidRPr="00080C5D">
              <w:rPr>
                <w:rFonts w:cs="Times New Roman"/>
                <w:szCs w:val="24"/>
              </w:rPr>
              <w:t>Бисерка Николова</w:t>
            </w:r>
            <w:r w:rsidR="00245762" w:rsidRPr="00080C5D">
              <w:rPr>
                <w:rFonts w:cs="Times New Roman"/>
                <w:szCs w:val="24"/>
              </w:rPr>
              <w:t>.</w:t>
            </w:r>
            <w:r w:rsidRPr="00080C5D">
              <w:rPr>
                <w:rFonts w:cs="Times New Roman"/>
                <w:szCs w:val="24"/>
              </w:rPr>
              <w:t xml:space="preserve"> е-</w:t>
            </w:r>
            <w:r w:rsidRPr="00080C5D">
              <w:rPr>
                <w:rFonts w:cs="Times New Roman"/>
                <w:szCs w:val="24"/>
                <w:lang w:val="en-US"/>
              </w:rPr>
              <w:t xml:space="preserve">mail: </w:t>
            </w:r>
            <w:r w:rsidR="000E7846" w:rsidRPr="00080C5D">
              <w:rPr>
                <w:rFonts w:cs="Times New Roman"/>
                <w:szCs w:val="24"/>
                <w:u w:val="single"/>
                <w:lang w:val="en-US"/>
              </w:rPr>
              <w:t>office</w:t>
            </w:r>
            <w:r w:rsidR="000E7846" w:rsidRPr="00080C5D">
              <w:rPr>
                <w:rFonts w:cs="Times New Roman"/>
                <w:szCs w:val="24"/>
                <w:u w:val="single"/>
              </w:rPr>
              <w:t>@</w:t>
            </w:r>
            <w:proofErr w:type="spellStart"/>
            <w:r w:rsidR="000E7846" w:rsidRPr="00080C5D">
              <w:rPr>
                <w:rFonts w:cs="Times New Roman"/>
                <w:szCs w:val="24"/>
                <w:u w:val="single"/>
                <w:lang w:val="en-US"/>
              </w:rPr>
              <w:t>mig</w:t>
            </w:r>
            <w:proofErr w:type="spellEnd"/>
            <w:r w:rsidR="000E7846" w:rsidRPr="00080C5D">
              <w:rPr>
                <w:rFonts w:cs="Times New Roman"/>
                <w:szCs w:val="24"/>
                <w:u w:val="single"/>
              </w:rPr>
              <w:t>-</w:t>
            </w:r>
            <w:proofErr w:type="spellStart"/>
            <w:r w:rsidR="000E7846" w:rsidRPr="00080C5D">
              <w:rPr>
                <w:rFonts w:cs="Times New Roman"/>
                <w:szCs w:val="24"/>
                <w:u w:val="single"/>
                <w:lang w:val="en-US"/>
              </w:rPr>
              <w:t>lr</w:t>
            </w:r>
            <w:proofErr w:type="spellEnd"/>
            <w:r w:rsidR="000E7846" w:rsidRPr="00080C5D">
              <w:rPr>
                <w:rFonts w:cs="Times New Roman"/>
                <w:szCs w:val="24"/>
                <w:u w:val="single"/>
              </w:rPr>
              <w:t>.</w:t>
            </w:r>
            <w:proofErr w:type="spellStart"/>
            <w:r w:rsidR="000E7846" w:rsidRPr="00080C5D">
              <w:rPr>
                <w:rFonts w:cs="Times New Roman"/>
                <w:szCs w:val="24"/>
                <w:u w:val="single"/>
                <w:lang w:val="en-US"/>
              </w:rPr>
              <w:t>eu</w:t>
            </w:r>
            <w:proofErr w:type="spellEnd"/>
            <w:r w:rsidRPr="00080C5D">
              <w:rPr>
                <w:rFonts w:cs="Times New Roman"/>
                <w:szCs w:val="24"/>
              </w:rPr>
              <w:t xml:space="preserve"> </w:t>
            </w:r>
          </w:p>
          <w:p w14:paraId="74516E52" w14:textId="77777777" w:rsidR="000241EC" w:rsidRPr="00080C5D" w:rsidRDefault="000241EC" w:rsidP="00017CAF">
            <w:pPr>
              <w:spacing w:line="276" w:lineRule="auto"/>
              <w:jc w:val="both"/>
              <w:rPr>
                <w:rFonts w:cs="Times New Roman"/>
                <w:szCs w:val="24"/>
              </w:rPr>
            </w:pPr>
            <w:r w:rsidRPr="00080C5D">
              <w:rPr>
                <w:rFonts w:cs="Times New Roman"/>
                <w:szCs w:val="24"/>
              </w:rPr>
              <w:t>Пълният пакет документи за кандидатстване са публикувани на следните интернет адреси:</w:t>
            </w:r>
          </w:p>
          <w:p w14:paraId="730227A3" w14:textId="75FB3F72" w:rsidR="000241EC" w:rsidRPr="00080C5D" w:rsidRDefault="000241EC" w:rsidP="00A0575E">
            <w:pPr>
              <w:numPr>
                <w:ilvl w:val="0"/>
                <w:numId w:val="2"/>
              </w:numPr>
              <w:tabs>
                <w:tab w:val="left" w:pos="142"/>
              </w:tabs>
              <w:snapToGrid w:val="0"/>
              <w:spacing w:line="276" w:lineRule="auto"/>
              <w:jc w:val="both"/>
              <w:rPr>
                <w:rFonts w:cs="Times New Roman"/>
                <w:szCs w:val="24"/>
              </w:rPr>
            </w:pPr>
            <w:r w:rsidRPr="00080C5D">
              <w:rPr>
                <w:rFonts w:cs="Times New Roman"/>
                <w:szCs w:val="24"/>
              </w:rPr>
              <w:t xml:space="preserve">на сайта на Сдружение „МИГ </w:t>
            </w:r>
            <w:r w:rsidR="000E7846" w:rsidRPr="00080C5D">
              <w:rPr>
                <w:rFonts w:cs="Times New Roman"/>
                <w:szCs w:val="24"/>
              </w:rPr>
              <w:t>Луковит-Роман</w:t>
            </w:r>
            <w:r w:rsidRPr="00080C5D">
              <w:rPr>
                <w:rFonts w:cs="Times New Roman"/>
                <w:szCs w:val="24"/>
              </w:rPr>
              <w:t xml:space="preserve">“: </w:t>
            </w:r>
            <w:hyperlink r:id="rId13" w:history="1">
              <w:r w:rsidR="000E7846" w:rsidRPr="00080C5D">
                <w:rPr>
                  <w:rFonts w:cs="Times New Roman"/>
                  <w:color w:val="0563C1"/>
                  <w:szCs w:val="24"/>
                  <w:u w:val="single"/>
                </w:rPr>
                <w:t>http://mig-lr.eu/</w:t>
              </w:r>
            </w:hyperlink>
          </w:p>
          <w:p w14:paraId="34B78F21" w14:textId="77777777" w:rsidR="000241EC" w:rsidRPr="00080C5D" w:rsidRDefault="000241EC" w:rsidP="00A0575E">
            <w:pPr>
              <w:numPr>
                <w:ilvl w:val="0"/>
                <w:numId w:val="1"/>
              </w:numPr>
              <w:tabs>
                <w:tab w:val="left" w:pos="142"/>
              </w:tabs>
              <w:snapToGrid w:val="0"/>
              <w:spacing w:line="276" w:lineRule="auto"/>
              <w:jc w:val="both"/>
              <w:rPr>
                <w:rFonts w:cs="Times New Roman"/>
                <w:szCs w:val="24"/>
              </w:rPr>
            </w:pPr>
            <w:r w:rsidRPr="00080C5D">
              <w:rPr>
                <w:rFonts w:cs="Times New Roman"/>
                <w:szCs w:val="24"/>
              </w:rPr>
              <w:t xml:space="preserve">на сайта на ИСУН </w:t>
            </w:r>
            <w:hyperlink r:id="rId14" w:history="1">
              <w:r w:rsidRPr="00080C5D">
                <w:rPr>
                  <w:rStyle w:val="a7"/>
                  <w:rFonts w:cs="Times New Roman"/>
                  <w:szCs w:val="24"/>
                </w:rPr>
                <w:t>http://eumis2020.government.bg/</w:t>
              </w:r>
            </w:hyperlink>
            <w:r w:rsidRPr="00080C5D">
              <w:rPr>
                <w:rFonts w:cs="Times New Roman"/>
                <w:szCs w:val="24"/>
              </w:rPr>
              <w:t xml:space="preserve">  . </w:t>
            </w:r>
          </w:p>
        </w:tc>
      </w:tr>
    </w:tbl>
    <w:p w14:paraId="2A3ECD51" w14:textId="77777777" w:rsidR="00181874" w:rsidRPr="00080C5D" w:rsidRDefault="00181874" w:rsidP="00017CAF">
      <w:pPr>
        <w:shd w:val="clear" w:color="auto" w:fill="FEFEFE"/>
        <w:spacing w:after="0" w:line="276" w:lineRule="auto"/>
        <w:rPr>
          <w:rFonts w:cs="Times New Roman"/>
          <w:b/>
          <w:color w:val="548DD4"/>
          <w:szCs w:val="24"/>
          <w:lang w:eastAsia="bg-BG"/>
        </w:rPr>
      </w:pPr>
    </w:p>
    <w:p w14:paraId="46575E70" w14:textId="65C25798" w:rsidR="00D3123F" w:rsidRPr="00080C5D" w:rsidRDefault="00942F74" w:rsidP="00017CAF">
      <w:pPr>
        <w:shd w:val="clear" w:color="auto" w:fill="FEFEFE"/>
        <w:spacing w:after="0" w:line="276" w:lineRule="auto"/>
        <w:rPr>
          <w:rFonts w:cs="Times New Roman"/>
          <w:b/>
          <w:szCs w:val="24"/>
          <w:lang w:eastAsia="bg-BG"/>
        </w:rPr>
      </w:pPr>
      <w:r>
        <w:rPr>
          <w:rFonts w:cs="Times New Roman"/>
          <w:b/>
          <w:szCs w:val="24"/>
          <w:lang w:eastAsia="bg-BG"/>
        </w:rPr>
        <w:t>11</w:t>
      </w:r>
      <w:r w:rsidR="00D3123F" w:rsidRPr="00080C5D">
        <w:rPr>
          <w:rFonts w:cs="Times New Roman"/>
          <w:b/>
          <w:szCs w:val="24"/>
          <w:lang w:eastAsia="bg-BG"/>
        </w:rPr>
        <w:t>. НАЧИН ЗА ПОДАВАНЕ НА ПРОЕКТНИ ПРЕДЛОЖЕНИЯ</w:t>
      </w:r>
    </w:p>
    <w:tbl>
      <w:tblPr>
        <w:tblStyle w:val="a8"/>
        <w:tblW w:w="0" w:type="auto"/>
        <w:tblLook w:val="04A0" w:firstRow="1" w:lastRow="0" w:firstColumn="1" w:lastColumn="0" w:noHBand="0" w:noVBand="1"/>
      </w:tblPr>
      <w:tblGrid>
        <w:gridCol w:w="10763"/>
      </w:tblGrid>
      <w:tr w:rsidR="000241EC" w:rsidRPr="00080C5D" w14:paraId="39CE4F25" w14:textId="77777777" w:rsidTr="000241EC">
        <w:tc>
          <w:tcPr>
            <w:tcW w:w="10913" w:type="dxa"/>
          </w:tcPr>
          <w:p w14:paraId="20CED501" w14:textId="77777777" w:rsidR="000241EC" w:rsidRPr="00080C5D" w:rsidRDefault="000241EC" w:rsidP="00017CAF">
            <w:pPr>
              <w:tabs>
                <w:tab w:val="left" w:pos="142"/>
              </w:tabs>
              <w:spacing w:line="276" w:lineRule="auto"/>
              <w:jc w:val="both"/>
              <w:rPr>
                <w:rFonts w:cs="Times New Roman"/>
                <w:b/>
                <w:bCs/>
                <w:szCs w:val="24"/>
              </w:rPr>
            </w:pPr>
            <w:r w:rsidRPr="00080C5D">
              <w:rPr>
                <w:rFonts w:cs="Times New Roman"/>
                <w:szCs w:val="24"/>
              </w:rPr>
              <w:t xml:space="preserve">Подаването на проектно предложение по настоящата процедура се извършва по изцяло електронен път, чрез </w:t>
            </w:r>
            <w:r w:rsidRPr="00080C5D">
              <w:rPr>
                <w:rFonts w:cs="Times New Roman"/>
                <w:b/>
                <w:bCs/>
                <w:szCs w:val="24"/>
              </w:rPr>
              <w:t xml:space="preserve">Информационна система за управление и наблюдение на средствата от ЕС в периода 2014-2020 г. в България (ИСУН 2020), </w:t>
            </w:r>
            <w:r w:rsidRPr="00080C5D">
              <w:rPr>
                <w:rFonts w:cs="Times New Roman"/>
                <w:szCs w:val="24"/>
              </w:rPr>
              <w:t xml:space="preserve">чрез модула „Е-кандидатстване“ на следния интернет адрес: </w:t>
            </w:r>
            <w:hyperlink r:id="rId15" w:history="1">
              <w:r w:rsidRPr="00080C5D">
                <w:rPr>
                  <w:rStyle w:val="a7"/>
                  <w:rFonts w:cs="Times New Roman"/>
                  <w:szCs w:val="24"/>
                </w:rPr>
                <w:t>https://eumis2020.government.bg</w:t>
              </w:r>
            </w:hyperlink>
            <w:r w:rsidRPr="00080C5D">
              <w:rPr>
                <w:rFonts w:cs="Times New Roman"/>
                <w:szCs w:val="24"/>
              </w:rPr>
              <w:t>.</w:t>
            </w:r>
          </w:p>
        </w:tc>
      </w:tr>
      <w:bookmarkEnd w:id="0"/>
      <w:bookmarkEnd w:id="1"/>
      <w:bookmarkEnd w:id="2"/>
    </w:tbl>
    <w:p w14:paraId="61A0AADC" w14:textId="76FD30C4" w:rsidR="00E31DB3" w:rsidRPr="004F06E1" w:rsidRDefault="00E31DB3" w:rsidP="004F06E1">
      <w:pPr>
        <w:tabs>
          <w:tab w:val="left" w:pos="1008"/>
        </w:tabs>
        <w:rPr>
          <w:rFonts w:cs="Times New Roman"/>
          <w:szCs w:val="24"/>
        </w:rPr>
      </w:pPr>
    </w:p>
    <w:sectPr w:rsidR="00E31DB3" w:rsidRPr="004F06E1" w:rsidSect="004F06E1">
      <w:footerReference w:type="default" r:id="rId16"/>
      <w:pgSz w:w="11906" w:h="16838"/>
      <w:pgMar w:top="426" w:right="424" w:bottom="426" w:left="709"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9878" w14:textId="77777777" w:rsidR="005802D7" w:rsidRDefault="005802D7" w:rsidP="00617FB6">
      <w:pPr>
        <w:spacing w:after="0" w:line="240" w:lineRule="auto"/>
      </w:pPr>
      <w:r>
        <w:separator/>
      </w:r>
    </w:p>
  </w:endnote>
  <w:endnote w:type="continuationSeparator" w:id="0">
    <w:p w14:paraId="7431ECEC" w14:textId="77777777" w:rsidR="005802D7" w:rsidRDefault="005802D7" w:rsidP="0061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E6A7" w14:textId="77777777" w:rsidR="00617FB6" w:rsidRPr="00EE63CB" w:rsidRDefault="00617FB6" w:rsidP="00913D0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6E9D" w14:textId="77777777" w:rsidR="005802D7" w:rsidRDefault="005802D7" w:rsidP="00617FB6">
      <w:pPr>
        <w:spacing w:after="0" w:line="240" w:lineRule="auto"/>
      </w:pPr>
      <w:r>
        <w:separator/>
      </w:r>
    </w:p>
  </w:footnote>
  <w:footnote w:type="continuationSeparator" w:id="0">
    <w:p w14:paraId="037C5685" w14:textId="77777777" w:rsidR="005802D7" w:rsidRDefault="005802D7" w:rsidP="0061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4CE"/>
    <w:multiLevelType w:val="hybridMultilevel"/>
    <w:tmpl w:val="60F633C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11260514"/>
    <w:multiLevelType w:val="hybridMultilevel"/>
    <w:tmpl w:val="E50E1052"/>
    <w:lvl w:ilvl="0" w:tplc="0FF2FBEE">
      <w:numFmt w:val="bullet"/>
      <w:lvlText w:val="-"/>
      <w:lvlJc w:val="left"/>
      <w:pPr>
        <w:ind w:left="1004" w:hanging="360"/>
      </w:pPr>
      <w:rPr>
        <w:rFonts w:ascii="Arial" w:eastAsiaTheme="minorEastAsia" w:hAnsi="Arial"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15:restartNumberingAfterBreak="0">
    <w:nsid w:val="25160007"/>
    <w:multiLevelType w:val="hybridMultilevel"/>
    <w:tmpl w:val="6B168CF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37D64F93"/>
    <w:multiLevelType w:val="hybridMultilevel"/>
    <w:tmpl w:val="58B48360"/>
    <w:lvl w:ilvl="0" w:tplc="EA36C79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BBA6EE6"/>
    <w:multiLevelType w:val="hybridMultilevel"/>
    <w:tmpl w:val="DFEE63E4"/>
    <w:lvl w:ilvl="0" w:tplc="0402000F">
      <w:start w:val="1"/>
      <w:numFmt w:val="decimal"/>
      <w:lvlText w:val="%1."/>
      <w:lvlJc w:val="left"/>
      <w:pPr>
        <w:ind w:left="502"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 w15:restartNumberingAfterBreak="0">
    <w:nsid w:val="54F57220"/>
    <w:multiLevelType w:val="hybridMultilevel"/>
    <w:tmpl w:val="308CBED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5C8D579F"/>
    <w:multiLevelType w:val="hybridMultilevel"/>
    <w:tmpl w:val="609E20D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617F1B63"/>
    <w:multiLevelType w:val="multilevel"/>
    <w:tmpl w:val="C436ED96"/>
    <w:styleLink w:val="WWNum18"/>
    <w:lvl w:ilvl="0">
      <w:start w:val="1"/>
      <w:numFmt w:val="decimal"/>
      <w:lvlText w:val="%1."/>
      <w:lvlJc w:val="left"/>
      <w:pPr>
        <w:ind w:left="720" w:hanging="360"/>
      </w:pPr>
      <w:rPr>
        <w:rFonts w:ascii="Times New Roman" w:eastAsiaTheme="minorHAnsi" w:hAnsi="Times New Roman" w:cstheme="minorBid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8C325E"/>
    <w:multiLevelType w:val="hybridMultilevel"/>
    <w:tmpl w:val="B4F8190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68F604E8"/>
    <w:multiLevelType w:val="hybridMultilevel"/>
    <w:tmpl w:val="F47CDBE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1" w15:restartNumberingAfterBreak="0">
    <w:nsid w:val="7D074796"/>
    <w:multiLevelType w:val="hybridMultilevel"/>
    <w:tmpl w:val="3826661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7"/>
  </w:num>
  <w:num w:numId="4">
    <w:abstractNumId w:val="0"/>
  </w:num>
  <w:num w:numId="5">
    <w:abstractNumId w:val="6"/>
  </w:num>
  <w:num w:numId="6">
    <w:abstractNumId w:val="2"/>
  </w:num>
  <w:num w:numId="7">
    <w:abstractNumId w:val="9"/>
  </w:num>
  <w:num w:numId="8">
    <w:abstractNumId w:val="4"/>
  </w:num>
  <w:num w:numId="9">
    <w:abstractNumId w:val="5"/>
  </w:num>
  <w:num w:numId="10">
    <w:abstractNumId w:val="8"/>
  </w:num>
  <w:num w:numId="11">
    <w:abstractNumId w:val="3"/>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B6"/>
    <w:rsid w:val="00017165"/>
    <w:rsid w:val="00017CAF"/>
    <w:rsid w:val="0002238F"/>
    <w:rsid w:val="000241EC"/>
    <w:rsid w:val="000366F5"/>
    <w:rsid w:val="000472E1"/>
    <w:rsid w:val="000755F0"/>
    <w:rsid w:val="00080C5D"/>
    <w:rsid w:val="00083971"/>
    <w:rsid w:val="000917B7"/>
    <w:rsid w:val="000942A1"/>
    <w:rsid w:val="000A201A"/>
    <w:rsid w:val="000A5CF7"/>
    <w:rsid w:val="000B588F"/>
    <w:rsid w:val="000B7D47"/>
    <w:rsid w:val="000C402E"/>
    <w:rsid w:val="000C7BF2"/>
    <w:rsid w:val="000D0DD9"/>
    <w:rsid w:val="000E438E"/>
    <w:rsid w:val="000E7846"/>
    <w:rsid w:val="000F01A4"/>
    <w:rsid w:val="00104493"/>
    <w:rsid w:val="001069D0"/>
    <w:rsid w:val="00115102"/>
    <w:rsid w:val="00125744"/>
    <w:rsid w:val="001407F5"/>
    <w:rsid w:val="00141D58"/>
    <w:rsid w:val="00155980"/>
    <w:rsid w:val="001719FE"/>
    <w:rsid w:val="00181874"/>
    <w:rsid w:val="0018286F"/>
    <w:rsid w:val="00185B7C"/>
    <w:rsid w:val="001B0DBB"/>
    <w:rsid w:val="001B644B"/>
    <w:rsid w:val="001B6A76"/>
    <w:rsid w:val="001D2D9B"/>
    <w:rsid w:val="001D4E72"/>
    <w:rsid w:val="001E3DCB"/>
    <w:rsid w:val="001F0FCC"/>
    <w:rsid w:val="001F1345"/>
    <w:rsid w:val="001F77D2"/>
    <w:rsid w:val="00227052"/>
    <w:rsid w:val="002344BB"/>
    <w:rsid w:val="00245762"/>
    <w:rsid w:val="00245CD1"/>
    <w:rsid w:val="00246749"/>
    <w:rsid w:val="00251558"/>
    <w:rsid w:val="00265D45"/>
    <w:rsid w:val="0027009E"/>
    <w:rsid w:val="00286D96"/>
    <w:rsid w:val="002A4A9D"/>
    <w:rsid w:val="002B2D9D"/>
    <w:rsid w:val="002C393A"/>
    <w:rsid w:val="002C3F1A"/>
    <w:rsid w:val="002C40CB"/>
    <w:rsid w:val="002D5249"/>
    <w:rsid w:val="002E0452"/>
    <w:rsid w:val="002E684F"/>
    <w:rsid w:val="002F7345"/>
    <w:rsid w:val="00300F41"/>
    <w:rsid w:val="00306D29"/>
    <w:rsid w:val="003170F7"/>
    <w:rsid w:val="00323CAC"/>
    <w:rsid w:val="00325BD6"/>
    <w:rsid w:val="0032657C"/>
    <w:rsid w:val="00351289"/>
    <w:rsid w:val="0035203D"/>
    <w:rsid w:val="00353D1B"/>
    <w:rsid w:val="003600CC"/>
    <w:rsid w:val="0036084E"/>
    <w:rsid w:val="00371A33"/>
    <w:rsid w:val="0039512C"/>
    <w:rsid w:val="00395FD0"/>
    <w:rsid w:val="003A2B25"/>
    <w:rsid w:val="003C42E6"/>
    <w:rsid w:val="003C4369"/>
    <w:rsid w:val="003D09B5"/>
    <w:rsid w:val="003D1348"/>
    <w:rsid w:val="003E2BBC"/>
    <w:rsid w:val="003F1CC4"/>
    <w:rsid w:val="003F34CF"/>
    <w:rsid w:val="003F699C"/>
    <w:rsid w:val="003F7A0D"/>
    <w:rsid w:val="0042754C"/>
    <w:rsid w:val="004345BD"/>
    <w:rsid w:val="00444D9D"/>
    <w:rsid w:val="004459A8"/>
    <w:rsid w:val="00456104"/>
    <w:rsid w:val="004561C9"/>
    <w:rsid w:val="0046383D"/>
    <w:rsid w:val="00477810"/>
    <w:rsid w:val="0048142A"/>
    <w:rsid w:val="00484537"/>
    <w:rsid w:val="004A0593"/>
    <w:rsid w:val="004A2989"/>
    <w:rsid w:val="004B1C33"/>
    <w:rsid w:val="004D1F9A"/>
    <w:rsid w:val="004E32A0"/>
    <w:rsid w:val="004E7092"/>
    <w:rsid w:val="004E786A"/>
    <w:rsid w:val="004F06E1"/>
    <w:rsid w:val="00526C08"/>
    <w:rsid w:val="005315CE"/>
    <w:rsid w:val="00537199"/>
    <w:rsid w:val="00563B32"/>
    <w:rsid w:val="0057526E"/>
    <w:rsid w:val="005802D7"/>
    <w:rsid w:val="00581F5E"/>
    <w:rsid w:val="0059678C"/>
    <w:rsid w:val="005A13B5"/>
    <w:rsid w:val="005A6A85"/>
    <w:rsid w:val="005B4A2A"/>
    <w:rsid w:val="005B7567"/>
    <w:rsid w:val="005E0998"/>
    <w:rsid w:val="005E399E"/>
    <w:rsid w:val="005F1377"/>
    <w:rsid w:val="005F7437"/>
    <w:rsid w:val="00601EE3"/>
    <w:rsid w:val="0060686B"/>
    <w:rsid w:val="00617FB6"/>
    <w:rsid w:val="006224F4"/>
    <w:rsid w:val="00622A86"/>
    <w:rsid w:val="00623FD1"/>
    <w:rsid w:val="00630782"/>
    <w:rsid w:val="00632705"/>
    <w:rsid w:val="0063467E"/>
    <w:rsid w:val="00652F89"/>
    <w:rsid w:val="006535DA"/>
    <w:rsid w:val="00653E8A"/>
    <w:rsid w:val="00664ABB"/>
    <w:rsid w:val="0067299F"/>
    <w:rsid w:val="0068075E"/>
    <w:rsid w:val="00684AC4"/>
    <w:rsid w:val="0069691C"/>
    <w:rsid w:val="006B026E"/>
    <w:rsid w:val="006B17C5"/>
    <w:rsid w:val="006B3DD8"/>
    <w:rsid w:val="006C6FE0"/>
    <w:rsid w:val="006D0203"/>
    <w:rsid w:val="006D2EC5"/>
    <w:rsid w:val="006D40C0"/>
    <w:rsid w:val="006D45A0"/>
    <w:rsid w:val="006E49B3"/>
    <w:rsid w:val="007079A3"/>
    <w:rsid w:val="00724026"/>
    <w:rsid w:val="00744794"/>
    <w:rsid w:val="007513D5"/>
    <w:rsid w:val="00752FE1"/>
    <w:rsid w:val="00757CB3"/>
    <w:rsid w:val="00760332"/>
    <w:rsid w:val="00781D2F"/>
    <w:rsid w:val="00786BA6"/>
    <w:rsid w:val="007A0E1F"/>
    <w:rsid w:val="007A2E7D"/>
    <w:rsid w:val="007A4B81"/>
    <w:rsid w:val="007A5405"/>
    <w:rsid w:val="007B1B8A"/>
    <w:rsid w:val="007B523B"/>
    <w:rsid w:val="007C0A65"/>
    <w:rsid w:val="007C1D39"/>
    <w:rsid w:val="007C3C18"/>
    <w:rsid w:val="007D21CC"/>
    <w:rsid w:val="007D45F6"/>
    <w:rsid w:val="007E54BC"/>
    <w:rsid w:val="007E7AD4"/>
    <w:rsid w:val="007F128F"/>
    <w:rsid w:val="007F3FAE"/>
    <w:rsid w:val="0080335C"/>
    <w:rsid w:val="008051B1"/>
    <w:rsid w:val="00806203"/>
    <w:rsid w:val="008069EA"/>
    <w:rsid w:val="0081207F"/>
    <w:rsid w:val="00815630"/>
    <w:rsid w:val="00820623"/>
    <w:rsid w:val="008231B8"/>
    <w:rsid w:val="00843EF4"/>
    <w:rsid w:val="008457F4"/>
    <w:rsid w:val="00846B49"/>
    <w:rsid w:val="00850573"/>
    <w:rsid w:val="00852911"/>
    <w:rsid w:val="0085575D"/>
    <w:rsid w:val="008602B3"/>
    <w:rsid w:val="00864369"/>
    <w:rsid w:val="00865D3A"/>
    <w:rsid w:val="0086759C"/>
    <w:rsid w:val="00870182"/>
    <w:rsid w:val="008704CD"/>
    <w:rsid w:val="00875D87"/>
    <w:rsid w:val="008861B1"/>
    <w:rsid w:val="008873E0"/>
    <w:rsid w:val="008930FB"/>
    <w:rsid w:val="008A024D"/>
    <w:rsid w:val="008A5CED"/>
    <w:rsid w:val="008B01E9"/>
    <w:rsid w:val="008B0DBB"/>
    <w:rsid w:val="008C33D1"/>
    <w:rsid w:val="008C565C"/>
    <w:rsid w:val="008C5EFC"/>
    <w:rsid w:val="008C7790"/>
    <w:rsid w:val="008E35E7"/>
    <w:rsid w:val="008F08DA"/>
    <w:rsid w:val="008F7AF0"/>
    <w:rsid w:val="00913D07"/>
    <w:rsid w:val="0091472B"/>
    <w:rsid w:val="009200F8"/>
    <w:rsid w:val="009222EB"/>
    <w:rsid w:val="0092422F"/>
    <w:rsid w:val="00925984"/>
    <w:rsid w:val="00942F74"/>
    <w:rsid w:val="0094584D"/>
    <w:rsid w:val="00961423"/>
    <w:rsid w:val="00961CB7"/>
    <w:rsid w:val="00993696"/>
    <w:rsid w:val="00994236"/>
    <w:rsid w:val="0099528A"/>
    <w:rsid w:val="009A3ED8"/>
    <w:rsid w:val="009A5C23"/>
    <w:rsid w:val="009B2C25"/>
    <w:rsid w:val="009C0C2F"/>
    <w:rsid w:val="009C16B1"/>
    <w:rsid w:val="009C50B4"/>
    <w:rsid w:val="009E72D4"/>
    <w:rsid w:val="00A01619"/>
    <w:rsid w:val="00A0248E"/>
    <w:rsid w:val="00A0575E"/>
    <w:rsid w:val="00A05E49"/>
    <w:rsid w:val="00A103B4"/>
    <w:rsid w:val="00A21443"/>
    <w:rsid w:val="00A254AD"/>
    <w:rsid w:val="00A27006"/>
    <w:rsid w:val="00A575D1"/>
    <w:rsid w:val="00A60EB9"/>
    <w:rsid w:val="00A63670"/>
    <w:rsid w:val="00A776E3"/>
    <w:rsid w:val="00A96D68"/>
    <w:rsid w:val="00A97419"/>
    <w:rsid w:val="00AA7329"/>
    <w:rsid w:val="00AA7E17"/>
    <w:rsid w:val="00AB5C31"/>
    <w:rsid w:val="00AB70EB"/>
    <w:rsid w:val="00AB783C"/>
    <w:rsid w:val="00AC2303"/>
    <w:rsid w:val="00AC3207"/>
    <w:rsid w:val="00AC48C5"/>
    <w:rsid w:val="00AC7B2E"/>
    <w:rsid w:val="00AD7AE9"/>
    <w:rsid w:val="00AE1915"/>
    <w:rsid w:val="00B00E3B"/>
    <w:rsid w:val="00B020BC"/>
    <w:rsid w:val="00B023E7"/>
    <w:rsid w:val="00B073BC"/>
    <w:rsid w:val="00B2368B"/>
    <w:rsid w:val="00B262D9"/>
    <w:rsid w:val="00B34177"/>
    <w:rsid w:val="00B51B1A"/>
    <w:rsid w:val="00B54ECE"/>
    <w:rsid w:val="00B601FC"/>
    <w:rsid w:val="00B6046E"/>
    <w:rsid w:val="00B63DE4"/>
    <w:rsid w:val="00B650F8"/>
    <w:rsid w:val="00B659BE"/>
    <w:rsid w:val="00B675C7"/>
    <w:rsid w:val="00B82530"/>
    <w:rsid w:val="00B84E44"/>
    <w:rsid w:val="00B97B27"/>
    <w:rsid w:val="00BA37B3"/>
    <w:rsid w:val="00BC3FD9"/>
    <w:rsid w:val="00BD5AD0"/>
    <w:rsid w:val="00BE11FB"/>
    <w:rsid w:val="00BF6417"/>
    <w:rsid w:val="00C033B3"/>
    <w:rsid w:val="00C07C08"/>
    <w:rsid w:val="00C10A47"/>
    <w:rsid w:val="00C1113E"/>
    <w:rsid w:val="00C45BF8"/>
    <w:rsid w:val="00C529FF"/>
    <w:rsid w:val="00C64286"/>
    <w:rsid w:val="00C679C0"/>
    <w:rsid w:val="00C67E85"/>
    <w:rsid w:val="00C7372F"/>
    <w:rsid w:val="00C81A7C"/>
    <w:rsid w:val="00C84528"/>
    <w:rsid w:val="00C86DA8"/>
    <w:rsid w:val="00C8763A"/>
    <w:rsid w:val="00C91946"/>
    <w:rsid w:val="00C93457"/>
    <w:rsid w:val="00CA7741"/>
    <w:rsid w:val="00CB253A"/>
    <w:rsid w:val="00CC2823"/>
    <w:rsid w:val="00CD0C94"/>
    <w:rsid w:val="00CD3206"/>
    <w:rsid w:val="00CD3A45"/>
    <w:rsid w:val="00CD63C9"/>
    <w:rsid w:val="00CD6B74"/>
    <w:rsid w:val="00CE368B"/>
    <w:rsid w:val="00D0210F"/>
    <w:rsid w:val="00D169EE"/>
    <w:rsid w:val="00D207BB"/>
    <w:rsid w:val="00D30002"/>
    <w:rsid w:val="00D3123F"/>
    <w:rsid w:val="00D47772"/>
    <w:rsid w:val="00D514EC"/>
    <w:rsid w:val="00D51B47"/>
    <w:rsid w:val="00D545B5"/>
    <w:rsid w:val="00D57706"/>
    <w:rsid w:val="00D61C2C"/>
    <w:rsid w:val="00D731C2"/>
    <w:rsid w:val="00D75E3A"/>
    <w:rsid w:val="00D8747D"/>
    <w:rsid w:val="00D93F35"/>
    <w:rsid w:val="00DB6F4E"/>
    <w:rsid w:val="00DC3896"/>
    <w:rsid w:val="00DE66EB"/>
    <w:rsid w:val="00DE7214"/>
    <w:rsid w:val="00DF24E3"/>
    <w:rsid w:val="00DF36A0"/>
    <w:rsid w:val="00DF5EDC"/>
    <w:rsid w:val="00DF74CA"/>
    <w:rsid w:val="00E02385"/>
    <w:rsid w:val="00E149BB"/>
    <w:rsid w:val="00E2337D"/>
    <w:rsid w:val="00E23868"/>
    <w:rsid w:val="00E31440"/>
    <w:rsid w:val="00E31DB3"/>
    <w:rsid w:val="00E33A67"/>
    <w:rsid w:val="00E36EA7"/>
    <w:rsid w:val="00E4300C"/>
    <w:rsid w:val="00E56540"/>
    <w:rsid w:val="00E72839"/>
    <w:rsid w:val="00E80E77"/>
    <w:rsid w:val="00E84502"/>
    <w:rsid w:val="00E96269"/>
    <w:rsid w:val="00EA1B32"/>
    <w:rsid w:val="00EA7618"/>
    <w:rsid w:val="00EC349B"/>
    <w:rsid w:val="00EC71BE"/>
    <w:rsid w:val="00ED6C96"/>
    <w:rsid w:val="00ED7A97"/>
    <w:rsid w:val="00EE63CB"/>
    <w:rsid w:val="00EE6B7C"/>
    <w:rsid w:val="00F077DF"/>
    <w:rsid w:val="00F136C8"/>
    <w:rsid w:val="00F22A30"/>
    <w:rsid w:val="00F4200F"/>
    <w:rsid w:val="00F5099D"/>
    <w:rsid w:val="00F609B6"/>
    <w:rsid w:val="00F65E3C"/>
    <w:rsid w:val="00F674FA"/>
    <w:rsid w:val="00F6753A"/>
    <w:rsid w:val="00F7321C"/>
    <w:rsid w:val="00F776D0"/>
    <w:rsid w:val="00F91E7B"/>
    <w:rsid w:val="00F92E14"/>
    <w:rsid w:val="00FA6C9F"/>
    <w:rsid w:val="00FB0342"/>
    <w:rsid w:val="00FB380D"/>
    <w:rsid w:val="00FC1EFC"/>
    <w:rsid w:val="00FD4FCA"/>
    <w:rsid w:val="00FF2876"/>
    <w:rsid w:val="00FF5F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73F82"/>
  <w15:docId w15:val="{C808694B-9302-4499-91EC-2C5403DB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B8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Header Titlos Prosforas"/>
    <w:basedOn w:val="a"/>
    <w:link w:val="a4"/>
    <w:unhideWhenUsed/>
    <w:rsid w:val="00617FB6"/>
    <w:pPr>
      <w:tabs>
        <w:tab w:val="center" w:pos="4536"/>
        <w:tab w:val="right" w:pos="9072"/>
      </w:tabs>
      <w:spacing w:after="0" w:line="240" w:lineRule="auto"/>
    </w:pPr>
  </w:style>
  <w:style w:type="character" w:customStyle="1" w:styleId="a4">
    <w:name w:val="Горен колонтитул Знак"/>
    <w:aliases w:val="hd Знак,Header Titlos Prosforas Знак"/>
    <w:basedOn w:val="a0"/>
    <w:link w:val="a3"/>
    <w:rsid w:val="00617FB6"/>
    <w:rPr>
      <w:rFonts w:ascii="Times New Roman" w:hAnsi="Times New Roman"/>
      <w:sz w:val="24"/>
    </w:rPr>
  </w:style>
  <w:style w:type="paragraph" w:styleId="a5">
    <w:name w:val="footer"/>
    <w:basedOn w:val="a"/>
    <w:link w:val="a6"/>
    <w:uiPriority w:val="99"/>
    <w:unhideWhenUsed/>
    <w:rsid w:val="00617FB6"/>
    <w:pPr>
      <w:tabs>
        <w:tab w:val="center" w:pos="4536"/>
        <w:tab w:val="right" w:pos="9072"/>
      </w:tabs>
      <w:spacing w:after="0" w:line="240" w:lineRule="auto"/>
    </w:pPr>
  </w:style>
  <w:style w:type="character" w:customStyle="1" w:styleId="a6">
    <w:name w:val="Долен колонтитул Знак"/>
    <w:basedOn w:val="a0"/>
    <w:link w:val="a5"/>
    <w:uiPriority w:val="99"/>
    <w:rsid w:val="00617FB6"/>
    <w:rPr>
      <w:rFonts w:ascii="Times New Roman" w:hAnsi="Times New Roman"/>
      <w:sz w:val="24"/>
    </w:rPr>
  </w:style>
  <w:style w:type="character" w:styleId="a7">
    <w:name w:val="Hyperlink"/>
    <w:basedOn w:val="a0"/>
    <w:uiPriority w:val="99"/>
    <w:unhideWhenUsed/>
    <w:rsid w:val="00617FB6"/>
    <w:rPr>
      <w:color w:val="0563C1" w:themeColor="hyperlink"/>
      <w:u w:val="single"/>
    </w:rPr>
  </w:style>
  <w:style w:type="table" w:styleId="a8">
    <w:name w:val="Table Grid"/>
    <w:basedOn w:val="a1"/>
    <w:rsid w:val="0061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List Paragraph1,List1,Colorful List - Accent 11,List Paragraph11,List Paragraph111,List Paragraph1111,ПАРАГРАФ"/>
    <w:basedOn w:val="a"/>
    <w:link w:val="aa"/>
    <w:uiPriority w:val="34"/>
    <w:qFormat/>
    <w:rsid w:val="00D0210F"/>
    <w:pPr>
      <w:ind w:left="720"/>
      <w:contextualSpacing/>
    </w:pPr>
  </w:style>
  <w:style w:type="paragraph" w:styleId="ab">
    <w:name w:val="Balloon Text"/>
    <w:basedOn w:val="a"/>
    <w:link w:val="ac"/>
    <w:uiPriority w:val="99"/>
    <w:semiHidden/>
    <w:unhideWhenUsed/>
    <w:rsid w:val="0067299F"/>
    <w:pPr>
      <w:spacing w:after="0" w:line="240" w:lineRule="auto"/>
    </w:pPr>
    <w:rPr>
      <w:rFonts w:ascii="Segoe UI" w:hAnsi="Segoe UI" w:cs="Segoe UI"/>
      <w:sz w:val="18"/>
      <w:szCs w:val="18"/>
    </w:rPr>
  </w:style>
  <w:style w:type="character" w:customStyle="1" w:styleId="ac">
    <w:name w:val="Изнесен текст Знак"/>
    <w:basedOn w:val="a0"/>
    <w:link w:val="ab"/>
    <w:uiPriority w:val="99"/>
    <w:semiHidden/>
    <w:rsid w:val="0067299F"/>
    <w:rPr>
      <w:rFonts w:ascii="Segoe UI" w:hAnsi="Segoe UI" w:cs="Segoe UI"/>
      <w:sz w:val="18"/>
      <w:szCs w:val="18"/>
    </w:rPr>
  </w:style>
  <w:style w:type="character" w:styleId="ad">
    <w:name w:val="footnote reference"/>
    <w:uiPriority w:val="99"/>
    <w:semiHidden/>
    <w:rsid w:val="00D3123F"/>
    <w:rPr>
      <w:rFonts w:ascii="Times New Roman" w:hAnsi="Times New Roman"/>
      <w:noProof w:val="0"/>
      <w:sz w:val="27"/>
      <w:vertAlign w:val="superscript"/>
      <w:lang w:val="en-US"/>
    </w:rPr>
  </w:style>
  <w:style w:type="paragraph" w:styleId="ae">
    <w:name w:val="footnote text"/>
    <w:basedOn w:val="a"/>
    <w:link w:val="af"/>
    <w:uiPriority w:val="99"/>
    <w:semiHidden/>
    <w:rsid w:val="00D3123F"/>
    <w:pPr>
      <w:widowControl w:val="0"/>
      <w:tabs>
        <w:tab w:val="left" w:pos="-720"/>
      </w:tabs>
      <w:suppressAutoHyphens/>
      <w:spacing w:after="0" w:line="240" w:lineRule="auto"/>
      <w:jc w:val="both"/>
    </w:pPr>
    <w:rPr>
      <w:rFonts w:eastAsia="Times New Roman" w:cs="Times New Roman"/>
      <w:snapToGrid w:val="0"/>
      <w:spacing w:val="-2"/>
      <w:sz w:val="20"/>
      <w:szCs w:val="20"/>
      <w:lang w:val="en-GB"/>
    </w:rPr>
  </w:style>
  <w:style w:type="character" w:customStyle="1" w:styleId="af">
    <w:name w:val="Текст под линия Знак"/>
    <w:basedOn w:val="a0"/>
    <w:link w:val="ae"/>
    <w:uiPriority w:val="99"/>
    <w:semiHidden/>
    <w:rsid w:val="00D3123F"/>
    <w:rPr>
      <w:rFonts w:ascii="Times New Roman" w:eastAsia="Times New Roman" w:hAnsi="Times New Roman" w:cs="Times New Roman"/>
      <w:snapToGrid w:val="0"/>
      <w:spacing w:val="-2"/>
      <w:sz w:val="20"/>
      <w:szCs w:val="20"/>
      <w:lang w:val="en-GB"/>
    </w:rPr>
  </w:style>
  <w:style w:type="paragraph" w:customStyle="1" w:styleId="TableParagraph">
    <w:name w:val="Table Paragraph"/>
    <w:basedOn w:val="a"/>
    <w:uiPriority w:val="1"/>
    <w:qFormat/>
    <w:rsid w:val="00D3123F"/>
    <w:pPr>
      <w:widowControl w:val="0"/>
      <w:spacing w:after="0" w:line="240" w:lineRule="auto"/>
      <w:ind w:left="244"/>
    </w:pPr>
    <w:rPr>
      <w:rFonts w:ascii="Calibri" w:eastAsia="Calibri" w:hAnsi="Calibri" w:cs="Calibri"/>
      <w:sz w:val="22"/>
      <w:lang w:val="en-US"/>
    </w:rPr>
  </w:style>
  <w:style w:type="paragraph" w:styleId="af0">
    <w:name w:val="Body Text"/>
    <w:basedOn w:val="a"/>
    <w:link w:val="af1"/>
    <w:uiPriority w:val="1"/>
    <w:qFormat/>
    <w:rsid w:val="00D3123F"/>
    <w:pPr>
      <w:widowControl w:val="0"/>
      <w:spacing w:after="0" w:line="240" w:lineRule="auto"/>
    </w:pPr>
    <w:rPr>
      <w:rFonts w:ascii="Calibri" w:eastAsia="Calibri" w:hAnsi="Calibri" w:cs="Times New Roman"/>
      <w:szCs w:val="24"/>
      <w:lang w:val="en-US"/>
    </w:rPr>
  </w:style>
  <w:style w:type="character" w:customStyle="1" w:styleId="af1">
    <w:name w:val="Основен текст Знак"/>
    <w:basedOn w:val="a0"/>
    <w:link w:val="af0"/>
    <w:uiPriority w:val="1"/>
    <w:rsid w:val="00D3123F"/>
    <w:rPr>
      <w:rFonts w:ascii="Calibri" w:eastAsia="Calibri" w:hAnsi="Calibri" w:cs="Times New Roman"/>
      <w:sz w:val="24"/>
      <w:szCs w:val="24"/>
      <w:lang w:val="en-US"/>
    </w:rPr>
  </w:style>
  <w:style w:type="character" w:customStyle="1" w:styleId="indented">
    <w:name w:val="indented"/>
    <w:basedOn w:val="a0"/>
    <w:rsid w:val="00D3123F"/>
  </w:style>
  <w:style w:type="character" w:styleId="af2">
    <w:name w:val="FollowedHyperlink"/>
    <w:basedOn w:val="a0"/>
    <w:uiPriority w:val="99"/>
    <w:semiHidden/>
    <w:unhideWhenUsed/>
    <w:rsid w:val="000241EC"/>
    <w:rPr>
      <w:color w:val="954F72" w:themeColor="followedHyperlink"/>
      <w:u w:val="single"/>
    </w:rPr>
  </w:style>
  <w:style w:type="character" w:customStyle="1" w:styleId="UnresolvedMention">
    <w:name w:val="Unresolved Mention"/>
    <w:basedOn w:val="a0"/>
    <w:uiPriority w:val="99"/>
    <w:semiHidden/>
    <w:unhideWhenUsed/>
    <w:rsid w:val="00865D3A"/>
    <w:rPr>
      <w:color w:val="605E5C"/>
      <w:shd w:val="clear" w:color="auto" w:fill="E1DFDD"/>
    </w:rPr>
  </w:style>
  <w:style w:type="table" w:customStyle="1" w:styleId="TableGrid1">
    <w:name w:val="Table Grid1"/>
    <w:basedOn w:val="a1"/>
    <w:next w:val="a8"/>
    <w:rsid w:val="00DF36A0"/>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706"/>
    <w:pPr>
      <w:autoSpaceDE w:val="0"/>
      <w:autoSpaceDN w:val="0"/>
      <w:adjustRightInd w:val="0"/>
    </w:pPr>
    <w:rPr>
      <w:rFonts w:ascii="Times New Roman" w:eastAsia="Times New Roman" w:hAnsi="Times New Roman" w:cs="Times New Roman"/>
      <w:color w:val="000000"/>
      <w:sz w:val="24"/>
      <w:szCs w:val="24"/>
      <w:lang w:eastAsia="bg-BG"/>
    </w:rPr>
  </w:style>
  <w:style w:type="numbering" w:customStyle="1" w:styleId="WWNum18">
    <w:name w:val="WWNum18"/>
    <w:rsid w:val="006E49B3"/>
    <w:pPr>
      <w:numPr>
        <w:numId w:val="3"/>
      </w:numPr>
    </w:pPr>
  </w:style>
  <w:style w:type="character" w:customStyle="1" w:styleId="aa">
    <w:name w:val="Списък на абзаци Знак"/>
    <w:aliases w:val="List Paragraph1 Знак,List1 Знак,Colorful List - Accent 11 Знак,List Paragraph11 Знак,List Paragraph111 Знак,List Paragraph1111 Знак,ПАРАГРАФ Знак"/>
    <w:link w:val="a9"/>
    <w:uiPriority w:val="34"/>
    <w:qFormat/>
    <w:rsid w:val="000472E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5070">
      <w:bodyDiv w:val="1"/>
      <w:marLeft w:val="0"/>
      <w:marRight w:val="0"/>
      <w:marTop w:val="0"/>
      <w:marBottom w:val="0"/>
      <w:divBdr>
        <w:top w:val="none" w:sz="0" w:space="0" w:color="auto"/>
        <w:left w:val="none" w:sz="0" w:space="0" w:color="auto"/>
        <w:bottom w:val="none" w:sz="0" w:space="0" w:color="auto"/>
        <w:right w:val="none" w:sz="0" w:space="0" w:color="auto"/>
      </w:divBdr>
    </w:div>
    <w:div w:id="647323029">
      <w:bodyDiv w:val="1"/>
      <w:marLeft w:val="0"/>
      <w:marRight w:val="0"/>
      <w:marTop w:val="0"/>
      <w:marBottom w:val="0"/>
      <w:divBdr>
        <w:top w:val="none" w:sz="0" w:space="0" w:color="auto"/>
        <w:left w:val="none" w:sz="0" w:space="0" w:color="auto"/>
        <w:bottom w:val="none" w:sz="0" w:space="0" w:color="auto"/>
        <w:right w:val="none" w:sz="0" w:space="0" w:color="auto"/>
      </w:divBdr>
    </w:div>
    <w:div w:id="1068579196">
      <w:bodyDiv w:val="1"/>
      <w:marLeft w:val="0"/>
      <w:marRight w:val="0"/>
      <w:marTop w:val="0"/>
      <w:marBottom w:val="0"/>
      <w:divBdr>
        <w:top w:val="none" w:sz="0" w:space="0" w:color="auto"/>
        <w:left w:val="none" w:sz="0" w:space="0" w:color="auto"/>
        <w:bottom w:val="none" w:sz="0" w:space="0" w:color="auto"/>
        <w:right w:val="none" w:sz="0" w:space="0" w:color="auto"/>
      </w:divBdr>
    </w:div>
    <w:div w:id="1370715740">
      <w:bodyDiv w:val="1"/>
      <w:marLeft w:val="0"/>
      <w:marRight w:val="0"/>
      <w:marTop w:val="0"/>
      <w:marBottom w:val="0"/>
      <w:divBdr>
        <w:top w:val="none" w:sz="0" w:space="0" w:color="auto"/>
        <w:left w:val="none" w:sz="0" w:space="0" w:color="auto"/>
        <w:bottom w:val="none" w:sz="0" w:space="0" w:color="auto"/>
        <w:right w:val="none" w:sz="0" w:space="0" w:color="auto"/>
      </w:divBdr>
    </w:div>
    <w:div w:id="1481383874">
      <w:bodyDiv w:val="1"/>
      <w:marLeft w:val="0"/>
      <w:marRight w:val="0"/>
      <w:marTop w:val="0"/>
      <w:marBottom w:val="0"/>
      <w:divBdr>
        <w:top w:val="none" w:sz="0" w:space="0" w:color="auto"/>
        <w:left w:val="none" w:sz="0" w:space="0" w:color="auto"/>
        <w:bottom w:val="none" w:sz="0" w:space="0" w:color="auto"/>
        <w:right w:val="none" w:sz="0" w:space="0" w:color="auto"/>
      </w:divBdr>
    </w:div>
    <w:div w:id="1580869140">
      <w:bodyDiv w:val="1"/>
      <w:marLeft w:val="0"/>
      <w:marRight w:val="0"/>
      <w:marTop w:val="0"/>
      <w:marBottom w:val="0"/>
      <w:divBdr>
        <w:top w:val="none" w:sz="0" w:space="0" w:color="auto"/>
        <w:left w:val="none" w:sz="0" w:space="0" w:color="auto"/>
        <w:bottom w:val="none" w:sz="0" w:space="0" w:color="auto"/>
        <w:right w:val="none" w:sz="0" w:space="0" w:color="auto"/>
      </w:divBdr>
    </w:div>
    <w:div w:id="20515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ig-lr.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umis2020.government.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eumis2020.government.b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umis2020.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1770</Words>
  <Characters>10095</Characters>
  <Application>Microsoft Office Word</Application>
  <DocSecurity>0</DocSecurity>
  <Lines>84</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Цанко Спасовски</dc:creator>
  <cp:lastModifiedBy>User</cp:lastModifiedBy>
  <cp:revision>3</cp:revision>
  <cp:lastPrinted>2022-04-01T06:45:00Z</cp:lastPrinted>
  <dcterms:created xsi:type="dcterms:W3CDTF">2023-08-28T09:01:00Z</dcterms:created>
  <dcterms:modified xsi:type="dcterms:W3CDTF">2023-08-28T09:02:00Z</dcterms:modified>
</cp:coreProperties>
</file>