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181DD" w14:textId="77777777" w:rsidR="00717907" w:rsidRPr="00A056B5" w:rsidRDefault="00717907" w:rsidP="00F03077">
      <w:pPr>
        <w:spacing w:after="0" w:line="240" w:lineRule="auto"/>
        <w:jc w:val="center"/>
        <w:rPr>
          <w:rFonts w:ascii="Times New Roman" w:hAnsi="Times New Roman" w:cs="Arial"/>
          <w:b/>
          <w:sz w:val="40"/>
          <w:szCs w:val="40"/>
          <w:lang w:eastAsia="bg-BG"/>
        </w:rPr>
      </w:pPr>
      <w:r w:rsidRPr="00A056B5">
        <w:rPr>
          <w:rFonts w:ascii="Times New Roman" w:hAnsi="Times New Roman" w:cs="Arial"/>
          <w:b/>
          <w:sz w:val="40"/>
          <w:szCs w:val="40"/>
          <w:lang w:eastAsia="bg-BG"/>
        </w:rPr>
        <w:t>О Б Я В А</w:t>
      </w:r>
    </w:p>
    <w:p w14:paraId="0B4F31C1" w14:textId="1B3DD4B3" w:rsidR="004A4F92" w:rsidRPr="00A056B5" w:rsidRDefault="00717907" w:rsidP="00F030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56B5">
        <w:rPr>
          <w:rFonts w:ascii="Times New Roman" w:hAnsi="Times New Roman" w:cs="Arial"/>
          <w:b/>
          <w:bCs/>
          <w:sz w:val="24"/>
          <w:szCs w:val="24"/>
          <w:lang w:eastAsia="bg-BG"/>
        </w:rPr>
        <w:t>за прием на проектни предложения по мярка 3-6.4.1 „Инвестиции в подкрепа на неземеделски дейности“ от Стратегията за ВОМР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на 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br/>
        <w:t xml:space="preserve">СНЦ „Местна инициативна група Карлуковски карст –Червен бряг – Искър“, </w:t>
      </w: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br/>
        <w:t>финансирана по Програмата за развитие на селските райони 2014-2020 чрез Европейския земеделски фонд за развитие на селските райони</w:t>
      </w:r>
    </w:p>
    <w:p w14:paraId="78346791" w14:textId="77777777" w:rsidR="004A4F92" w:rsidRPr="00A056B5" w:rsidRDefault="004A4F92" w:rsidP="00F0307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0D761732" w14:textId="56CF1F41" w:rsidR="004A4F92" w:rsidRPr="00A056B5" w:rsidRDefault="00717907" w:rsidP="00F0307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56B5">
        <w:rPr>
          <w:rFonts w:ascii="Times New Roman" w:hAnsi="Times New Roman"/>
          <w:i/>
          <w:sz w:val="24"/>
          <w:szCs w:val="24"/>
        </w:rPr>
        <w:t xml:space="preserve">На основание решение на Управителния съвет на СНЦ „Местна инициативна група </w:t>
      </w:r>
      <w:proofErr w:type="spellStart"/>
      <w:r w:rsidRPr="00A056B5">
        <w:rPr>
          <w:rFonts w:ascii="Times New Roman" w:hAnsi="Times New Roman"/>
          <w:i/>
          <w:sz w:val="24"/>
          <w:szCs w:val="24"/>
        </w:rPr>
        <w:t>арлуковски</w:t>
      </w:r>
      <w:proofErr w:type="spellEnd"/>
      <w:r w:rsidRPr="00A056B5">
        <w:rPr>
          <w:rFonts w:ascii="Times New Roman" w:hAnsi="Times New Roman"/>
          <w:i/>
          <w:sz w:val="24"/>
          <w:szCs w:val="24"/>
        </w:rPr>
        <w:t xml:space="preserve"> карст –Червен бряг – Искър“, чл.62, т.4 от Наредба №22/14.12.2015 г. на МЗХГ  и чл. 11, т.10 от</w:t>
      </w:r>
      <w:r w:rsidR="00A056B5" w:rsidRPr="00A056B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056B5">
        <w:rPr>
          <w:rFonts w:ascii="Times New Roman" w:hAnsi="Times New Roman"/>
          <w:i/>
          <w:sz w:val="24"/>
          <w:szCs w:val="24"/>
        </w:rPr>
        <w:t>Споразумение №РД 50-50/02.07.2018 г. за изпълнение на Стратегията за ВОМР</w:t>
      </w:r>
    </w:p>
    <w:p w14:paraId="066493D6" w14:textId="77777777" w:rsidR="004A4F92" w:rsidRPr="00A056B5" w:rsidRDefault="004A4F92" w:rsidP="00F030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5FC325" w14:textId="212584EA" w:rsidR="004A4F92" w:rsidRPr="00A056B5" w:rsidRDefault="00717907" w:rsidP="00F030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56B5">
        <w:rPr>
          <w:rFonts w:ascii="Times New Roman" w:eastAsia="MS Mincho" w:hAnsi="Times New Roman"/>
          <w:sz w:val="24"/>
          <w:szCs w:val="24"/>
          <w:lang w:eastAsia="bg-BG"/>
        </w:rPr>
        <w:t xml:space="preserve">СНЦ „Местна инициативна група Карлуковски карст –Червен бряг – Искър“, кани желаещите да представят проектни предложения по мярка 3-6.4.1 „Инвестиции в подкрепа на неземеделски дейности“ от стратегията за ВОМР на МИГ „КАРЛУКОВСКИ КАРСТ – ЧЕРВЕН БРЯГ – ИСКЪР“ посредством процедура на подбор на проекти за безвъзмездна финансова помощ: № </w:t>
      </w:r>
      <w:r w:rsidR="00083C00" w:rsidRPr="00083C00">
        <w:rPr>
          <w:rFonts w:ascii="Times New Roman" w:eastAsia="MS Mincho" w:hAnsi="Times New Roman"/>
          <w:sz w:val="24"/>
          <w:szCs w:val="24"/>
          <w:lang w:eastAsia="bg-BG"/>
        </w:rPr>
        <w:t xml:space="preserve">BG06RDNP001-19.276 </w:t>
      </w:r>
      <w:r w:rsidR="00D97C60">
        <w:rPr>
          <w:rFonts w:ascii="Times New Roman" w:eastAsia="MS Mincho" w:hAnsi="Times New Roman"/>
          <w:sz w:val="24"/>
          <w:szCs w:val="24"/>
          <w:lang w:val="en-US" w:eastAsia="bg-BG"/>
        </w:rPr>
        <w:t xml:space="preserve">– </w:t>
      </w:r>
      <w:r w:rsidR="00D97C60">
        <w:rPr>
          <w:rFonts w:ascii="Times New Roman" w:eastAsia="MS Mincho" w:hAnsi="Times New Roman"/>
          <w:sz w:val="24"/>
          <w:szCs w:val="24"/>
          <w:lang w:eastAsia="bg-BG"/>
        </w:rPr>
        <w:t xml:space="preserve">„МИГ </w:t>
      </w:r>
      <w:r w:rsidRPr="00A056B5">
        <w:rPr>
          <w:rFonts w:ascii="Times New Roman" w:eastAsia="MS Mincho" w:hAnsi="Times New Roman"/>
          <w:sz w:val="24"/>
          <w:szCs w:val="24"/>
          <w:lang w:eastAsia="bg-BG"/>
        </w:rPr>
        <w:t>КАРЛУКОВСКИ КАРСТ – ЧЕРВЕН БРЯГ – ИСКЪР“, мярка 3-6.4.1 „Инвестиции в подкрепа на неземеделски дейности“ от Стратегията за ВОМР, изпълнявана на територията на МИГ „КАРЛУКОВСКИ КАРСТ – ЧЕРВЕН БРЯГ – ИСКЪР“</w:t>
      </w:r>
      <w:r w:rsidR="0064545D">
        <w:rPr>
          <w:rFonts w:ascii="Times New Roman" w:eastAsia="MS Mincho" w:hAnsi="Times New Roman"/>
          <w:sz w:val="24"/>
          <w:szCs w:val="24"/>
          <w:lang w:eastAsia="bg-BG"/>
        </w:rPr>
        <w:t xml:space="preserve"> – втори прием</w:t>
      </w:r>
      <w:r w:rsidR="004A4F92" w:rsidRPr="00A056B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16C1AF5" w14:textId="77777777" w:rsidR="00717907" w:rsidRPr="00A056B5" w:rsidRDefault="00717907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right" w:pos="92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bCs/>
          <w:sz w:val="24"/>
          <w:szCs w:val="24"/>
        </w:rPr>
        <w:t>Цели на предоставяната безвъзмездна финансова помощ по процедурата:</w:t>
      </w:r>
      <w:r w:rsidRPr="00A056B5">
        <w:rPr>
          <w:rFonts w:ascii="Times New Roman" w:hAnsi="Times New Roman"/>
          <w:b/>
          <w:bCs/>
          <w:sz w:val="24"/>
          <w:szCs w:val="24"/>
        </w:rPr>
        <w:tab/>
      </w:r>
    </w:p>
    <w:p w14:paraId="41D82DAC" w14:textId="77777777" w:rsidR="00717907" w:rsidRPr="00A056B5" w:rsidRDefault="00717907" w:rsidP="00F03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sz w:val="24"/>
          <w:szCs w:val="24"/>
        </w:rPr>
        <w:t>Чрез мярката се цели да се развият неземеделски дейности, с потенциал за устойчиво развитие, което е свързано със създаване на заетост извън сектор земеделие. Икономическите сектори извън земеделието създават заетост, за която е характерна липсата на сезонност, присъща на земеделските сектори, в тази връзка основна цел на мярката е насърчаване на инвестиционните дейности, създаването на заетост и ускоряване диверсификацията на неземеделските дейности.</w:t>
      </w:r>
    </w:p>
    <w:p w14:paraId="0FD1E004" w14:textId="1290B9EE" w:rsidR="004A4F92" w:rsidRPr="00A056B5" w:rsidRDefault="00717907" w:rsidP="00F030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sz w:val="24"/>
          <w:szCs w:val="24"/>
        </w:rPr>
        <w:t>Специфична цел на мярката е усвояването на потенциала за развитие на туризъм, съчетаващ природни и културни ценности.</w:t>
      </w:r>
    </w:p>
    <w:p w14:paraId="5E8EC7CD" w14:textId="77777777" w:rsidR="00717907" w:rsidRPr="00A056B5" w:rsidRDefault="00717907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Допустими кандидати: </w:t>
      </w:r>
    </w:p>
    <w:p w14:paraId="018BAFDB" w14:textId="21C72BCD" w:rsidR="004A4F92" w:rsidRPr="00A056B5" w:rsidRDefault="004A4F92" w:rsidP="00F0307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sz w:val="24"/>
          <w:szCs w:val="24"/>
          <w:u w:val="single"/>
        </w:rPr>
        <w:t>Допустими кандидати по процедурата са</w:t>
      </w:r>
      <w:r w:rsidRPr="00A056B5">
        <w:rPr>
          <w:rFonts w:ascii="Times New Roman" w:hAnsi="Times New Roman"/>
          <w:sz w:val="24"/>
          <w:szCs w:val="24"/>
        </w:rPr>
        <w:t>:</w:t>
      </w:r>
    </w:p>
    <w:p w14:paraId="474AC76E" w14:textId="77777777" w:rsidR="00717907" w:rsidRPr="00A056B5" w:rsidRDefault="00717907" w:rsidP="00F03077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sz w:val="24"/>
          <w:szCs w:val="24"/>
        </w:rPr>
        <w:t>Земеделски стопани</w:t>
      </w:r>
      <w:r w:rsidRPr="00A056B5">
        <w:rPr>
          <w:rFonts w:ascii="Times New Roman" w:hAnsi="Times New Roman"/>
          <w:sz w:val="24"/>
          <w:szCs w:val="24"/>
        </w:rPr>
        <w:t>, които минимален стандартен производствен обем на земеделското стопанство не по-малко от левовата равностойност на 8 000 евро;</w:t>
      </w:r>
    </w:p>
    <w:p w14:paraId="1AD1AFB7" w14:textId="77777777" w:rsidR="00717907" w:rsidRPr="00A056B5" w:rsidRDefault="00717907" w:rsidP="00F03077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sz w:val="24"/>
          <w:szCs w:val="24"/>
        </w:rPr>
        <w:t>Микропредприятия</w:t>
      </w:r>
      <w:r w:rsidRPr="00A056B5">
        <w:rPr>
          <w:rFonts w:ascii="Times New Roman" w:hAnsi="Times New Roman"/>
          <w:sz w:val="24"/>
          <w:szCs w:val="24"/>
        </w:rPr>
        <w:t>, регистрирани като еднолични търговци или юридически лица по Търговския закон, Закона за кооперациите или Закона за вероизповеданията (при определянето на едно предприятие за микропредприятие се следва дефиницията на Препоръка 2003/361/ЕО на Комисията);</w:t>
      </w:r>
    </w:p>
    <w:p w14:paraId="19E251A1" w14:textId="5E3F98D8" w:rsidR="00717907" w:rsidRPr="00483BFE" w:rsidRDefault="00717907" w:rsidP="00F03077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b/>
          <w:sz w:val="24"/>
          <w:szCs w:val="24"/>
        </w:rPr>
        <w:t>Физически лица</w:t>
      </w:r>
      <w:r w:rsidRPr="00A056B5">
        <w:rPr>
          <w:rFonts w:ascii="Times New Roman" w:hAnsi="Times New Roman"/>
          <w:sz w:val="24"/>
          <w:szCs w:val="24"/>
        </w:rPr>
        <w:t>, регистрирани по Закона за занаятите.</w:t>
      </w:r>
    </w:p>
    <w:p w14:paraId="1A625B1E" w14:textId="0D326C48" w:rsidR="00717907" w:rsidRPr="00A056B5" w:rsidRDefault="00717907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Допустими дейности: </w:t>
      </w:r>
    </w:p>
    <w:p w14:paraId="3033C994" w14:textId="77777777" w:rsidR="00717907" w:rsidRPr="00A056B5" w:rsidRDefault="00717907" w:rsidP="00F03077">
      <w:pPr>
        <w:spacing w:after="0" w:line="240" w:lineRule="auto"/>
        <w:ind w:right="293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sz w:val="24"/>
          <w:szCs w:val="24"/>
        </w:rPr>
        <w:t xml:space="preserve">Предоставя се подпомагане за инвестиции в неземеделски дейности, които са насочени към: </w:t>
      </w:r>
    </w:p>
    <w:p w14:paraId="4DC912C0" w14:textId="77777777" w:rsidR="00717907" w:rsidRPr="00A056B5" w:rsidRDefault="00717907" w:rsidP="00F030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b/>
          <w:sz w:val="24"/>
          <w:szCs w:val="24"/>
        </w:rPr>
        <w:t>Развитие на туризъм</w:t>
      </w:r>
      <w:r w:rsidRPr="00A056B5">
        <w:rPr>
          <w:rFonts w:ascii="Times New Roman" w:eastAsia="MS Mincho" w:hAnsi="Times New Roman"/>
          <w:sz w:val="24"/>
          <w:szCs w:val="24"/>
        </w:rPr>
        <w:t xml:space="preserve"> (изграждане и обновяване на туристически обекти</w:t>
      </w:r>
      <w:r w:rsidRPr="00A056B5">
        <w:rPr>
          <w:rFonts w:ascii="Times New Roman" w:eastAsia="Calibri" w:hAnsi="Times New Roman"/>
          <w:sz w:val="24"/>
          <w:szCs w:val="24"/>
        </w:rPr>
        <w:t xml:space="preserve"> </w:t>
      </w:r>
      <w:r w:rsidRPr="00A056B5">
        <w:rPr>
          <w:rFonts w:ascii="Times New Roman" w:eastAsia="MS Mincho" w:hAnsi="Times New Roman"/>
          <w:sz w:val="24"/>
          <w:szCs w:val="24"/>
        </w:rPr>
        <w:t xml:space="preserve">с до 20 помещения за настаняване и развитие на туристически услуги); </w:t>
      </w:r>
    </w:p>
    <w:p w14:paraId="35E11D60" w14:textId="77777777" w:rsidR="00717907" w:rsidRPr="00A056B5" w:rsidRDefault="00717907" w:rsidP="00F030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b/>
          <w:sz w:val="24"/>
          <w:szCs w:val="24"/>
        </w:rPr>
        <w:lastRenderedPageBreak/>
        <w:t>Производство или продажба на продукти</w:t>
      </w:r>
      <w:r w:rsidRPr="00A056B5">
        <w:rPr>
          <w:rFonts w:ascii="Times New Roman" w:eastAsia="MS Mincho" w:hAnsi="Times New Roman"/>
          <w:sz w:val="24"/>
          <w:szCs w:val="24"/>
        </w:rPr>
        <w:t xml:space="preserve">, които не са включени в Приложение 1 от Договора за функциониране на Европейския съюз (независимо от вложените продукти и материали); </w:t>
      </w:r>
    </w:p>
    <w:p w14:paraId="1830CC9C" w14:textId="77777777" w:rsidR="00717907" w:rsidRPr="00A056B5" w:rsidRDefault="00717907" w:rsidP="00F030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b/>
          <w:sz w:val="24"/>
          <w:szCs w:val="24"/>
        </w:rPr>
        <w:t>Развитие на услуги във всички сектори</w:t>
      </w:r>
      <w:r w:rsidRPr="00A056B5">
        <w:rPr>
          <w:rFonts w:ascii="Times New Roman" w:eastAsia="MS Mincho" w:hAnsi="Times New Roman"/>
          <w:sz w:val="24"/>
          <w:szCs w:val="24"/>
        </w:rPr>
        <w:t xml:space="preserve"> (например: туризъм, грижи за деца, възрастни хора, хора с увреждания, здравни услуги, счетоводство и одиторски услуги, ветеринарни дейности и услуги базирани на ИТ и др.); </w:t>
      </w:r>
    </w:p>
    <w:p w14:paraId="23264342" w14:textId="77777777" w:rsidR="00717907" w:rsidRPr="00A056B5" w:rsidRDefault="00717907" w:rsidP="00F030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b/>
          <w:sz w:val="24"/>
          <w:szCs w:val="24"/>
        </w:rPr>
        <w:t>Производство на енергия от възобновяеми енергийни източници</w:t>
      </w:r>
      <w:r w:rsidRPr="00A056B5">
        <w:rPr>
          <w:rFonts w:ascii="Times New Roman" w:eastAsia="MS Mincho" w:hAnsi="Times New Roman"/>
          <w:sz w:val="24"/>
          <w:szCs w:val="24"/>
        </w:rPr>
        <w:t xml:space="preserve"> за собствено потребление; Проекти, с включени инвестиции за производство енергия от ВЕИ се подпомагат, ако не надхвърлят необходимото количество енергия за покриване на потребностите на предприятието;</w:t>
      </w:r>
    </w:p>
    <w:p w14:paraId="0DEEF280" w14:textId="77777777" w:rsidR="00717907" w:rsidRPr="00A056B5" w:rsidRDefault="00717907" w:rsidP="00F030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056B5">
        <w:rPr>
          <w:rFonts w:ascii="Times New Roman" w:eastAsia="MS Mincho" w:hAnsi="Times New Roman"/>
          <w:b/>
          <w:sz w:val="24"/>
          <w:szCs w:val="24"/>
        </w:rPr>
        <w:t>Развитие на занаяти</w:t>
      </w:r>
      <w:r w:rsidRPr="00A056B5">
        <w:rPr>
          <w:rFonts w:ascii="Times New Roman" w:eastAsia="MS Mincho" w:hAnsi="Times New Roman"/>
          <w:sz w:val="24"/>
          <w:szCs w:val="24"/>
        </w:rPr>
        <w:t xml:space="preserve"> (включително предоставяне на услуги, свързани с участието на посетители в занаятчийски дейности) и други неземеделски дейности. </w:t>
      </w:r>
    </w:p>
    <w:p w14:paraId="3AC4AB3C" w14:textId="77777777" w:rsidR="00717907" w:rsidRPr="00A056B5" w:rsidRDefault="00717907" w:rsidP="00F0307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sz w:val="24"/>
          <w:szCs w:val="24"/>
        </w:rPr>
        <w:t>В рамките на мярката не се финансират дейности, които водят до осъществяване на селскостопанска дейност или резултата от дейността е продукт, включен в Приложение I на ДФЕС.</w:t>
      </w:r>
    </w:p>
    <w:p w14:paraId="186BFA97" w14:textId="4B9C4A82" w:rsidR="00717907" w:rsidRPr="00A056B5" w:rsidRDefault="00717907" w:rsidP="00F03077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sz w:val="24"/>
          <w:szCs w:val="24"/>
        </w:rPr>
        <w:t xml:space="preserve">Не се предоставя финансова помощ за хазарт, финансови услуги, голф, сектори и дейности, определени за недопустими в Регламент (ЕС) № </w:t>
      </w:r>
      <w:r w:rsidR="00D7364D">
        <w:rPr>
          <w:rFonts w:ascii="Times New Roman" w:hAnsi="Times New Roman"/>
          <w:sz w:val="24"/>
          <w:szCs w:val="24"/>
        </w:rPr>
        <w:t>2023/2831</w:t>
      </w:r>
      <w:r w:rsidRPr="00A056B5">
        <w:rPr>
          <w:rFonts w:ascii="Times New Roman" w:hAnsi="Times New Roman"/>
          <w:sz w:val="24"/>
          <w:szCs w:val="24"/>
        </w:rPr>
        <w:t xml:space="preserve"> на Комисията, и производство на енергия от възобновяеми енергийни източници за продажба.</w:t>
      </w:r>
    </w:p>
    <w:p w14:paraId="3F4757BA" w14:textId="1CCCCFB3" w:rsidR="00717907" w:rsidRPr="00A056B5" w:rsidRDefault="00717907" w:rsidP="00F03077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A3661B" w14:textId="3A05746E" w:rsidR="00717907" w:rsidRPr="00A056B5" w:rsidRDefault="00717907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Допустими разходи: </w:t>
      </w:r>
    </w:p>
    <w:p w14:paraId="50ADA5C2" w14:textId="5ADCE086" w:rsidR="004A4F92" w:rsidRPr="00A056B5" w:rsidRDefault="0023116A" w:rsidP="00F030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</w:pPr>
      <w:r w:rsidRPr="00A056B5">
        <w:rPr>
          <w:rFonts w:ascii="Times New Roman" w:hAnsi="Times New Roman"/>
          <w:b/>
          <w:bCs/>
          <w:sz w:val="24"/>
          <w:szCs w:val="24"/>
          <w:u w:val="single"/>
          <w:shd w:val="clear" w:color="auto" w:fill="FEFEFE"/>
        </w:rPr>
        <w:t>Инвестиции в материални и нематериални дълготрайни активи:</w:t>
      </w:r>
    </w:p>
    <w:p w14:paraId="30BCE3B0" w14:textId="77777777" w:rsidR="004A4F92" w:rsidRPr="00A056B5" w:rsidRDefault="004A4F92" w:rsidP="00F030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6B5">
        <w:rPr>
          <w:rFonts w:ascii="Times New Roman" w:hAnsi="Times New Roman"/>
          <w:sz w:val="24"/>
          <w:szCs w:val="24"/>
        </w:rPr>
        <w:t>По мярката се финансират материални и нематериални инвестиции  за неземеделски дейности в </w:t>
      </w:r>
      <w:hyperlink r:id="rId8" w:tgtFrame="_blank" w:history="1">
        <w:r w:rsidRPr="00A056B5">
          <w:rPr>
            <w:rFonts w:ascii="Times New Roman" w:hAnsi="Times New Roman"/>
            <w:sz w:val="24"/>
            <w:szCs w:val="24"/>
          </w:rPr>
          <w:t>селските райони</w:t>
        </w:r>
      </w:hyperlink>
      <w:r w:rsidRPr="00A056B5">
        <w:rPr>
          <w:rFonts w:ascii="Times New Roman" w:hAnsi="Times New Roman"/>
          <w:sz w:val="24"/>
          <w:szCs w:val="24"/>
        </w:rPr>
        <w:t>, включващи:</w:t>
      </w:r>
    </w:p>
    <w:p w14:paraId="0125F36E" w14:textId="015D3BED" w:rsidR="0023116A" w:rsidRPr="00A056B5" w:rsidRDefault="0023116A" w:rsidP="00F03077">
      <w:pPr>
        <w:spacing w:after="0" w:line="240" w:lineRule="auto"/>
        <w:ind w:right="-62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056B5">
        <w:rPr>
          <w:rFonts w:ascii="Times New Roman" w:hAnsi="Times New Roman"/>
          <w:bCs/>
          <w:snapToGrid w:val="0"/>
          <w:sz w:val="24"/>
          <w:szCs w:val="24"/>
        </w:rPr>
        <w:t>а) Изграждане, придобиване или подобренията на недвижимо имущество;</w:t>
      </w:r>
    </w:p>
    <w:p w14:paraId="27F86AD3" w14:textId="604E5D34" w:rsidR="0023116A" w:rsidRPr="00A056B5" w:rsidRDefault="0023116A" w:rsidP="00F03077">
      <w:pPr>
        <w:spacing w:after="0" w:line="240" w:lineRule="auto"/>
        <w:ind w:right="-62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056B5">
        <w:rPr>
          <w:rFonts w:ascii="Times New Roman" w:hAnsi="Times New Roman"/>
          <w:bCs/>
          <w:snapToGrid w:val="0"/>
          <w:sz w:val="24"/>
          <w:szCs w:val="24"/>
        </w:rPr>
        <w:t>б) Закупуване, включително чрез лизинг на нови машини и оборудване до пазарната стойност на активите;</w:t>
      </w:r>
    </w:p>
    <w:p w14:paraId="0026EC69" w14:textId="3FB1EA10" w:rsidR="0023116A" w:rsidRPr="00A056B5" w:rsidRDefault="0023116A" w:rsidP="00F03077">
      <w:pPr>
        <w:spacing w:after="0" w:line="240" w:lineRule="auto"/>
        <w:ind w:right="-62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056B5">
        <w:rPr>
          <w:rFonts w:ascii="Times New Roman" w:hAnsi="Times New Roman"/>
          <w:bCs/>
          <w:snapToGrid w:val="0"/>
          <w:sz w:val="24"/>
          <w:szCs w:val="24"/>
        </w:rPr>
        <w:t>в) Общи разходи,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</w:r>
    </w:p>
    <w:p w14:paraId="05981732" w14:textId="5FE23EBF" w:rsidR="004A4F92" w:rsidRPr="00A056B5" w:rsidRDefault="0023116A" w:rsidP="00F03077">
      <w:pPr>
        <w:spacing w:after="0" w:line="240" w:lineRule="auto"/>
        <w:ind w:right="-62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A056B5">
        <w:rPr>
          <w:rFonts w:ascii="Times New Roman" w:hAnsi="Times New Roman"/>
          <w:bCs/>
          <w:snapToGrid w:val="0"/>
          <w:sz w:val="24"/>
          <w:szCs w:val="24"/>
        </w:rPr>
        <w:t>г) Нематериални инвестиции: придобиване и създаване на компютърен софтуер и придобиване на патенти, лицензи, авторски права и марки</w:t>
      </w:r>
      <w:r w:rsidR="004A4F92" w:rsidRPr="00A056B5">
        <w:rPr>
          <w:rFonts w:ascii="Times New Roman" w:hAnsi="Times New Roman"/>
          <w:bCs/>
          <w:snapToGrid w:val="0"/>
          <w:sz w:val="24"/>
          <w:szCs w:val="24"/>
        </w:rPr>
        <w:t>.</w:t>
      </w:r>
    </w:p>
    <w:p w14:paraId="2F6EBE84" w14:textId="2467C16C" w:rsidR="004A4F92" w:rsidRPr="00A056B5" w:rsidRDefault="004A4F92" w:rsidP="00F03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056B5">
        <w:rPr>
          <w:rFonts w:ascii="Times New Roman" w:hAnsi="Times New Roman"/>
          <w:bCs/>
          <w:i/>
          <w:snapToGrid w:val="0"/>
          <w:sz w:val="24"/>
          <w:szCs w:val="24"/>
        </w:rPr>
        <w:t xml:space="preserve">Финансова помощ по реда на тази процедура се предоставя в рамките на наличните средства по мярка </w:t>
      </w:r>
      <w:r w:rsidR="0023116A" w:rsidRPr="00A056B5">
        <w:rPr>
          <w:rFonts w:ascii="Times New Roman" w:hAnsi="Times New Roman"/>
          <w:bCs/>
          <w:i/>
          <w:snapToGrid w:val="0"/>
          <w:sz w:val="24"/>
          <w:szCs w:val="24"/>
        </w:rPr>
        <w:t>3-</w:t>
      </w:r>
      <w:r w:rsidRPr="00A056B5">
        <w:rPr>
          <w:rFonts w:ascii="Times New Roman" w:hAnsi="Times New Roman"/>
          <w:bCs/>
          <w:i/>
          <w:snapToGrid w:val="0"/>
          <w:sz w:val="24"/>
          <w:szCs w:val="24"/>
        </w:rPr>
        <w:t xml:space="preserve">6.4.1 от СВОМР на СНЦ „МИГ </w:t>
      </w:r>
      <w:r w:rsidR="0023116A" w:rsidRPr="00A056B5">
        <w:rPr>
          <w:rFonts w:ascii="Times New Roman" w:hAnsi="Times New Roman"/>
          <w:bCs/>
          <w:i/>
          <w:snapToGrid w:val="0"/>
          <w:sz w:val="24"/>
          <w:szCs w:val="24"/>
        </w:rPr>
        <w:t>КАРЛУКОВСКИ КАРСТ – ЧЕРВЕН БРЯГ – ИСКЪР“</w:t>
      </w:r>
      <w:r w:rsidRPr="00A056B5">
        <w:rPr>
          <w:rFonts w:ascii="Times New Roman" w:hAnsi="Times New Roman"/>
          <w:bCs/>
          <w:i/>
          <w:snapToGrid w:val="0"/>
          <w:sz w:val="24"/>
          <w:szCs w:val="24"/>
        </w:rPr>
        <w:t xml:space="preserve"> под формата на възстановяване на действително направени и платени допустими разходи. </w:t>
      </w:r>
    </w:p>
    <w:p w14:paraId="51099BCE" w14:textId="4AABB171" w:rsidR="0023116A" w:rsidRPr="00A056B5" w:rsidRDefault="0023116A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Период за прием на проектни предложения: </w:t>
      </w:r>
    </w:p>
    <w:p w14:paraId="55AD5BE1" w14:textId="77777777" w:rsidR="00C70C1C" w:rsidRDefault="00C70C1C" w:rsidP="00F03077">
      <w:pPr>
        <w:pStyle w:val="ac"/>
        <w:rPr>
          <w:b/>
        </w:rPr>
      </w:pPr>
    </w:p>
    <w:p w14:paraId="7BED86F5" w14:textId="5FDA2ABE" w:rsidR="00C70C1C" w:rsidRDefault="00C70C1C" w:rsidP="00F03077">
      <w:pPr>
        <w:pStyle w:val="ac"/>
        <w:rPr>
          <w:b/>
        </w:rPr>
      </w:pPr>
      <w:r w:rsidRPr="00C15B1C">
        <w:rPr>
          <w:b/>
        </w:rPr>
        <w:t>Втори прием</w:t>
      </w:r>
      <w:r w:rsidR="00F03077">
        <w:rPr>
          <w:b/>
        </w:rPr>
        <w:t>:</w:t>
      </w:r>
    </w:p>
    <w:p w14:paraId="1F5AE5DC" w14:textId="77EE875F" w:rsidR="0064545D" w:rsidRPr="00083C00" w:rsidRDefault="0064545D" w:rsidP="00F03077">
      <w:pPr>
        <w:pStyle w:val="ac"/>
        <w:rPr>
          <w:b/>
          <w:lang w:val="en-US"/>
        </w:rPr>
      </w:pPr>
      <w:r>
        <w:rPr>
          <w:b/>
        </w:rPr>
        <w:t xml:space="preserve">Начална дата на прием: 13.05.2024 г. </w:t>
      </w:r>
    </w:p>
    <w:p w14:paraId="625F5505" w14:textId="5D35739B" w:rsidR="00C70C1C" w:rsidRDefault="00C70C1C" w:rsidP="00F03077">
      <w:pPr>
        <w:pStyle w:val="ac"/>
        <w:rPr>
          <w:b/>
          <w:bCs/>
          <w:color w:val="000000"/>
          <w:szCs w:val="28"/>
          <w:lang w:eastAsia="bg-BG"/>
        </w:rPr>
      </w:pPr>
      <w:r w:rsidRPr="0064545D">
        <w:rPr>
          <w:b/>
        </w:rPr>
        <w:t xml:space="preserve">Краен срок за подаване на проектни предложения: </w:t>
      </w:r>
      <w:r w:rsidR="00D7364D">
        <w:rPr>
          <w:b/>
        </w:rPr>
        <w:t>11.07</w:t>
      </w:r>
      <w:r w:rsidR="0064545D">
        <w:rPr>
          <w:b/>
        </w:rPr>
        <w:t>.2024</w:t>
      </w:r>
      <w:r w:rsidRPr="0064545D">
        <w:rPr>
          <w:b/>
          <w:bCs/>
          <w:color w:val="000000"/>
          <w:szCs w:val="28"/>
          <w:lang w:eastAsia="bg-BG"/>
        </w:rPr>
        <w:t xml:space="preserve"> г., 17:00 часа</w:t>
      </w:r>
    </w:p>
    <w:p w14:paraId="65ED7497" w14:textId="77777777" w:rsidR="0064545D" w:rsidRPr="0064545D" w:rsidRDefault="0064545D" w:rsidP="00F03077">
      <w:pPr>
        <w:pStyle w:val="ac"/>
        <w:rPr>
          <w:b/>
        </w:rPr>
      </w:pPr>
    </w:p>
    <w:p w14:paraId="4F691F89" w14:textId="77777777" w:rsidR="00A056B5" w:rsidRPr="00A056B5" w:rsidRDefault="00A056B5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Бюджет на приема: </w:t>
      </w:r>
    </w:p>
    <w:p w14:paraId="0EEBB865" w14:textId="77777777" w:rsidR="00A056B5" w:rsidRPr="00A056B5" w:rsidRDefault="00A056B5" w:rsidP="00F030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040DA435" w14:textId="120313E5" w:rsidR="00A056B5" w:rsidRPr="00A056B5" w:rsidRDefault="00D7364D" w:rsidP="00F030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lastRenderedPageBreak/>
        <w:t>679 263,07</w:t>
      </w:r>
      <w:r w:rsidR="0064545D">
        <w:rPr>
          <w:rFonts w:ascii="Times New Roman" w:hAnsi="Times New Roman"/>
          <w:b/>
          <w:bCs/>
          <w:sz w:val="24"/>
          <w:szCs w:val="24"/>
          <w:lang w:eastAsia="bg-BG"/>
        </w:rPr>
        <w:t xml:space="preserve"> </w:t>
      </w:r>
      <w:r w:rsidR="00A056B5" w:rsidRPr="00A056B5">
        <w:rPr>
          <w:rFonts w:ascii="Times New Roman" w:hAnsi="Times New Roman"/>
          <w:b/>
          <w:bCs/>
          <w:sz w:val="24"/>
          <w:szCs w:val="24"/>
          <w:lang w:eastAsia="bg-BG"/>
        </w:rPr>
        <w:t>лева.</w:t>
      </w:r>
    </w:p>
    <w:p w14:paraId="1A612A7F" w14:textId="77777777" w:rsidR="00A056B5" w:rsidRPr="00A056B5" w:rsidRDefault="00A056B5" w:rsidP="00F030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1CA8082E" w14:textId="77777777" w:rsidR="00A056B5" w:rsidRPr="00A056B5" w:rsidRDefault="00A056B5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Минимален и максимален размер на финансовата помощ, предоставяна за един проект:</w:t>
      </w:r>
    </w:p>
    <w:p w14:paraId="754E8F78" w14:textId="77777777" w:rsidR="00A056B5" w:rsidRPr="00A056B5" w:rsidRDefault="00A056B5" w:rsidP="00F0307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bg-BG"/>
        </w:rPr>
      </w:pPr>
    </w:p>
    <w:p w14:paraId="44424064" w14:textId="00AC0587" w:rsidR="00A056B5" w:rsidRPr="00A056B5" w:rsidRDefault="00A056B5" w:rsidP="00F0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056B5">
        <w:rPr>
          <w:rFonts w:ascii="Times New Roman" w:eastAsia="Calibri" w:hAnsi="Times New Roman"/>
          <w:b/>
          <w:sz w:val="24"/>
          <w:szCs w:val="24"/>
          <w:lang w:eastAsia="bg-BG"/>
        </w:rPr>
        <w:t>Минимален размер</w:t>
      </w:r>
      <w:r w:rsidRPr="00A056B5">
        <w:rPr>
          <w:rFonts w:ascii="Times New Roman" w:eastAsia="Calibri" w:hAnsi="Times New Roman"/>
          <w:sz w:val="24"/>
          <w:szCs w:val="24"/>
          <w:lang w:eastAsia="bg-BG"/>
        </w:rPr>
        <w:t xml:space="preserve"> на допустимите разходи – левовата равностойност на 10 000 евро</w:t>
      </w:r>
      <w:r w:rsidR="009929B0">
        <w:rPr>
          <w:rFonts w:ascii="Times New Roman" w:eastAsia="Calibri" w:hAnsi="Times New Roman"/>
          <w:sz w:val="24"/>
          <w:szCs w:val="24"/>
          <w:lang w:eastAsia="bg-BG"/>
        </w:rPr>
        <w:t xml:space="preserve"> или 19 558,0</w:t>
      </w:r>
      <w:r w:rsidR="00160EA7">
        <w:rPr>
          <w:rFonts w:ascii="Times New Roman" w:eastAsia="Calibri" w:hAnsi="Times New Roman"/>
          <w:sz w:val="24"/>
          <w:szCs w:val="24"/>
          <w:lang w:eastAsia="bg-BG"/>
        </w:rPr>
        <w:t>0 лв.</w:t>
      </w:r>
    </w:p>
    <w:p w14:paraId="1EC99DFF" w14:textId="134C12AF" w:rsidR="00A056B5" w:rsidRPr="00A056B5" w:rsidRDefault="00A056B5" w:rsidP="00F03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bg-BG"/>
        </w:rPr>
      </w:pPr>
      <w:r w:rsidRPr="00A056B5">
        <w:rPr>
          <w:rFonts w:ascii="Times New Roman" w:eastAsia="Calibri" w:hAnsi="Times New Roman"/>
          <w:b/>
          <w:sz w:val="24"/>
          <w:szCs w:val="24"/>
          <w:lang w:eastAsia="bg-BG"/>
        </w:rPr>
        <w:t>Максимален размер</w:t>
      </w:r>
      <w:r w:rsidRPr="00A056B5">
        <w:rPr>
          <w:rFonts w:ascii="Times New Roman" w:eastAsia="Calibri" w:hAnsi="Times New Roman"/>
          <w:sz w:val="24"/>
          <w:szCs w:val="24"/>
          <w:lang w:eastAsia="bg-BG"/>
        </w:rPr>
        <w:t xml:space="preserve"> на допустимите разходи – левовата равностойност на 100 000 евро</w:t>
      </w:r>
      <w:r w:rsidR="009929B0">
        <w:rPr>
          <w:rFonts w:ascii="Times New Roman" w:eastAsia="Calibri" w:hAnsi="Times New Roman"/>
          <w:sz w:val="24"/>
          <w:szCs w:val="24"/>
          <w:lang w:eastAsia="bg-BG"/>
        </w:rPr>
        <w:t xml:space="preserve"> или 195 580</w:t>
      </w:r>
      <w:r w:rsidR="00160EA7">
        <w:rPr>
          <w:rFonts w:ascii="Times New Roman" w:eastAsia="Calibri" w:hAnsi="Times New Roman"/>
          <w:sz w:val="24"/>
          <w:szCs w:val="24"/>
          <w:lang w:eastAsia="bg-BG"/>
        </w:rPr>
        <w:t>,00 лв.</w:t>
      </w:r>
    </w:p>
    <w:p w14:paraId="70989079" w14:textId="77777777" w:rsidR="00A056B5" w:rsidRPr="00A056B5" w:rsidRDefault="00A056B5" w:rsidP="00F030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14:paraId="27EB5B02" w14:textId="74511940" w:rsidR="00A056B5" w:rsidRPr="00A056B5" w:rsidRDefault="00A056B5" w:rsidP="00F03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Интензитет на финансовата помощ:</w:t>
      </w:r>
    </w:p>
    <w:p w14:paraId="7F14E356" w14:textId="78FDDDB4" w:rsidR="0064545D" w:rsidRPr="0064545D" w:rsidRDefault="00A056B5" w:rsidP="00F03077">
      <w:pPr>
        <w:spacing w:after="0" w:line="240" w:lineRule="auto"/>
        <w:jc w:val="both"/>
        <w:rPr>
          <w:b/>
          <w:bCs/>
          <w:sz w:val="23"/>
          <w:szCs w:val="23"/>
        </w:rPr>
      </w:pPr>
      <w:r w:rsidRPr="00A056B5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Финансовата помощ не може да надвишава </w:t>
      </w:r>
      <w:r w:rsidRPr="00A056B5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75% от общите допустими разходи</w:t>
      </w:r>
      <w:r w:rsidR="009D44FB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. </w:t>
      </w:r>
      <w:r w:rsidRPr="00A056B5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</w:t>
      </w:r>
    </w:p>
    <w:p w14:paraId="1D68E673" w14:textId="1BACE624" w:rsidR="00483BFE" w:rsidRPr="00483BFE" w:rsidRDefault="00483BFE" w:rsidP="00F030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483BFE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>ВАЖНО! Интензитетът на подпомагане по проект за дейност развитие на туризъм не може да надвишава 5 на сто от общите допустими разходи</w:t>
      </w:r>
      <w:r w:rsidRPr="00483BFE">
        <w:rPr>
          <w:rFonts w:ascii="Times New Roman" w:hAnsi="Times New Roman"/>
          <w:bCs/>
          <w:color w:val="000000"/>
          <w:sz w:val="24"/>
          <w:szCs w:val="24"/>
          <w:lang w:eastAsia="bg-BG"/>
        </w:rPr>
        <w:t>!</w:t>
      </w:r>
      <w:r w:rsidR="0064545D">
        <w:rPr>
          <w:rFonts w:ascii="Times New Roman" w:hAnsi="Times New Roman"/>
          <w:bCs/>
          <w:color w:val="000000"/>
          <w:sz w:val="24"/>
          <w:szCs w:val="24"/>
          <w:lang w:eastAsia="bg-BG"/>
        </w:rPr>
        <w:t xml:space="preserve"> (</w:t>
      </w:r>
      <w:r w:rsidRPr="00483BFE">
        <w:rPr>
          <w:rFonts w:ascii="Times New Roman" w:hAnsi="Times New Roman"/>
          <w:bCs/>
          <w:color w:val="000000"/>
          <w:sz w:val="24"/>
          <w:szCs w:val="24"/>
          <w:lang w:eastAsia="bg-BG"/>
        </w:rPr>
        <w:t>Споразумение РД 50-50/19.08.2019г)</w:t>
      </w:r>
    </w:p>
    <w:p w14:paraId="0BBB1259" w14:textId="5C5D7FCD" w:rsidR="00483BFE" w:rsidRPr="00A056B5" w:rsidRDefault="00483BFE" w:rsidP="00F030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bg-BG"/>
        </w:rPr>
      </w:pPr>
      <w:r w:rsidRPr="00483BFE">
        <w:rPr>
          <w:rFonts w:ascii="Times New Roman" w:hAnsi="Times New Roman"/>
          <w:bCs/>
          <w:color w:val="000000"/>
          <w:sz w:val="24"/>
          <w:szCs w:val="24"/>
          <w:lang w:eastAsia="bg-BG"/>
        </w:rPr>
        <w:t>Туристическите дейности са определени в чл.3 ал.1 и ал.2, §1, т. 90 от допълнителните разпоредби на  Закона за туризма.</w:t>
      </w:r>
    </w:p>
    <w:p w14:paraId="41B892A9" w14:textId="5711F992" w:rsidR="00A056B5" w:rsidRPr="00A056B5" w:rsidRDefault="00A056B5" w:rsidP="00F030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5FE180C3" w14:textId="77777777" w:rsidR="00A056B5" w:rsidRPr="00A056B5" w:rsidRDefault="00A056B5" w:rsidP="00A0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Критерии за избор</w:t>
      </w:r>
      <w:r w:rsidRPr="00A056B5">
        <w:rPr>
          <w:rFonts w:ascii="Times New Roman" w:hAnsi="Times New Roman"/>
          <w:b/>
          <w:sz w:val="24"/>
          <w:szCs w:val="24"/>
          <w:lang w:eastAsia="bg-BG"/>
        </w:rPr>
        <w:t xml:space="preserve"> на проекти и тяхната тежест:</w:t>
      </w:r>
    </w:p>
    <w:p w14:paraId="08AE1BDD" w14:textId="6C3BF7D1" w:rsidR="00A056B5" w:rsidRPr="00A056B5" w:rsidRDefault="00A056B5" w:rsidP="00A056B5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085"/>
        <w:gridCol w:w="2368"/>
      </w:tblGrid>
      <w:tr w:rsidR="00A056B5" w:rsidRPr="00A056B5" w14:paraId="34C0C972" w14:textId="77777777" w:rsidTr="00A056B5">
        <w:trPr>
          <w:trHeight w:val="368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A03C53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36F65F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sr-Cyrl-CS"/>
              </w:rPr>
            </w:pPr>
            <w:r w:rsidRPr="00A056B5">
              <w:rPr>
                <w:rFonts w:ascii="Times New Roman" w:eastAsia="Calibri" w:hAnsi="Times New Roman"/>
                <w:b/>
                <w:lang w:eastAsia="sr-Cyrl-CS"/>
              </w:rPr>
              <w:t xml:space="preserve">КРИТЕРИИ ЗА ИЗБОР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967985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sr-Cyrl-CS"/>
              </w:rPr>
            </w:pPr>
            <w:r w:rsidRPr="00A056B5">
              <w:rPr>
                <w:rFonts w:ascii="Times New Roman" w:eastAsia="Calibri" w:hAnsi="Times New Roman"/>
                <w:b/>
                <w:lang w:eastAsia="sr-Cyrl-CS"/>
              </w:rPr>
              <w:t>Максимален брой точки</w:t>
            </w:r>
          </w:p>
        </w:tc>
      </w:tr>
      <w:tr w:rsidR="00A056B5" w:rsidRPr="00A056B5" w14:paraId="79201D12" w14:textId="77777777" w:rsidTr="00A056B5">
        <w:trPr>
          <w:trHeight w:val="22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411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F39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Проектът е насочен към развитие на селски, еко и културен туризъм и др. алтернативни форми на туризъм и/или развитие на занаяти  (пряко или непряко промоцира и или използва местни продукти, занаяти, културни събития), вкл. чрез партньорство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887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15</w:t>
            </w:r>
          </w:p>
        </w:tc>
      </w:tr>
      <w:tr w:rsidR="00A056B5" w:rsidRPr="00A056B5" w14:paraId="44E85614" w14:textId="77777777" w:rsidTr="00A056B5">
        <w:trPr>
          <w:trHeight w:val="3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70F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5D77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Проектът създава нови работни места:</w:t>
            </w:r>
          </w:p>
          <w:p w14:paraId="3541711A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От 1 до 3 работни места, вкл. – 5 т.</w:t>
            </w:r>
          </w:p>
          <w:p w14:paraId="2A9CC83D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От 4 до 6 работни места, вкл. – 10 т.</w:t>
            </w:r>
          </w:p>
          <w:p w14:paraId="5BBAA52C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Над 7 работни места – 15 т.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119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15</w:t>
            </w:r>
          </w:p>
        </w:tc>
      </w:tr>
      <w:tr w:rsidR="00A056B5" w:rsidRPr="00A056B5" w14:paraId="3C08FC8C" w14:textId="77777777" w:rsidTr="00A056B5">
        <w:trPr>
          <w:trHeight w:val="2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75F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3A4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Проекти, подадени от кандидати, притежаващи опит или образование в сектора, за който кандидатстват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C309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088E8DC6" w14:textId="77777777" w:rsidTr="00A056B5">
        <w:trPr>
          <w:trHeight w:val="50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D41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AA6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Собственикът и представляващия кандидата не са получавали подкрепа от ПРСР 2007 – 2013 и/или 2014 – 2020 г., независимо дали чрез кандидата или чрез друго юридическо лице в което участват.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972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7E4F46B3" w14:textId="77777777" w:rsidTr="00A056B5">
        <w:trPr>
          <w:trHeight w:val="21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2DC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905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Проектът включва инвестиции за развитие на „зелена икономика“,  в т. ч. и за технологии водещи до намаляване на емисиите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62A0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621F74C7" w14:textId="77777777" w:rsidTr="00A056B5">
        <w:trPr>
          <w:trHeight w:val="2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22B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040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Проектът включва иновации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EEA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1EAC56E2" w14:textId="77777777" w:rsidTr="00A056B5">
        <w:trPr>
          <w:trHeight w:val="26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41A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7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32C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 xml:space="preserve">Проекти на кандидати до 40 г. години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DDA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28DBCE07" w14:textId="77777777" w:rsidTr="00A056B5">
        <w:trPr>
          <w:trHeight w:val="2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8E7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8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6B9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Проекти на земеделски стопани жени или юридически лица, собственост на жени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9B1F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Calibri" w:hAnsi="Times New Roman"/>
                <w:lang w:eastAsia="sr-Cyrl-CS"/>
              </w:rPr>
            </w:pPr>
            <w:r w:rsidRPr="00A056B5">
              <w:rPr>
                <w:rFonts w:ascii="Times New Roman" w:eastAsia="Calibri" w:hAnsi="Times New Roman"/>
                <w:lang w:eastAsia="sr-Cyrl-CS"/>
              </w:rPr>
              <w:t>5</w:t>
            </w:r>
          </w:p>
        </w:tc>
      </w:tr>
      <w:tr w:rsidR="00A056B5" w:rsidRPr="00A056B5" w14:paraId="2553308F" w14:textId="77777777" w:rsidTr="00A056B5">
        <w:trPr>
          <w:trHeight w:val="2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37BAD40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Calibri" w:hAnsi="Times New Roman"/>
                <w:lang w:eastAsia="sr-Cyrl-CS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AB22767" w14:textId="77777777" w:rsidR="00A056B5" w:rsidRPr="00A056B5" w:rsidRDefault="00A056B5" w:rsidP="00A056B5">
            <w:pPr>
              <w:tabs>
                <w:tab w:val="left" w:pos="720"/>
                <w:tab w:val="num" w:pos="1800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sr-Cyrl-CS"/>
              </w:rPr>
            </w:pPr>
            <w:r w:rsidRPr="00A056B5">
              <w:rPr>
                <w:rFonts w:ascii="Times New Roman" w:eastAsia="Calibri" w:hAnsi="Times New Roman"/>
                <w:b/>
                <w:lang w:eastAsia="sr-Cyrl-CS"/>
              </w:rPr>
              <w:t>ОБЩО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F9E41E7" w14:textId="77777777" w:rsidR="00A056B5" w:rsidRPr="00A056B5" w:rsidRDefault="00A056B5" w:rsidP="00A05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sr-Cyrl-CS"/>
              </w:rPr>
            </w:pPr>
            <w:r w:rsidRPr="00A056B5">
              <w:rPr>
                <w:rFonts w:ascii="Times New Roman" w:eastAsia="Calibri" w:hAnsi="Times New Roman"/>
                <w:b/>
                <w:lang w:eastAsia="sr-Cyrl-CS"/>
              </w:rPr>
              <w:t>60</w:t>
            </w:r>
          </w:p>
        </w:tc>
      </w:tr>
    </w:tbl>
    <w:p w14:paraId="5C4CF84B" w14:textId="77777777" w:rsidR="00A056B5" w:rsidRPr="00A056B5" w:rsidRDefault="00A056B5" w:rsidP="00A056B5">
      <w:pPr>
        <w:widowControl w:val="0"/>
        <w:shd w:val="clear" w:color="auto" w:fill="D6E3BC"/>
        <w:tabs>
          <w:tab w:val="left" w:pos="-720"/>
        </w:tabs>
        <w:suppressAutoHyphens/>
        <w:snapToGrid w:val="0"/>
        <w:spacing w:after="120" w:line="240" w:lineRule="auto"/>
        <w:ind w:right="17"/>
        <w:jc w:val="both"/>
        <w:rPr>
          <w:rFonts w:ascii="Times New Roman" w:hAnsi="Times New Roman"/>
          <w:i/>
          <w:iCs/>
          <w:sz w:val="24"/>
          <w:szCs w:val="24"/>
        </w:rPr>
      </w:pPr>
      <w:r w:rsidRPr="00A056B5">
        <w:rPr>
          <w:rFonts w:ascii="Times New Roman" w:hAnsi="Times New Roman"/>
          <w:i/>
          <w:iCs/>
          <w:sz w:val="24"/>
          <w:szCs w:val="24"/>
        </w:rPr>
        <w:t xml:space="preserve">Техническата и финансова оценка на проектните предложения се извършва съгласно методика за оценка, включена в Условията за кандидатстване, в която детайлно е описан начина на прилагане на критериите за оценка и документите,  на базата,  на които се </w:t>
      </w:r>
      <w:r w:rsidRPr="00A056B5">
        <w:rPr>
          <w:rFonts w:ascii="Times New Roman" w:hAnsi="Times New Roman"/>
          <w:i/>
          <w:iCs/>
          <w:sz w:val="24"/>
          <w:szCs w:val="24"/>
        </w:rPr>
        <w:lastRenderedPageBreak/>
        <w:t>присъждат точки по съответния критерий.</w:t>
      </w:r>
    </w:p>
    <w:p w14:paraId="5AC6B87B" w14:textId="6BBA4764" w:rsidR="00A056B5" w:rsidRDefault="00A056B5" w:rsidP="00A056B5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2D9A7E06" w14:textId="77777777" w:rsidR="00A056B5" w:rsidRPr="00A056B5" w:rsidRDefault="00A056B5" w:rsidP="00A0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Лица за контакт от МИГ „КАРЛУКОВСКИ КАРСТ – ЧЕРВЕН БРЯГ – ИСКЪР“:</w:t>
      </w:r>
    </w:p>
    <w:p w14:paraId="1AE173AA" w14:textId="77777777" w:rsidR="00A056B5" w:rsidRDefault="00A056B5" w:rsidP="00A056B5">
      <w:pPr>
        <w:spacing w:after="0" w:line="240" w:lineRule="auto"/>
        <w:rPr>
          <w:rFonts w:ascii="Times New Roman" w:hAnsi="Times New Roman"/>
          <w:sz w:val="24"/>
          <w:szCs w:val="24"/>
          <w:lang w:val="en-US" w:eastAsia="bg-BG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559"/>
        <w:gridCol w:w="3119"/>
      </w:tblGrid>
      <w:tr w:rsidR="00083C00" w:rsidRPr="00083C00" w14:paraId="74E4841A" w14:textId="77777777" w:rsidTr="00674DE8">
        <w:tc>
          <w:tcPr>
            <w:tcW w:w="5495" w:type="dxa"/>
            <w:shd w:val="clear" w:color="auto" w:fill="auto"/>
          </w:tcPr>
          <w:p w14:paraId="409BB0B8" w14:textId="77777777" w:rsidR="00083C00" w:rsidRPr="00083C00" w:rsidRDefault="00083C00" w:rsidP="00083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>Име</w:t>
            </w:r>
          </w:p>
        </w:tc>
        <w:tc>
          <w:tcPr>
            <w:tcW w:w="1559" w:type="dxa"/>
            <w:shd w:val="clear" w:color="auto" w:fill="auto"/>
          </w:tcPr>
          <w:p w14:paraId="2FD75EDB" w14:textId="77777777" w:rsidR="00083C00" w:rsidRPr="00083C00" w:rsidRDefault="00083C00" w:rsidP="00083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>Телефон</w:t>
            </w:r>
          </w:p>
        </w:tc>
        <w:tc>
          <w:tcPr>
            <w:tcW w:w="3119" w:type="dxa"/>
            <w:shd w:val="clear" w:color="auto" w:fill="auto"/>
          </w:tcPr>
          <w:p w14:paraId="745ED37E" w14:textId="77777777" w:rsidR="00083C00" w:rsidRPr="00083C00" w:rsidRDefault="00083C00" w:rsidP="00083C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>Електронна поща</w:t>
            </w:r>
          </w:p>
        </w:tc>
      </w:tr>
      <w:tr w:rsidR="00083C00" w:rsidRPr="00083C00" w14:paraId="4DB753A7" w14:textId="77777777" w:rsidTr="00674DE8">
        <w:tc>
          <w:tcPr>
            <w:tcW w:w="5495" w:type="dxa"/>
            <w:shd w:val="clear" w:color="auto" w:fill="auto"/>
          </w:tcPr>
          <w:p w14:paraId="7DACD8E5" w14:textId="77777777" w:rsidR="00083C00" w:rsidRPr="00083C00" w:rsidRDefault="00083C00" w:rsidP="00083C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>Диана Димитрова – изпълнителен директор</w:t>
            </w:r>
          </w:p>
        </w:tc>
        <w:tc>
          <w:tcPr>
            <w:tcW w:w="1559" w:type="dxa"/>
            <w:shd w:val="clear" w:color="auto" w:fill="auto"/>
          </w:tcPr>
          <w:p w14:paraId="6B09C858" w14:textId="77777777" w:rsidR="00083C00" w:rsidRPr="00083C00" w:rsidRDefault="00083C00" w:rsidP="00083C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>0887 773993</w:t>
            </w:r>
          </w:p>
        </w:tc>
        <w:tc>
          <w:tcPr>
            <w:tcW w:w="3119" w:type="dxa"/>
            <w:shd w:val="clear" w:color="auto" w:fill="auto"/>
          </w:tcPr>
          <w:p w14:paraId="7157BB3F" w14:textId="77777777" w:rsidR="00083C00" w:rsidRPr="00083C00" w:rsidRDefault="00083C00" w:rsidP="00083C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083C00">
              <w:rPr>
                <w:rFonts w:ascii="Times New Roman" w:eastAsia="Calibri" w:hAnsi="Times New Roman"/>
                <w:sz w:val="24"/>
                <w:lang w:val="en-US"/>
              </w:rPr>
              <w:t>karlukovski.karst@gmail.com</w:t>
            </w:r>
          </w:p>
        </w:tc>
      </w:tr>
      <w:tr w:rsidR="00083C00" w:rsidRPr="00083C00" w14:paraId="37434573" w14:textId="77777777" w:rsidTr="00674DE8">
        <w:tc>
          <w:tcPr>
            <w:tcW w:w="5495" w:type="dxa"/>
            <w:shd w:val="clear" w:color="auto" w:fill="auto"/>
          </w:tcPr>
          <w:p w14:paraId="35A44333" w14:textId="3243ED0E" w:rsidR="00083C00" w:rsidRPr="00083C00" w:rsidRDefault="00083C00" w:rsidP="006454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</w:rPr>
              <w:t xml:space="preserve">Йоана Нецова – </w:t>
            </w:r>
            <w:r w:rsidR="0064545D">
              <w:rPr>
                <w:rFonts w:ascii="Times New Roman" w:eastAsia="Calibri" w:hAnsi="Times New Roman"/>
                <w:sz w:val="24"/>
              </w:rPr>
              <w:t>експерт СВОМР</w:t>
            </w:r>
          </w:p>
        </w:tc>
        <w:tc>
          <w:tcPr>
            <w:tcW w:w="1559" w:type="dxa"/>
            <w:shd w:val="clear" w:color="auto" w:fill="auto"/>
          </w:tcPr>
          <w:p w14:paraId="79B2C3C1" w14:textId="77777777" w:rsidR="00083C00" w:rsidRPr="00083C00" w:rsidRDefault="00083C00" w:rsidP="00083C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lang w:val="en-US"/>
              </w:rPr>
            </w:pPr>
            <w:r w:rsidRPr="00083C00">
              <w:rPr>
                <w:rFonts w:ascii="Times New Roman" w:eastAsia="Calibri" w:hAnsi="Times New Roman"/>
                <w:sz w:val="24"/>
                <w:lang w:val="en-US"/>
              </w:rPr>
              <w:t>0884 005226</w:t>
            </w:r>
          </w:p>
        </w:tc>
        <w:tc>
          <w:tcPr>
            <w:tcW w:w="3119" w:type="dxa"/>
            <w:shd w:val="clear" w:color="auto" w:fill="auto"/>
          </w:tcPr>
          <w:p w14:paraId="5A0CC736" w14:textId="77777777" w:rsidR="00083C00" w:rsidRPr="00083C00" w:rsidRDefault="00083C00" w:rsidP="00083C0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083C00">
              <w:rPr>
                <w:rFonts w:ascii="Times New Roman" w:eastAsia="Calibri" w:hAnsi="Times New Roman"/>
                <w:sz w:val="24"/>
                <w:lang w:val="en-US"/>
              </w:rPr>
              <w:t>karlukovski.karst@gmail.com</w:t>
            </w:r>
          </w:p>
        </w:tc>
      </w:tr>
    </w:tbl>
    <w:p w14:paraId="7E302095" w14:textId="72EA0F25" w:rsidR="00A056B5" w:rsidRPr="00A056B5" w:rsidRDefault="00A056B5" w:rsidP="00A056B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175F0006" w14:textId="77777777" w:rsidR="00A056B5" w:rsidRPr="00A056B5" w:rsidRDefault="00A056B5" w:rsidP="00A0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Подробна информация и документите за кандидатстване </w:t>
      </w:r>
      <w:r w:rsidRPr="00F03077">
        <w:rPr>
          <w:rFonts w:ascii="Times New Roman" w:hAnsi="Times New Roman"/>
          <w:b/>
          <w:sz w:val="24"/>
          <w:szCs w:val="24"/>
          <w:lang w:eastAsia="bg-BG"/>
        </w:rPr>
        <w:t>са достъпни:</w:t>
      </w:r>
    </w:p>
    <w:p w14:paraId="32909E74" w14:textId="77777777" w:rsidR="00A056B5" w:rsidRPr="00A056B5" w:rsidRDefault="00A056B5" w:rsidP="00A056B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711B8B6C" w14:textId="77777777" w:rsidR="00A056B5" w:rsidRPr="00A056B5" w:rsidRDefault="00A056B5" w:rsidP="00A056B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>-       в ИСУН на интернет адрес </w:t>
      </w:r>
      <w:hyperlink r:id="rId9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https://eumis2020.government.bg</w:t>
        </w:r>
      </w:hyperlink>
    </w:p>
    <w:p w14:paraId="48C0B2C8" w14:textId="77777777" w:rsidR="00A056B5" w:rsidRPr="00A056B5" w:rsidRDefault="00A056B5" w:rsidP="00A056B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 xml:space="preserve">-       на електронната страница на МИГ „КАРЛУКОВСКИ КАРСТ – ЧЕРВЕН БРЯГ – ИСКЪР“ на интернет адрес </w:t>
      </w:r>
      <w:hyperlink r:id="rId10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http://mig-kk.eu/</w:t>
        </w:r>
      </w:hyperlink>
    </w:p>
    <w:p w14:paraId="076D1058" w14:textId="670CAC54" w:rsidR="00A056B5" w:rsidRPr="00A056B5" w:rsidRDefault="00A056B5" w:rsidP="00A056B5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color w:val="002060"/>
          <w:sz w:val="24"/>
          <w:szCs w:val="24"/>
          <w:lang w:eastAsia="bg-BG"/>
        </w:rPr>
        <w:t> </w:t>
      </w:r>
    </w:p>
    <w:p w14:paraId="7E18B96F" w14:textId="77777777" w:rsidR="00A056B5" w:rsidRPr="00A056B5" w:rsidRDefault="00A056B5" w:rsidP="00A056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b/>
          <w:bCs/>
          <w:sz w:val="24"/>
          <w:szCs w:val="24"/>
          <w:lang w:eastAsia="bg-BG"/>
        </w:rPr>
        <w:t>Начин на подаване на проектните предложения:</w:t>
      </w:r>
    </w:p>
    <w:p w14:paraId="158EE3BE" w14:textId="77777777" w:rsidR="00A056B5" w:rsidRPr="00A056B5" w:rsidRDefault="00A056B5" w:rsidP="00A05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451B505" w14:textId="155A98AC" w:rsidR="00A056B5" w:rsidRPr="0064545D" w:rsidRDefault="00A056B5" w:rsidP="006454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056B5">
        <w:rPr>
          <w:rFonts w:ascii="Times New Roman" w:hAnsi="Times New Roman"/>
          <w:sz w:val="24"/>
          <w:szCs w:val="24"/>
          <w:lang w:eastAsia="bg-BG"/>
        </w:rPr>
        <w:t xml:space="preserve">Проектните предложения по настоящата процедура се подават изцяло по електронен път в рамките на срока, определен в обявата и в процедурата за прием на проектни предложения, с използване на Квалифициран електронен подпис /КЕП/, като се използва Информационна система за управление и наблюдение на Структурните инструменти на ЕС в България - ИСУН 2020 </w:t>
      </w:r>
      <w:hyperlink r:id="rId11" w:history="1">
        <w:r w:rsidRPr="00A056B5">
          <w:rPr>
            <w:rFonts w:ascii="Times New Roman" w:hAnsi="Times New Roman"/>
            <w:color w:val="0000FF"/>
            <w:sz w:val="24"/>
            <w:szCs w:val="24"/>
            <w:u w:val="single"/>
            <w:lang w:eastAsia="bg-BG"/>
          </w:rPr>
          <w:t>https://eumis2020.government.bg</w:t>
        </w:r>
      </w:hyperlink>
      <w:r w:rsidRPr="00A056B5">
        <w:rPr>
          <w:rFonts w:ascii="Times New Roman" w:hAnsi="Times New Roman"/>
          <w:sz w:val="24"/>
          <w:szCs w:val="24"/>
          <w:lang w:eastAsia="bg-BG"/>
        </w:rPr>
        <w:t>.</w:t>
      </w:r>
    </w:p>
    <w:p w14:paraId="75513DC5" w14:textId="77777777" w:rsidR="00A056B5" w:rsidRPr="00A056B5" w:rsidRDefault="00A056B5" w:rsidP="004A4F92">
      <w:pPr>
        <w:spacing w:after="0" w:line="271" w:lineRule="auto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bookmarkStart w:id="0" w:name="_GoBack"/>
      <w:bookmarkEnd w:id="0"/>
    </w:p>
    <w:sectPr w:rsidR="00A056B5" w:rsidRPr="00A056B5" w:rsidSect="00EA2812">
      <w:headerReference w:type="default" r:id="rId12"/>
      <w:footerReference w:type="default" r:id="rId13"/>
      <w:pgSz w:w="11906" w:h="16838"/>
      <w:pgMar w:top="1021" w:right="737" w:bottom="1021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E8DE" w14:textId="77777777" w:rsidR="00776A83" w:rsidRDefault="00776A83">
      <w:pPr>
        <w:spacing w:after="0" w:line="240" w:lineRule="auto"/>
      </w:pPr>
      <w:r>
        <w:separator/>
      </w:r>
    </w:p>
  </w:endnote>
  <w:endnote w:type="continuationSeparator" w:id="0">
    <w:p w14:paraId="48033170" w14:textId="77777777" w:rsidR="00776A83" w:rsidRDefault="0077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47FE3" w14:textId="77777777" w:rsidR="00EA2812" w:rsidRPr="00EA2812" w:rsidRDefault="00EA2812" w:rsidP="00EA2812">
    <w:pPr>
      <w:spacing w:after="0" w:line="240" w:lineRule="auto"/>
      <w:ind w:left="-426" w:right="-284"/>
      <w:jc w:val="center"/>
      <w:rPr>
        <w:rFonts w:ascii="Times New Roman" w:hAnsi="Times New Roman"/>
        <w:i/>
        <w:sz w:val="16"/>
        <w:szCs w:val="16"/>
        <w:lang w:eastAsia="bg-BG"/>
      </w:rPr>
    </w:pPr>
    <w:r w:rsidRPr="00EA2812">
      <w:rPr>
        <w:rFonts w:ascii="Times New Roman" w:hAnsi="Times New Roman"/>
        <w:i/>
        <w:sz w:val="16"/>
        <w:szCs w:val="16"/>
        <w:lang w:eastAsia="bg-BG"/>
      </w:rPr>
      <w:t xml:space="preserve">Настоящият документ е изготвен във връзка със Споразумение за изпълнение на Стратегия за водено от общностите местно развитие № РД 50-50/02.07.2018 г. за прилагане на подмярка 19.2 „Прилагане на операции в рамките на СВОМР“ и подмярка 19.4 "Текущи разходи и популяризиране на Водено от общностите местно развитие" на мярка 19 „Водено от общностите местно развитие“ от Програма за развитие на селските райони за периода 2014 – 2020 г. на Сдружение „Местна инициативна група Карлуковски карст – Червен бряг – Искър“ </w:t>
    </w:r>
  </w:p>
  <w:p w14:paraId="166EA9E9" w14:textId="77777777" w:rsidR="00EA2812" w:rsidRDefault="00EA28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DE620" w14:textId="77777777" w:rsidR="00776A83" w:rsidRDefault="00776A83">
      <w:pPr>
        <w:spacing w:after="0" w:line="240" w:lineRule="auto"/>
      </w:pPr>
      <w:r>
        <w:separator/>
      </w:r>
    </w:p>
  </w:footnote>
  <w:footnote w:type="continuationSeparator" w:id="0">
    <w:p w14:paraId="32B3385D" w14:textId="77777777" w:rsidR="00776A83" w:rsidRDefault="0077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2462"/>
      <w:gridCol w:w="2792"/>
      <w:gridCol w:w="2643"/>
      <w:gridCol w:w="2184"/>
    </w:tblGrid>
    <w:tr w:rsidR="00717907" w:rsidRPr="00717907" w14:paraId="37954F08" w14:textId="77777777" w:rsidTr="00140EA9">
      <w:trPr>
        <w:trHeight w:val="1122"/>
        <w:jc w:val="center"/>
      </w:trPr>
      <w:tc>
        <w:tcPr>
          <w:tcW w:w="1221" w:type="pct"/>
          <w:shd w:val="clear" w:color="auto" w:fill="auto"/>
          <w:hideMark/>
        </w:tcPr>
        <w:p w14:paraId="4CE550A4" w14:textId="042A06FF" w:rsidR="00717907" w:rsidRPr="00717907" w:rsidRDefault="00717907" w:rsidP="007179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  <w:drawing>
              <wp:inline distT="0" distB="0" distL="0" distR="0" wp14:anchorId="7EB2DFCA" wp14:editId="3AD478C6">
                <wp:extent cx="1013460" cy="65532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5388F6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smallCaps/>
              <w:noProof/>
              <w:sz w:val="20"/>
              <w:szCs w:val="20"/>
              <w:lang w:eastAsia="bg-BG"/>
            </w:rPr>
            <w:t>Европейски съюз</w:t>
          </w:r>
          <w:r w:rsidRPr="00717907">
            <w:rPr>
              <w:rFonts w:ascii="Times New Roman" w:eastAsia="Calibri" w:hAnsi="Times New Roman"/>
              <w:b/>
              <w:bCs/>
              <w:color w:val="1F497D"/>
              <w:sz w:val="20"/>
              <w:szCs w:val="20"/>
              <w:lang w:eastAsia="bg-BG"/>
            </w:rPr>
            <w:t xml:space="preserve">   </w:t>
          </w:r>
          <w:r w:rsidRPr="00717907">
            <w:rPr>
              <w:rFonts w:ascii="Times New Roman" w:eastAsia="Calibri" w:hAnsi="Times New Roman"/>
              <w:noProof/>
              <w:sz w:val="20"/>
              <w:szCs w:val="20"/>
              <w:lang w:eastAsia="bg-BG"/>
            </w:rPr>
            <w:t xml:space="preserve"> </w:t>
          </w:r>
        </w:p>
      </w:tc>
      <w:tc>
        <w:tcPr>
          <w:tcW w:w="1385" w:type="pct"/>
        </w:tcPr>
        <w:p w14:paraId="63B9EFA0" w14:textId="56E628B9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hAnsi="Times New Roman"/>
              <w:b/>
              <w:i/>
              <w:smallCaps/>
              <w:noProof/>
              <w:sz w:val="20"/>
              <w:szCs w:val="20"/>
              <w:lang w:eastAsia="bg-BG"/>
            </w:rPr>
            <w:drawing>
              <wp:inline distT="0" distB="0" distL="0" distR="0" wp14:anchorId="2F404E95" wp14:editId="72342E6E">
                <wp:extent cx="982980" cy="640080"/>
                <wp:effectExtent l="19050" t="19050" r="26670" b="2667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400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1" w:type="pct"/>
          <w:shd w:val="clear" w:color="auto" w:fill="auto"/>
        </w:tcPr>
        <w:p w14:paraId="6F2AB80C" w14:textId="5E7630D7" w:rsidR="00717907" w:rsidRPr="00717907" w:rsidRDefault="00717907" w:rsidP="00717907">
          <w:pPr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eastAsia="Calibri" w:hAnsi="Times New Roman"/>
              <w:noProof/>
              <w:sz w:val="24"/>
              <w:szCs w:val="24"/>
              <w:lang w:eastAsia="bg-BG"/>
            </w:rPr>
            <w:drawing>
              <wp:inline distT="0" distB="0" distL="0" distR="0" wp14:anchorId="511369E4" wp14:editId="3834D904">
                <wp:extent cx="929640" cy="800100"/>
                <wp:effectExtent l="0" t="0" r="381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0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" w:type="pct"/>
          <w:shd w:val="clear" w:color="auto" w:fill="auto"/>
          <w:hideMark/>
        </w:tcPr>
        <w:p w14:paraId="54E385EA" w14:textId="02761DFA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right"/>
            <w:rPr>
              <w:rFonts w:ascii="Times New Roman" w:eastAsia="Calibri" w:hAnsi="Times New Roman"/>
              <w:b/>
              <w:caps/>
              <w:color w:val="000000"/>
              <w:sz w:val="20"/>
              <w:szCs w:val="20"/>
              <w:lang w:eastAsia="bg-BG"/>
            </w:rPr>
          </w:pPr>
          <w:r w:rsidRPr="00717907">
            <w:rPr>
              <w:rFonts w:ascii="Times New Roman" w:eastAsia="Calibri" w:hAnsi="Times New Roman"/>
              <w:noProof/>
              <w:sz w:val="24"/>
              <w:szCs w:val="24"/>
              <w:lang w:eastAsia="bg-BG"/>
            </w:rPr>
            <w:drawing>
              <wp:inline distT="0" distB="0" distL="0" distR="0" wp14:anchorId="70D23FC5" wp14:editId="31596479">
                <wp:extent cx="792480" cy="80010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17907">
            <w:rPr>
              <w:rFonts w:ascii="Times New Roman" w:hAnsi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2640BD3" wp14:editId="09D66F3D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0" t="0" r="4445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17907">
            <w:rPr>
              <w:rFonts w:ascii="Times New Roman" w:hAnsi="Times New Roman"/>
              <w:noProof/>
              <w:sz w:val="24"/>
              <w:szCs w:val="24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326485C" wp14:editId="2CD11F5B">
                <wp:simplePos x="0" y="0"/>
                <wp:positionH relativeFrom="column">
                  <wp:posOffset>5984240</wp:posOffset>
                </wp:positionH>
                <wp:positionV relativeFrom="paragraph">
                  <wp:posOffset>29210</wp:posOffset>
                </wp:positionV>
                <wp:extent cx="1138555" cy="974090"/>
                <wp:effectExtent l="0" t="0" r="4445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7907" w:rsidRPr="00717907" w14:paraId="4F0422D2" w14:textId="77777777" w:rsidTr="00140EA9">
      <w:trPr>
        <w:trHeight w:val="436"/>
        <w:jc w:val="center"/>
      </w:trPr>
      <w:tc>
        <w:tcPr>
          <w:tcW w:w="5000" w:type="pct"/>
          <w:gridSpan w:val="4"/>
          <w:vAlign w:val="center"/>
        </w:tcPr>
        <w:p w14:paraId="7605A465" w14:textId="77777777" w:rsidR="00717907" w:rsidRPr="00717907" w:rsidRDefault="00717907" w:rsidP="0071790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</w:pPr>
          <w:r w:rsidRPr="00717907"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  <w:t>ЕВРОПЕЙСКИ ЗЕМЕДЕЛСКИ ФОНД ЗА РАЗВИТИЕ НА СЕЛСКИТЕ РАЙОНИ</w:t>
          </w:r>
        </w:p>
        <w:p w14:paraId="5180A343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</w:pPr>
          <w:r w:rsidRPr="00717907"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  <w:t>ЕВРОПА ИНВЕСТИРА В СЕЛСКИТЕ РАЙОНИ</w:t>
          </w:r>
        </w:p>
      </w:tc>
    </w:tr>
    <w:tr w:rsidR="00717907" w:rsidRPr="00717907" w14:paraId="057F0AD8" w14:textId="77777777" w:rsidTr="00140EA9">
      <w:trPr>
        <w:trHeight w:val="299"/>
        <w:jc w:val="center"/>
      </w:trPr>
      <w:tc>
        <w:tcPr>
          <w:tcW w:w="5000" w:type="pct"/>
          <w:gridSpan w:val="4"/>
          <w:vAlign w:val="center"/>
        </w:tcPr>
        <w:p w14:paraId="6CB8B830" w14:textId="77777777" w:rsidR="00717907" w:rsidRPr="00717907" w:rsidRDefault="00717907" w:rsidP="00717907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bg-BG"/>
            </w:rPr>
          </w:pPr>
          <w:r w:rsidRPr="00717907"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  <w:t>ВОДЕНО ОТ ОБЩНОСТИТЕ МЕСТНО РАЗВИТИЕ</w:t>
          </w:r>
        </w:p>
      </w:tc>
    </w:tr>
    <w:tr w:rsidR="00717907" w:rsidRPr="00717907" w14:paraId="3A76B0C3" w14:textId="77777777" w:rsidTr="00140EA9">
      <w:trPr>
        <w:trHeight w:val="262"/>
        <w:jc w:val="center"/>
      </w:trPr>
      <w:tc>
        <w:tcPr>
          <w:tcW w:w="5000" w:type="pct"/>
          <w:gridSpan w:val="4"/>
          <w:vAlign w:val="center"/>
        </w:tcPr>
        <w:p w14:paraId="75CFA841" w14:textId="77777777" w:rsidR="00717907" w:rsidRPr="00717907" w:rsidRDefault="00717907" w:rsidP="00717907">
          <w:pPr>
            <w:tabs>
              <w:tab w:val="center" w:pos="4421"/>
              <w:tab w:val="center" w:pos="4536"/>
              <w:tab w:val="left" w:pos="7725"/>
              <w:tab w:val="right" w:pos="9072"/>
            </w:tabs>
            <w:autoSpaceDN w:val="0"/>
            <w:spacing w:after="0" w:line="240" w:lineRule="auto"/>
            <w:jc w:val="center"/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</w:pPr>
          <w:r w:rsidRPr="00717907">
            <w:rPr>
              <w:rFonts w:ascii="Times New Roman" w:eastAsia="Calibri" w:hAnsi="Times New Roman"/>
              <w:b/>
              <w:noProof/>
              <w:sz w:val="16"/>
              <w:szCs w:val="16"/>
              <w:lang w:eastAsia="bg-BG"/>
            </w:rPr>
            <w:t>МИГ „КАРЛУКОВСКИ КАРСТ – ЧЕРВЕН БРЯГ – ИСКЪР“</w:t>
          </w:r>
        </w:p>
      </w:tc>
    </w:tr>
  </w:tbl>
  <w:p w14:paraId="44DF1C92" w14:textId="2BB5EA3A" w:rsidR="00C45780" w:rsidRPr="00717907" w:rsidRDefault="00776A83" w:rsidP="007179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E73E8F"/>
    <w:multiLevelType w:val="hybridMultilevel"/>
    <w:tmpl w:val="27CAF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24357"/>
    <w:multiLevelType w:val="hybridMultilevel"/>
    <w:tmpl w:val="6128A4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3BC8"/>
    <w:multiLevelType w:val="hybridMultilevel"/>
    <w:tmpl w:val="61124F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54FB"/>
    <w:multiLevelType w:val="hybridMultilevel"/>
    <w:tmpl w:val="BE823C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CAF0EDF"/>
    <w:multiLevelType w:val="hybridMultilevel"/>
    <w:tmpl w:val="17B6252E"/>
    <w:lvl w:ilvl="0" w:tplc="9AB6C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61"/>
    <w:rsid w:val="000402C1"/>
    <w:rsid w:val="00083C00"/>
    <w:rsid w:val="000E15D3"/>
    <w:rsid w:val="00160EA7"/>
    <w:rsid w:val="0016744A"/>
    <w:rsid w:val="0023116A"/>
    <w:rsid w:val="00256FF5"/>
    <w:rsid w:val="00347DE0"/>
    <w:rsid w:val="00382127"/>
    <w:rsid w:val="003A6436"/>
    <w:rsid w:val="003E240E"/>
    <w:rsid w:val="003F555C"/>
    <w:rsid w:val="00483BFE"/>
    <w:rsid w:val="004A4F92"/>
    <w:rsid w:val="005465AB"/>
    <w:rsid w:val="00587FDD"/>
    <w:rsid w:val="005F1DF0"/>
    <w:rsid w:val="0064545D"/>
    <w:rsid w:val="00717907"/>
    <w:rsid w:val="00731227"/>
    <w:rsid w:val="00776A83"/>
    <w:rsid w:val="00796A6B"/>
    <w:rsid w:val="00830F7F"/>
    <w:rsid w:val="008D2854"/>
    <w:rsid w:val="008F62A6"/>
    <w:rsid w:val="00966C0C"/>
    <w:rsid w:val="009929B0"/>
    <w:rsid w:val="009C19B8"/>
    <w:rsid w:val="009D44FB"/>
    <w:rsid w:val="009F4A8C"/>
    <w:rsid w:val="009F753A"/>
    <w:rsid w:val="00A056B5"/>
    <w:rsid w:val="00A44B0E"/>
    <w:rsid w:val="00A45798"/>
    <w:rsid w:val="00B013AD"/>
    <w:rsid w:val="00B0173E"/>
    <w:rsid w:val="00B86EDB"/>
    <w:rsid w:val="00C274CC"/>
    <w:rsid w:val="00C31019"/>
    <w:rsid w:val="00C62DED"/>
    <w:rsid w:val="00C70C1C"/>
    <w:rsid w:val="00CC6D61"/>
    <w:rsid w:val="00D65239"/>
    <w:rsid w:val="00D7364D"/>
    <w:rsid w:val="00D97C60"/>
    <w:rsid w:val="00DA0881"/>
    <w:rsid w:val="00EA2812"/>
    <w:rsid w:val="00EE5037"/>
    <w:rsid w:val="00F03077"/>
    <w:rsid w:val="00F65B76"/>
    <w:rsid w:val="00F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B6BF"/>
  <w15:docId w15:val="{C12EF855-2C2E-41C1-907E-59F02FD4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F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4F92"/>
    <w:rPr>
      <w:rFonts w:cs="Times New Roman"/>
      <w:color w:val="0000FF"/>
      <w:u w:val="single"/>
    </w:rPr>
  </w:style>
  <w:style w:type="paragraph" w:customStyle="1" w:styleId="1">
    <w:name w:val="Списък на абзаци1"/>
    <w:basedOn w:val="a"/>
    <w:link w:val="a4"/>
    <w:qFormat/>
    <w:rsid w:val="004A4F92"/>
    <w:pPr>
      <w:ind w:left="720"/>
    </w:pPr>
    <w:rPr>
      <w:rFonts w:eastAsia="MS Mincho"/>
      <w:szCs w:val="20"/>
      <w:lang w:eastAsia="bg-BG"/>
    </w:rPr>
  </w:style>
  <w:style w:type="character" w:customStyle="1" w:styleId="a4">
    <w:name w:val="Списък на абзаци Знак"/>
    <w:link w:val="1"/>
    <w:locked/>
    <w:rsid w:val="004A4F92"/>
    <w:rPr>
      <w:rFonts w:ascii="Calibri" w:eastAsia="MS Mincho" w:hAnsi="Calibri" w:cs="Times New Roman"/>
      <w:szCs w:val="20"/>
      <w:lang w:eastAsia="bg-BG"/>
    </w:rPr>
  </w:style>
  <w:style w:type="paragraph" w:styleId="a5">
    <w:name w:val="header"/>
    <w:basedOn w:val="a"/>
    <w:link w:val="a6"/>
    <w:rsid w:val="004A4F9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4A4F92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4A4F9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4A4F92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rsid w:val="004A4F92"/>
    <w:pPr>
      <w:tabs>
        <w:tab w:val="left" w:pos="-720"/>
      </w:tabs>
      <w:suppressAutoHyphens/>
      <w:jc w:val="both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4A4F92"/>
    <w:rPr>
      <w:rFonts w:ascii="Calibri" w:eastAsia="Times New Roman" w:hAnsi="Calibri" w:cs="Times New Roman"/>
      <w:sz w:val="16"/>
      <w:szCs w:val="16"/>
    </w:rPr>
  </w:style>
  <w:style w:type="paragraph" w:styleId="a9">
    <w:name w:val="Title"/>
    <w:basedOn w:val="a"/>
    <w:link w:val="aa"/>
    <w:qFormat/>
    <w:rsid w:val="0071790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napToGrid w:val="0"/>
      <w:sz w:val="48"/>
      <w:szCs w:val="20"/>
      <w:lang w:val="en-US"/>
    </w:rPr>
  </w:style>
  <w:style w:type="character" w:customStyle="1" w:styleId="aa">
    <w:name w:val="Заглавие Знак"/>
    <w:basedOn w:val="a0"/>
    <w:link w:val="a9"/>
    <w:rsid w:val="00717907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ab">
    <w:name w:val="List Paragraph"/>
    <w:basedOn w:val="a"/>
    <w:uiPriority w:val="34"/>
    <w:qFormat/>
    <w:rsid w:val="0023116A"/>
    <w:pPr>
      <w:ind w:left="720"/>
      <w:contextualSpacing/>
    </w:pPr>
  </w:style>
  <w:style w:type="paragraph" w:styleId="ac">
    <w:name w:val="No Spacing"/>
    <w:uiPriority w:val="1"/>
    <w:qFormat/>
    <w:rsid w:val="00C70C1C"/>
    <w:pPr>
      <w:spacing w:after="0" w:line="240" w:lineRule="auto"/>
    </w:pPr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083C0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45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roprogrami.com/mnenieto-na-konsultanta/klasifikaciya-na-selskite-rayoni-v-prsr-2014-20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mis2020.government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g-kk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mis2020.government.b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CD89-8188-477D-A428-C88736EA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Asparuhova</dc:creator>
  <cp:lastModifiedBy>D.Dimitrova</cp:lastModifiedBy>
  <cp:revision>8</cp:revision>
  <dcterms:created xsi:type="dcterms:W3CDTF">2020-01-07T09:40:00Z</dcterms:created>
  <dcterms:modified xsi:type="dcterms:W3CDTF">2024-05-10T08:57:00Z</dcterms:modified>
</cp:coreProperties>
</file>